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header206.xml" ContentType="application/vnd.openxmlformats-officedocument.wordprocessingml.header+xml"/>
  <Override PartName="/word/footer205.xml" ContentType="application/vnd.openxmlformats-officedocument.wordprocessingml.foot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header209.xml" ContentType="application/vnd.openxmlformats-officedocument.wordprocessingml.header+xml"/>
  <Override PartName="/word/footer208.xml" ContentType="application/vnd.openxmlformats-officedocument.wordprocessingml.foot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header212.xml" ContentType="application/vnd.openxmlformats-officedocument.wordprocessingml.header+xml"/>
  <Override PartName="/word/footer211.xml" ContentType="application/vnd.openxmlformats-officedocument.wordprocessingml.foot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header215.xml" ContentType="application/vnd.openxmlformats-officedocument.wordprocessingml.header+xml"/>
  <Override PartName="/word/footer214.xml" ContentType="application/vnd.openxmlformats-officedocument.wordprocessingml.foot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header218.xml" ContentType="application/vnd.openxmlformats-officedocument.wordprocessingml.header+xml"/>
  <Override PartName="/word/footer217.xml" ContentType="application/vnd.openxmlformats-officedocument.wordprocessingml.foot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header221.xml" ContentType="application/vnd.openxmlformats-officedocument.wordprocessingml.header+xml"/>
  <Override PartName="/word/footer220.xml" ContentType="application/vnd.openxmlformats-officedocument.wordprocessingml.foot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header224.xml" ContentType="application/vnd.openxmlformats-officedocument.wordprocessingml.header+xml"/>
  <Override PartName="/word/footer223.xml" ContentType="application/vnd.openxmlformats-officedocument.wordprocessingml.foot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header227.xml" ContentType="application/vnd.openxmlformats-officedocument.wordprocessingml.header+xml"/>
  <Override PartName="/word/footer226.xml" ContentType="application/vnd.openxmlformats-officedocument.wordprocessingml.foot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header230.xml" ContentType="application/vnd.openxmlformats-officedocument.wordprocessingml.header+xml"/>
  <Override PartName="/word/footer229.xml" ContentType="application/vnd.openxmlformats-officedocument.wordprocessingml.foot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E07773" w14:textId="49C312E6" w:rsidR="00553430" w:rsidRDefault="00212577" w:rsidP="00212577">
      <w:pPr>
        <w:pStyle w:val="Pagedecouverture"/>
        <w:rPr>
          <w:noProof/>
        </w:rPr>
      </w:pPr>
      <w:bookmarkStart w:id="0" w:name="_Hlk235109117"/>
      <w:bookmarkStart w:id="1" w:name="LW_BM_COVERPAGE"/>
      <w:r>
        <w:rPr>
          <w:noProof/>
        </w:rPr>
        <w:pict w14:anchorId="112CBA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7D6828C-6273-46B3-9F41-50B4400E5B6F" style="width:455.25pt;height:387pt">
            <v:imagedata r:id="rId8" o:title=""/>
          </v:shape>
        </w:pict>
      </w:r>
    </w:p>
    <w:bookmarkEnd w:id="1"/>
    <w:p w14:paraId="1A5F1AA2" w14:textId="7FCF03AC" w:rsidR="00553430" w:rsidRDefault="00553430">
      <w:pPr>
        <w:rPr>
          <w:noProof/>
        </w:rPr>
        <w:sectPr w:rsidR="00553430" w:rsidSect="00212577">
          <w:headerReference w:type="even" r:id="rId9"/>
          <w:headerReference w:type="default" r:id="rId10"/>
          <w:footerReference w:type="even" r:id="rId11"/>
          <w:footerReference w:type="default" r:id="rId12"/>
          <w:headerReference w:type="first" r:id="rId13"/>
          <w:footerReference w:type="first" r:id="rId14"/>
          <w:pgSz w:w="11907" w:h="16840" w:code="9"/>
          <w:pgMar w:top="1134" w:right="1417" w:bottom="1134" w:left="1417" w:header="709" w:footer="709" w:gutter="0"/>
          <w:pgNumType w:start="1"/>
          <w:cols w:space="720"/>
          <w:docGrid w:linePitch="360"/>
        </w:sectPr>
      </w:pPr>
    </w:p>
    <w:p w14:paraId="4D8D7F5C" w14:textId="77777777" w:rsidR="00553430" w:rsidRDefault="00212577">
      <w:pPr>
        <w:pStyle w:val="P68B1DB1-TechnicalBlock1"/>
        <w:ind w:left="-1134" w:right="-1134"/>
        <w:rPr>
          <w:noProof/>
        </w:rPr>
      </w:pPr>
      <w:bookmarkStart w:id="2" w:name="_GoBack"/>
      <w:bookmarkEnd w:id="2"/>
      <w:r>
        <w:rPr>
          <w:noProof/>
        </w:rPr>
        <w:lastRenderedPageBreak/>
        <w:t>ANNEXE</w:t>
      </w:r>
    </w:p>
    <w:p w14:paraId="485BC357" w14:textId="77777777" w:rsidR="00553430" w:rsidRDefault="00553430">
      <w:pPr>
        <w:spacing w:line="240" w:lineRule="auto"/>
        <w:jc w:val="both"/>
        <w:rPr>
          <w:rFonts w:ascii="Times New Roman" w:eastAsia="Calibri" w:hAnsi="Times New Roman" w:cs="Times New Roman"/>
          <w:b/>
          <w:bCs/>
          <w:noProof/>
          <w:sz w:val="24"/>
          <w:szCs w:val="24"/>
        </w:rPr>
      </w:pPr>
    </w:p>
    <w:p w14:paraId="0361AF0F" w14:textId="77777777" w:rsidR="00553430" w:rsidRDefault="00212577">
      <w:pPr>
        <w:pStyle w:val="P68B1DB1-Normal24"/>
        <w:spacing w:line="240" w:lineRule="auto"/>
        <w:jc w:val="both"/>
        <w:rPr>
          <w:bCs/>
          <w:noProof/>
        </w:rPr>
      </w:pPr>
      <w:r>
        <w:rPr>
          <w:noProof/>
        </w:rPr>
        <w:t>SECTION 1 : RÉFORMES ET INVESTISSEMENTS DANS LE CADRE DU PLAN DE RÉCUPÉRATION ET DE RESILIENCE</w:t>
      </w:r>
    </w:p>
    <w:p w14:paraId="55858CBE" w14:textId="77777777" w:rsidR="00553430" w:rsidRDefault="00553430">
      <w:pPr>
        <w:spacing w:line="240" w:lineRule="auto"/>
        <w:jc w:val="both"/>
        <w:rPr>
          <w:rFonts w:ascii="Times New Roman" w:eastAsia="Calibri" w:hAnsi="Times New Roman" w:cs="Times New Roman"/>
          <w:noProof/>
          <w:sz w:val="24"/>
          <w:szCs w:val="24"/>
        </w:rPr>
      </w:pPr>
    </w:p>
    <w:p w14:paraId="7F753AFF" w14:textId="77777777" w:rsidR="00553430" w:rsidRDefault="00212577">
      <w:pPr>
        <w:pStyle w:val="P68B1DB1-Normal24"/>
        <w:numPr>
          <w:ilvl w:val="0"/>
          <w:numId w:val="43"/>
        </w:numPr>
        <w:spacing w:before="120" w:after="120" w:line="240" w:lineRule="auto"/>
        <w:jc w:val="both"/>
        <w:rPr>
          <w:bCs/>
          <w:noProof/>
        </w:rPr>
      </w:pPr>
      <w:r>
        <w:rPr>
          <w:noProof/>
        </w:rPr>
        <w:t xml:space="preserve">Description des réformes et des investissements </w:t>
      </w:r>
    </w:p>
    <w:p w14:paraId="4F655101" w14:textId="77777777" w:rsidR="00553430" w:rsidRDefault="00212577">
      <w:pPr>
        <w:pStyle w:val="P68B1DB1-Normal32"/>
        <w:keepNext/>
        <w:tabs>
          <w:tab w:val="left" w:pos="850"/>
        </w:tabs>
        <w:spacing w:before="360" w:line="240" w:lineRule="auto"/>
        <w:ind w:left="850" w:hanging="850"/>
        <w:jc w:val="both"/>
        <w:outlineLvl w:val="0"/>
        <w:rPr>
          <w:bCs/>
          <w:noProof/>
        </w:rPr>
      </w:pPr>
      <w:r>
        <w:rPr>
          <w:noProof/>
        </w:rPr>
        <w:t>A. ÉLÉMENT 1.1: ÉCONOMIE RÉSILIENTE, VERTE ET NUMÉRIQUE</w:t>
      </w:r>
    </w:p>
    <w:p w14:paraId="7CE183AD" w14:textId="77777777" w:rsidR="00553430" w:rsidRDefault="00212577">
      <w:pPr>
        <w:pStyle w:val="P68B1DB1-Normal33"/>
        <w:spacing w:line="240" w:lineRule="auto"/>
        <w:jc w:val="both"/>
        <w:rPr>
          <w:noProof/>
        </w:rPr>
      </w:pPr>
      <w:r>
        <w:rPr>
          <w:noProof/>
        </w:rPr>
        <w:t>Ce volet du plan croate pour la reprise et la résilience adopte une approche large et horizontale pour remédier à certaines faiblesses structurelles de</w:t>
      </w:r>
      <w:r>
        <w:rPr>
          <w:noProof/>
        </w:rPr>
        <w:t xml:space="preserve"> l’économie croate. La croissance économique de la Croatie et sa convergence avec le reste de l’Union sont entravées par une faible productivité, des investissements relativement faibles du secteur privé, un accès limité au financement des entreprises les </w:t>
      </w:r>
      <w:r>
        <w:rPr>
          <w:noProof/>
        </w:rPr>
        <w:t>plus innovantes et, en général, un environnement des entreprises caractérisé par une charge administrative et parafiscale relativement élevée et une réglementation excessive des professions. En outre, la part de la production industrielle est la plus faibl</w:t>
      </w:r>
      <w:r>
        <w:rPr>
          <w:noProof/>
        </w:rPr>
        <w:t>e parmi les États membres d’Europe centrale et orientale et la Croatie accuse également un retard par rapport aux pays homologues en ce qui concerne le niveau des investissements consacrés à l’innovation, aux produits de plus haut niveau technologique et a</w:t>
      </w:r>
      <w:r>
        <w:rPr>
          <w:noProof/>
        </w:rPr>
        <w:t>ux transitions écologique et numérique.</w:t>
      </w:r>
    </w:p>
    <w:p w14:paraId="72858EC3" w14:textId="77777777" w:rsidR="00553430" w:rsidRDefault="00212577">
      <w:pPr>
        <w:pStyle w:val="P68B1DB1-Normal33"/>
        <w:spacing w:line="240" w:lineRule="auto"/>
        <w:jc w:val="both"/>
        <w:rPr>
          <w:noProof/>
        </w:rPr>
      </w:pPr>
      <w:r>
        <w:rPr>
          <w:noProof/>
        </w:rPr>
        <w:t xml:space="preserve">Les objectifs du volet sont triples: </w:t>
      </w:r>
    </w:p>
    <w:p w14:paraId="08C2C60E" w14:textId="77777777" w:rsidR="00553430" w:rsidRDefault="00212577">
      <w:pPr>
        <w:pStyle w:val="P68B1DB1-Normal33"/>
        <w:numPr>
          <w:ilvl w:val="0"/>
          <w:numId w:val="44"/>
        </w:numPr>
        <w:spacing w:before="120" w:after="120" w:line="240" w:lineRule="auto"/>
        <w:jc w:val="both"/>
        <w:rPr>
          <w:noProof/>
        </w:rPr>
      </w:pPr>
      <w:r>
        <w:rPr>
          <w:noProof/>
        </w:rPr>
        <w:t>Améliorer l'environnement des entreprises en poursuivant les réformes visant à réduire les charges administratives et parafiscales et à libéraliser davantage les professions régl</w:t>
      </w:r>
      <w:r>
        <w:rPr>
          <w:noProof/>
        </w:rPr>
        <w:t xml:space="preserve">ementées. </w:t>
      </w:r>
    </w:p>
    <w:p w14:paraId="3334BA43" w14:textId="77777777" w:rsidR="00553430" w:rsidRDefault="00212577">
      <w:pPr>
        <w:pStyle w:val="P68B1DB1-Normal33"/>
        <w:numPr>
          <w:ilvl w:val="0"/>
          <w:numId w:val="44"/>
        </w:numPr>
        <w:spacing w:before="120" w:after="120" w:line="240" w:lineRule="auto"/>
        <w:jc w:val="both"/>
        <w:rPr>
          <w:noProof/>
        </w:rPr>
      </w:pPr>
      <w:r>
        <w:rPr>
          <w:noProof/>
        </w:rPr>
        <w:t>Réaliser une meilleure allocation des ressources en capital au sein de l'économie en concevant des changements au cadre réglementaire pour encourager l'investissement du secteur privé; soutenir, au moyen de subventions et d’instruments financier</w:t>
      </w:r>
      <w:r>
        <w:rPr>
          <w:noProof/>
        </w:rPr>
        <w:t xml:space="preserve">s concessionnels, les investissements productifs des entreprises, en particulier pour l’adoption de technologies vertes; et l’amélioration de l’accès à des modes de financement alternatifs ou innovants. </w:t>
      </w:r>
    </w:p>
    <w:p w14:paraId="08DA7881" w14:textId="77777777" w:rsidR="00553430" w:rsidRDefault="00212577">
      <w:pPr>
        <w:pStyle w:val="P68B1DB1-Normal33"/>
        <w:numPr>
          <w:ilvl w:val="0"/>
          <w:numId w:val="44"/>
        </w:numPr>
        <w:spacing w:before="120" w:after="120" w:line="240" w:lineRule="auto"/>
        <w:jc w:val="both"/>
        <w:rPr>
          <w:noProof/>
        </w:rPr>
      </w:pPr>
      <w:r>
        <w:rPr>
          <w:noProof/>
        </w:rPr>
        <w:t>Aider les entreprises à adapter leurs activités au n</w:t>
      </w:r>
      <w:r>
        <w:rPr>
          <w:noProof/>
        </w:rPr>
        <w:t>ouvel environnement numérique, en accordant une attention particulière aux secteurs de la culture et de la création qui ont été particulièrement touchés par les mesures de confinement limitant les services en personne.</w:t>
      </w:r>
    </w:p>
    <w:p w14:paraId="404DB060" w14:textId="77777777" w:rsidR="00553430" w:rsidRDefault="00212577">
      <w:pPr>
        <w:pStyle w:val="P68B1DB1-Normal33"/>
        <w:spacing w:line="240" w:lineRule="auto"/>
        <w:jc w:val="both"/>
        <w:rPr>
          <w:noProof/>
        </w:rPr>
      </w:pPr>
      <w:r>
        <w:rPr>
          <w:noProof/>
        </w:rPr>
        <w:t>Ce volet répond à la recommandation p</w:t>
      </w:r>
      <w:r>
        <w:rPr>
          <w:noProof/>
        </w:rPr>
        <w:t>ar pays en fournissant des liquidités aux petites et moyennes entreprises, en réduisant les taxes parafiscales et les restrictions dans la réglementation du marché des biens et des services, en promouvant les investissements privés et en concentrant les in</w:t>
      </w:r>
      <w:r>
        <w:rPr>
          <w:noProof/>
        </w:rPr>
        <w:t>vestissements sur les transitions écologique et numérique (recommandation par pays 3, 2020). Elle contribue également à donner suite à la recommandation visant à réduire les taxes parafiscales les plus lourdes et la réglementation excessive du marché des p</w:t>
      </w:r>
      <w:r>
        <w:rPr>
          <w:noProof/>
        </w:rPr>
        <w:t>roduits et des services (recommandation par pays 4, 2019).</w:t>
      </w:r>
    </w:p>
    <w:p w14:paraId="7F741F99" w14:textId="77777777" w:rsidR="00553430" w:rsidRDefault="00212577">
      <w:pPr>
        <w:pStyle w:val="P68B1DB1-Normal33"/>
        <w:spacing w:line="240" w:lineRule="auto"/>
        <w:jc w:val="both"/>
        <w:rPr>
          <w:noProof/>
        </w:rPr>
      </w:pPr>
      <w:r>
        <w:rPr>
          <w:noProof/>
        </w:rPr>
        <w:t>Le volet est divisé en deux sous-composantes, C1.1.1 (Renforcer la compétitivité et la transition écologique de l’économie) et C.1.1.2 (Stimuler l’innovation et numériser l’économie).</w:t>
      </w:r>
    </w:p>
    <w:p w14:paraId="24ED30C9" w14:textId="77777777" w:rsidR="00553430" w:rsidRDefault="00212577">
      <w:pPr>
        <w:pStyle w:val="P68B1DB1-Normal34"/>
        <w:spacing w:after="200" w:line="276" w:lineRule="auto"/>
        <w:ind w:left="851"/>
        <w:rPr>
          <w:rFonts w:ascii="Times New Roman" w:eastAsia="Calibri" w:hAnsi="Times New Roman" w:cs="Times New Roman"/>
          <w:noProof/>
        </w:rPr>
      </w:pPr>
      <w:r>
        <w:rPr>
          <w:rFonts w:ascii="Times New Roman" w:eastAsia="Calibri" w:hAnsi="Times New Roman" w:cs="Times New Roman"/>
          <w:noProof/>
        </w:rPr>
        <w:br w:type="page"/>
      </w:r>
      <w:r>
        <w:rPr>
          <w:rFonts w:ascii="Times New Roman" w:eastAsia="SimSun" w:hAnsi="Times New Roman" w:cs="Times New Roman"/>
          <w:b/>
          <w:noProof/>
          <w:u w:val="single"/>
        </w:rPr>
        <w:t xml:space="preserve">A.1. </w:t>
      </w:r>
      <w:r>
        <w:rPr>
          <w:rFonts w:ascii="Times New Roman" w:eastAsia="SimSun" w:hAnsi="Times New Roman" w:cs="Times New Roman"/>
          <w:b/>
          <w:noProof/>
          <w:u w:val="single"/>
        </w:rPr>
        <w:tab/>
        <w:t>Descri</w:t>
      </w:r>
      <w:r>
        <w:rPr>
          <w:rFonts w:ascii="Times New Roman" w:eastAsia="SimSun" w:hAnsi="Times New Roman" w:cs="Times New Roman"/>
          <w:b/>
          <w:noProof/>
          <w:u w:val="single"/>
        </w:rPr>
        <w:t>ption des réformes et des investissements pour le soutien financier non remboursable</w:t>
      </w:r>
    </w:p>
    <w:p w14:paraId="3A7560C4" w14:textId="77777777" w:rsidR="00553430" w:rsidRDefault="00212577">
      <w:pPr>
        <w:pStyle w:val="P68B1DB1-Normal42"/>
        <w:keepNext/>
        <w:spacing w:line="240" w:lineRule="auto"/>
        <w:ind w:left="850"/>
        <w:jc w:val="both"/>
        <w:rPr>
          <w:noProof/>
          <w:u w:val="double"/>
        </w:rPr>
      </w:pPr>
      <w:r>
        <w:rPr>
          <w:noProof/>
        </w:rPr>
        <w:t>Sous-composante C1.1.1 – Renforcer la compétitivité et la transition écologique de l’économie</w:t>
      </w:r>
    </w:p>
    <w:p w14:paraId="440E1F90" w14:textId="77777777" w:rsidR="00553430" w:rsidRDefault="00212577">
      <w:pPr>
        <w:pStyle w:val="P68B1DB1-Normal33"/>
        <w:keepNext/>
        <w:spacing w:line="240" w:lineRule="auto"/>
        <w:jc w:val="both"/>
        <w:rPr>
          <w:noProof/>
        </w:rPr>
      </w:pPr>
      <w:r>
        <w:rPr>
          <w:noProof/>
        </w:rPr>
        <w:t xml:space="preserve">L’objectif de cette sous-composante est de promouvoir l’activité économique, </w:t>
      </w:r>
      <w:r>
        <w:rPr>
          <w:noProof/>
        </w:rPr>
        <w:t>la compétitivité et l’investissement en réduisant encore la charge administrative et parafiscale pesant sur les entreprises, en libéralisant davantage les professions réglementées, en améliorant l’accès au crédit au moyen de subventions, de prêts concessio</w:t>
      </w:r>
      <w:r>
        <w:rPr>
          <w:noProof/>
        </w:rPr>
        <w:t>nnels et d’instruments de fonds propres, en attirant les investissements directs étrangers et en soutenant les secteurs de la culture et de la création dans leur transition numérique.</w:t>
      </w:r>
    </w:p>
    <w:p w14:paraId="6CDDA16A" w14:textId="77777777" w:rsidR="00553430" w:rsidRDefault="00212577">
      <w:pPr>
        <w:pStyle w:val="P68B1DB1-Normal42"/>
        <w:keepNext/>
        <w:spacing w:line="240" w:lineRule="auto"/>
        <w:ind w:left="720" w:hanging="11"/>
        <w:jc w:val="both"/>
        <w:rPr>
          <w:noProof/>
        </w:rPr>
      </w:pPr>
      <w:r>
        <w:rPr>
          <w:noProof/>
        </w:rPr>
        <w:t>Réforme C1.1.1 R1 – Poursuivre la réforme de l’environnement des entrepr</w:t>
      </w:r>
      <w:r>
        <w:rPr>
          <w:noProof/>
        </w:rPr>
        <w:t xml:space="preserve">ises et de la réglementation. </w:t>
      </w:r>
    </w:p>
    <w:p w14:paraId="0D865200" w14:textId="77777777" w:rsidR="00553430" w:rsidRDefault="00212577">
      <w:pPr>
        <w:pStyle w:val="P68B1DB1-Normal33"/>
        <w:spacing w:line="240" w:lineRule="auto"/>
        <w:jc w:val="both"/>
        <w:rPr>
          <w:noProof/>
        </w:rPr>
      </w:pPr>
      <w:r>
        <w:rPr>
          <w:noProof/>
        </w:rPr>
        <w:t>L’objectif de cette réforme est d’améliorer encore l’environnement des entreprises en Croatie:</w:t>
      </w:r>
    </w:p>
    <w:p w14:paraId="75049274" w14:textId="77777777" w:rsidR="00553430" w:rsidRDefault="00212577">
      <w:pPr>
        <w:pStyle w:val="P68B1DB1-Normal33"/>
        <w:spacing w:before="120" w:after="120" w:line="240" w:lineRule="auto"/>
        <w:ind w:left="714" w:hanging="357"/>
        <w:jc w:val="both"/>
        <w:rPr>
          <w:noProof/>
        </w:rPr>
      </w:pPr>
      <w:r>
        <w:rPr>
          <w:noProof/>
        </w:rPr>
        <w:t xml:space="preserve">la numérisation des services fournis aux entreprises par l'État et les administrations publiques, </w:t>
      </w:r>
    </w:p>
    <w:p w14:paraId="4B735EC8" w14:textId="77777777" w:rsidR="00553430" w:rsidRDefault="00212577">
      <w:pPr>
        <w:pStyle w:val="P68B1DB1-ListParagraph43"/>
        <w:numPr>
          <w:ilvl w:val="0"/>
          <w:numId w:val="44"/>
        </w:numPr>
        <w:spacing w:before="120" w:after="120" w:line="240" w:lineRule="auto"/>
        <w:ind w:left="714" w:hanging="357"/>
        <w:rPr>
          <w:noProof/>
        </w:rPr>
      </w:pPr>
      <w:r>
        <w:rPr>
          <w:noProof/>
        </w:rPr>
        <w:t xml:space="preserve">l'amélioration des conditions </w:t>
      </w:r>
      <w:r>
        <w:rPr>
          <w:noProof/>
        </w:rPr>
        <w:t>réglementaires pour les entreprises et la poursuite de l'allègement des charges administratives et fiscales;</w:t>
      </w:r>
    </w:p>
    <w:p w14:paraId="2407F533" w14:textId="77777777" w:rsidR="00553430" w:rsidRDefault="00212577">
      <w:pPr>
        <w:pStyle w:val="P68B1DB1-Normal33"/>
        <w:suppressAutoHyphens/>
        <w:spacing w:before="120" w:after="120" w:line="240" w:lineRule="auto"/>
        <w:ind w:left="720" w:hanging="360"/>
        <w:jc w:val="both"/>
        <w:rPr>
          <w:noProof/>
        </w:rPr>
      </w:pPr>
      <w:r>
        <w:rPr>
          <w:noProof/>
        </w:rPr>
        <w:t>adoption d'une stratégie et d'un plan d'action visant à améliorer l'évaluation de l'impact économique.</w:t>
      </w:r>
    </w:p>
    <w:p w14:paraId="6056777F" w14:textId="77777777" w:rsidR="00553430" w:rsidRDefault="00212577">
      <w:pPr>
        <w:pStyle w:val="P68B1DB1-Normal33"/>
        <w:spacing w:line="240" w:lineRule="auto"/>
        <w:jc w:val="both"/>
        <w:rPr>
          <w:noProof/>
        </w:rPr>
      </w:pPr>
      <w:r>
        <w:rPr>
          <w:noProof/>
        </w:rPr>
        <w:t>La réforme comprend l’adoption du 5e plan d’</w:t>
      </w:r>
      <w:r>
        <w:rPr>
          <w:noProof/>
        </w:rPr>
        <w:t>action visant à réduire la charge administrative et les taxes parafiscales et non fiscales, la mise en place d’un système informatique pour suivre la mise en œuvre des mesures et mettre à jour et numériser le registre des taxes non fiscales.</w:t>
      </w:r>
    </w:p>
    <w:p w14:paraId="70333866" w14:textId="77777777" w:rsidR="00553430" w:rsidRDefault="00212577">
      <w:pPr>
        <w:pStyle w:val="P68B1DB1-Normal33"/>
        <w:spacing w:line="240" w:lineRule="auto"/>
        <w:jc w:val="both"/>
        <w:rPr>
          <w:noProof/>
        </w:rPr>
      </w:pPr>
      <w:r>
        <w:rPr>
          <w:noProof/>
        </w:rPr>
        <w:t>l’adoption d’u</w:t>
      </w:r>
      <w:r>
        <w:rPr>
          <w:noProof/>
        </w:rPr>
        <w:t xml:space="preserve">ne stratégie et d’un plan d’action visant à améliorer les procédures d’évaluation de l’impact économique utilisées dans l’administration publique afin de mieux soutenir l’innovation et l’adoption de nouveaux modèles d’entreprise. Dans ce contexte, le test </w:t>
      </w:r>
      <w:r>
        <w:rPr>
          <w:noProof/>
        </w:rPr>
        <w:t>d’analyse d’impact sur les PME est transféré sur une plateforme numérique afin de faciliter la collaboration des administrateurs publics et de soutenir la formation et la communication en ligne. La formation continue des fonctionnaires dans des domaines sp</w:t>
      </w:r>
      <w:r>
        <w:rPr>
          <w:noProof/>
        </w:rPr>
        <w:t>écifiques fait partie de l'investissement. Les mesures au titre de l’investissement comprennent la mise en œuvre d’un bac à sable réglementaire, permettant des essais contrôlés de nouveaux modèles d’entreprise.</w:t>
      </w:r>
    </w:p>
    <w:p w14:paraId="78078528" w14:textId="77777777" w:rsidR="00553430" w:rsidRDefault="00212577">
      <w:pPr>
        <w:pStyle w:val="P68B1DB1-Normal33"/>
        <w:spacing w:line="240" w:lineRule="auto"/>
        <w:jc w:val="both"/>
        <w:rPr>
          <w:noProof/>
        </w:rPr>
      </w:pPr>
      <w:r>
        <w:rPr>
          <w:noProof/>
        </w:rPr>
        <w:t xml:space="preserve">Cette réforme est achevée au plus tard le 31 </w:t>
      </w:r>
      <w:r>
        <w:rPr>
          <w:noProof/>
        </w:rPr>
        <w:t>décembre 2024.</w:t>
      </w:r>
    </w:p>
    <w:p w14:paraId="538C4325" w14:textId="77777777" w:rsidR="00553430" w:rsidRDefault="00212577">
      <w:pPr>
        <w:pStyle w:val="P68B1DB1-Normal42"/>
        <w:keepNext/>
        <w:spacing w:line="240" w:lineRule="auto"/>
        <w:ind w:left="850"/>
        <w:jc w:val="both"/>
        <w:rPr>
          <w:noProof/>
        </w:rPr>
      </w:pPr>
      <w:r>
        <w:rPr>
          <w:noProof/>
        </w:rPr>
        <w:t>Réforme C1.1.1 R2 – Poursuivre la réforme des professions réglementées</w:t>
      </w:r>
    </w:p>
    <w:p w14:paraId="46F8C6C5" w14:textId="77777777" w:rsidR="00553430" w:rsidRDefault="00212577">
      <w:pPr>
        <w:pStyle w:val="P68B1DB1-Normal33"/>
        <w:spacing w:line="240" w:lineRule="auto"/>
        <w:jc w:val="both"/>
        <w:rPr>
          <w:noProof/>
        </w:rPr>
      </w:pPr>
      <w:r>
        <w:rPr>
          <w:noProof/>
        </w:rPr>
        <w:t>L'objectif de la réforme est de stimuler la productivité de l'économie croate par la poursuite de la libéralisation des marchés des services. Cette mesure consiste à simp</w:t>
      </w:r>
      <w:r>
        <w:rPr>
          <w:noProof/>
        </w:rPr>
        <w:t>lifier ou à supprimer au moins 50 exigences réglementaires pour les services professionnels, conformément aux plans d'action sur la libéralisation des marchés des services et en tenant compte des recommandations de la Banque mondiale.</w:t>
      </w:r>
    </w:p>
    <w:p w14:paraId="50EE55B9" w14:textId="77777777" w:rsidR="00553430" w:rsidRDefault="00212577">
      <w:pPr>
        <w:pStyle w:val="P68B1DB1-Normal42"/>
        <w:keepNext/>
        <w:spacing w:line="240" w:lineRule="auto"/>
        <w:ind w:left="850"/>
        <w:jc w:val="both"/>
        <w:rPr>
          <w:noProof/>
        </w:rPr>
      </w:pPr>
      <w:r>
        <w:rPr>
          <w:noProof/>
        </w:rPr>
        <w:t>Réforme C1.1.1 R3 – F</w:t>
      </w:r>
      <w:r>
        <w:rPr>
          <w:noProof/>
        </w:rPr>
        <w:t>aire progresser le cadre stratégique pour la promotion des investissements privés</w:t>
      </w:r>
    </w:p>
    <w:p w14:paraId="625B7219" w14:textId="77777777" w:rsidR="00553430" w:rsidRDefault="00212577">
      <w:pPr>
        <w:pStyle w:val="P68B1DB1-Normal33"/>
        <w:spacing w:line="240" w:lineRule="auto"/>
        <w:jc w:val="both"/>
        <w:rPr>
          <w:noProof/>
        </w:rPr>
      </w:pPr>
      <w:r>
        <w:rPr>
          <w:noProof/>
        </w:rPr>
        <w:t xml:space="preserve">L’objectif de la réforme est de faire de la Croatie une destination attrayante pour les investissements grâce à l’élaboration et à l’adoption d’un cadre stratégique visant à </w:t>
      </w:r>
      <w:r>
        <w:rPr>
          <w:noProof/>
        </w:rPr>
        <w:t>promouvoir et à faciliter les investissements directs étrangers. Cette mesure consiste en l’adoption d’un cadre stratégique pour la promotion des investissements, comprenant un plan national, un plan d’action, une nouvelle loi sur la promotion des investis</w:t>
      </w:r>
      <w:r>
        <w:rPr>
          <w:noProof/>
        </w:rPr>
        <w:t xml:space="preserve">sements et une plateforme de coordination numérique. </w:t>
      </w:r>
    </w:p>
    <w:p w14:paraId="69350564" w14:textId="77777777" w:rsidR="00553430" w:rsidRDefault="00212577">
      <w:pPr>
        <w:pStyle w:val="P68B1DB1-Normal42"/>
        <w:keepNext/>
        <w:spacing w:line="240" w:lineRule="auto"/>
        <w:ind w:firstLine="720"/>
        <w:jc w:val="both"/>
        <w:rPr>
          <w:noProof/>
        </w:rPr>
      </w:pPr>
      <w:r>
        <w:rPr>
          <w:noProof/>
        </w:rPr>
        <w:t>Réforme C1.1.1 R6 – Développer des secteurs de la culture et de la création résilients</w:t>
      </w:r>
    </w:p>
    <w:p w14:paraId="321CC524" w14:textId="77777777" w:rsidR="00553430" w:rsidRDefault="00212577">
      <w:pPr>
        <w:pStyle w:val="P68B1DB1-Normal33"/>
        <w:spacing w:line="240" w:lineRule="auto"/>
        <w:jc w:val="both"/>
        <w:rPr>
          <w:noProof/>
        </w:rPr>
      </w:pPr>
      <w:r>
        <w:rPr>
          <w:noProof/>
        </w:rPr>
        <w:t>La réforme comprend l'entrée en vigueur d'amendements à la loi sur les médias électroniques et le droit d'auteur et</w:t>
      </w:r>
      <w:r>
        <w:rPr>
          <w:noProof/>
        </w:rPr>
        <w:t xml:space="preserve"> les droits connexes établissant la protection juridique effective des auteurs de contenus créatifs, culturels et médiatiques sur l'internet, en tenant compte de la nécessité de lever les obstacles à la commercialisation réussie de contenus protégés sur l'</w:t>
      </w:r>
      <w:r>
        <w:rPr>
          <w:noProof/>
        </w:rPr>
        <w:t>internet. Le nouveau cadre juridique devrait inciter les entrepreneurs à adapter leurs processus commerciaux aux normes de l’industrie dans le marché unique numérique, en développant des modèles commerciaux en ligne nouveaux et innovants, ainsi que des pro</w:t>
      </w:r>
      <w:r>
        <w:rPr>
          <w:noProof/>
        </w:rPr>
        <w:t xml:space="preserve">duits et services nouveaux et innovants. </w:t>
      </w:r>
    </w:p>
    <w:p w14:paraId="14C3BA91" w14:textId="77777777" w:rsidR="00553430" w:rsidRDefault="00212577">
      <w:pPr>
        <w:pStyle w:val="P68B1DB1-Normal33"/>
        <w:spacing w:line="240" w:lineRule="auto"/>
        <w:jc w:val="both"/>
        <w:rPr>
          <w:noProof/>
        </w:rPr>
      </w:pPr>
      <w:r>
        <w:rPr>
          <w:noProof/>
        </w:rPr>
        <w:t>Le cadre réformé en matière de droit d’auteur devrait favoriser les industries culturelles et créatives en fournissant un cadre juridique stable pour la création de plateformes et d’applications en ligne, en facili</w:t>
      </w:r>
      <w:r>
        <w:rPr>
          <w:noProof/>
        </w:rPr>
        <w:t>tant l’octroi de licences en ligne pour les contenus créatifs, culturels et médiatiques, et en promouvant ainsi la diversité culturelle, linguistique et médiatique. Les modifications apportées au cadre juridique relatif aux médias et au droit d'auteur devr</w:t>
      </w:r>
      <w:r>
        <w:rPr>
          <w:noProof/>
        </w:rPr>
        <w:t xml:space="preserve">aient faciliter la distribution transfrontière de programmes de télévision et de radio, en prévoyant des règles claires sur la circulation dite directe des signaux, et faciliter la réutilisation de contenus publics pour la création de nouveaux produits et </w:t>
      </w:r>
      <w:r>
        <w:rPr>
          <w:noProof/>
        </w:rPr>
        <w:t>services innovants sur le marché unique numérique. En outre, la réforme législative garantit la transparence dans la publication des structures de propriété liées au registre des bénéficiaires effectifs et la publication de ces informations sur le site web</w:t>
      </w:r>
      <w:r>
        <w:rPr>
          <w:noProof/>
        </w:rPr>
        <w:t xml:space="preserve"> du fournisseur, et une plus grande transparence est également introduite en ce qui concerne les informations sur les montants et les sources de financement.</w:t>
      </w:r>
    </w:p>
    <w:p w14:paraId="33D900E7" w14:textId="77777777" w:rsidR="00553430" w:rsidRDefault="00212577">
      <w:pPr>
        <w:pStyle w:val="P68B1DB1-Normal42"/>
        <w:keepNext/>
        <w:spacing w:line="240" w:lineRule="auto"/>
        <w:ind w:left="850"/>
        <w:jc w:val="both"/>
        <w:rPr>
          <w:noProof/>
        </w:rPr>
      </w:pPr>
      <w:r>
        <w:rPr>
          <w:noProof/>
        </w:rPr>
        <w:t>Investissement C1.1.1 R1-I1 – Numérisation des services publics et administratifs fournis aux entr</w:t>
      </w:r>
      <w:r>
        <w:rPr>
          <w:noProof/>
        </w:rPr>
        <w:t>eprises (G2B)</w:t>
      </w:r>
    </w:p>
    <w:p w14:paraId="2704688C" w14:textId="77777777" w:rsidR="00553430" w:rsidRDefault="00212577">
      <w:pPr>
        <w:pStyle w:val="P68B1DB1-Normal33"/>
        <w:spacing w:line="240" w:lineRule="auto"/>
        <w:jc w:val="both"/>
        <w:rPr>
          <w:noProof/>
        </w:rPr>
      </w:pPr>
      <w:r>
        <w:rPr>
          <w:noProof/>
        </w:rPr>
        <w:t>L’objectif de l’investissement est d’améliorer l’accessibilité, la transparence et l’efficacité des services publics fournis aux entreprises grâce à leur numérisation dans certains domaines prioritaires tels que l’enregistrement des entrepris</w:t>
      </w:r>
      <w:r>
        <w:rPr>
          <w:noProof/>
        </w:rPr>
        <w:t>es et l’octroi de licences. Cette mesure consiste à adopter une stratégie réglementaire et un plan d’action pour les PME, à lancer une plateforme de paiement des redevances, à moderniser le système START avec des points d’accès et un module d’octroi de lic</w:t>
      </w:r>
      <w:r>
        <w:rPr>
          <w:noProof/>
        </w:rPr>
        <w:t xml:space="preserve">ences, et à numériser les procédures d’investissement. </w:t>
      </w:r>
    </w:p>
    <w:p w14:paraId="6F2B9966" w14:textId="77777777" w:rsidR="00553430" w:rsidRDefault="00212577">
      <w:pPr>
        <w:pStyle w:val="P68B1DB1-Normal42"/>
        <w:keepNext/>
        <w:spacing w:line="240" w:lineRule="auto"/>
        <w:ind w:left="850"/>
        <w:jc w:val="both"/>
        <w:rPr>
          <w:noProof/>
        </w:rPr>
      </w:pPr>
      <w:r>
        <w:rPr>
          <w:noProof/>
        </w:rPr>
        <w:t>Investissement C1.1.1 R1-I2 – Allégement continu des charges administratives et fiscales</w:t>
      </w:r>
    </w:p>
    <w:p w14:paraId="76A8D663" w14:textId="078430D0" w:rsidR="00553430" w:rsidRDefault="00212577">
      <w:pPr>
        <w:pStyle w:val="P68B1DB1-Normal33"/>
        <w:spacing w:line="240" w:lineRule="auto"/>
        <w:jc w:val="both"/>
        <w:rPr>
          <w:noProof/>
        </w:rPr>
      </w:pPr>
      <w:r>
        <w:rPr>
          <w:noProof/>
        </w:rPr>
        <w:t>L’objectif de l’investissement est d’améliorer considérablement l’environnement des entreprises en Croatie. Cet</w:t>
      </w:r>
      <w:r>
        <w:rPr>
          <w:noProof/>
        </w:rPr>
        <w:t>te mesure consiste à mettre en œuvre des plans d’action successifs visant à réduire les taxes parafiscales et non fiscales, à réduire les charges administratives et à numériser le test PME au moyen d’une nouvelle plateforme de collaboration.</w:t>
      </w:r>
    </w:p>
    <w:p w14:paraId="46358961" w14:textId="77777777" w:rsidR="00553430" w:rsidRDefault="00212577">
      <w:pPr>
        <w:pStyle w:val="P68B1DB1-Normal42"/>
        <w:keepNext/>
        <w:spacing w:line="240" w:lineRule="auto"/>
        <w:ind w:left="850"/>
        <w:jc w:val="both"/>
        <w:rPr>
          <w:noProof/>
        </w:rPr>
      </w:pPr>
      <w:r>
        <w:rPr>
          <w:noProof/>
        </w:rPr>
        <w:t>Investissement</w:t>
      </w:r>
      <w:r>
        <w:rPr>
          <w:noProof/>
        </w:rPr>
        <w:t xml:space="preserve"> C1.1.1 R4-I1 – Soutien aux entreprises pour la transition vers une économie efficace dans l’utilisation de l’énergie et des ressources</w:t>
      </w:r>
    </w:p>
    <w:p w14:paraId="0EE419FE" w14:textId="77777777" w:rsidR="00553430" w:rsidRDefault="00212577">
      <w:pPr>
        <w:pStyle w:val="P68B1DB1-Normal33"/>
        <w:spacing w:line="240" w:lineRule="auto"/>
        <w:jc w:val="both"/>
        <w:rPr>
          <w:noProof/>
        </w:rPr>
      </w:pPr>
      <w:r>
        <w:rPr>
          <w:noProof/>
        </w:rPr>
        <w:t>L’objectif de cet investissement est de financer, au moyen de subventions, des investissements productifs de petites, mo</w:t>
      </w:r>
      <w:r>
        <w:rPr>
          <w:noProof/>
        </w:rPr>
        <w:t>yennes et moyennes entreprises dans des technologies vertes qui contribuent à une économie efficace dans l’utilisation de l’énergie et des ressources dans les industries à forte intensité énergétique. Cette mesure consiste à lancer des appels à proposition</w:t>
      </w:r>
      <w:r>
        <w:rPr>
          <w:noProof/>
        </w:rPr>
        <w:t>s et à octroyer des subventions aux PME et aux entreprises à moyenne capitalisation pour des investissements dans des projets d’économie circulaire et des technologies à faibles émissions.</w:t>
      </w:r>
    </w:p>
    <w:p w14:paraId="5FC5F140" w14:textId="77777777" w:rsidR="00553430" w:rsidRDefault="00212577">
      <w:pPr>
        <w:pStyle w:val="P68B1DB1-Normal42"/>
        <w:keepNext/>
        <w:spacing w:line="240" w:lineRule="auto"/>
        <w:ind w:left="850"/>
        <w:jc w:val="both"/>
        <w:rPr>
          <w:noProof/>
        </w:rPr>
      </w:pPr>
      <w:bookmarkStart w:id="3" w:name="_Hlk211533432"/>
      <w:r>
        <w:rPr>
          <w:noProof/>
        </w:rPr>
        <w:t xml:space="preserve">Investissement C1.1.1 R4-I2 – Instrument financier pour les micro, </w:t>
      </w:r>
      <w:r>
        <w:rPr>
          <w:noProof/>
        </w:rPr>
        <w:t>petites et moyennes entreprises</w:t>
      </w:r>
    </w:p>
    <w:bookmarkEnd w:id="3"/>
    <w:p w14:paraId="47C50522" w14:textId="77777777" w:rsidR="00553430" w:rsidRDefault="00212577">
      <w:pPr>
        <w:pStyle w:val="P68B1DB1-Normal33"/>
        <w:spacing w:line="240" w:lineRule="auto"/>
        <w:jc w:val="both"/>
        <w:rPr>
          <w:noProof/>
        </w:rPr>
      </w:pPr>
      <w:r>
        <w:rPr>
          <w:noProof/>
        </w:rPr>
        <w:t>L’objectif de l’investissement est d’encourager davantage les activités d’investissement sur le marché croate en offrant des conditions de financement plus favorables aux PME en phase de croissance et de développement (entit</w:t>
      </w:r>
      <w:r>
        <w:rPr>
          <w:noProof/>
        </w:rPr>
        <w:t>és ayant accès au financement) et en soutenant l’accès au financement de groupes cibles spécifiques qui n’y ont généralement pas accès (tels que les micro-entrepreneurs, les jeunes entreprises, les jeunes entrepreneurs, les investissements dans la RDI, les</w:t>
      </w:r>
      <w:r>
        <w:rPr>
          <w:noProof/>
        </w:rPr>
        <w:t xml:space="preserve"> opérateurs économiques investissant dans des zones moins développées). Cette mesure consiste à mettre en place des instruments financiers par l’intermédiaire de HAMAG BICRO et de HBOR afin d’accorder des prêts et des bonifications d’intérêts pour les inve</w:t>
      </w:r>
      <w:r>
        <w:rPr>
          <w:noProof/>
        </w:rPr>
        <w:t>stissements des PME dans la compétitivité, la numérisation et la transition écologique.</w:t>
      </w:r>
    </w:p>
    <w:p w14:paraId="6C62BDDE" w14:textId="77777777" w:rsidR="00553430" w:rsidRDefault="00212577">
      <w:pPr>
        <w:pStyle w:val="P68B1DB1-Normal42"/>
        <w:keepNext/>
        <w:spacing w:line="240" w:lineRule="auto"/>
        <w:ind w:left="850"/>
        <w:jc w:val="both"/>
        <w:rPr>
          <w:noProof/>
        </w:rPr>
      </w:pPr>
      <w:r>
        <w:rPr>
          <w:noProof/>
        </w:rPr>
        <w:t>Investissement C1.1.1 R4-I3 – Instrument financier pour les entreprises à moyenne capitalisation et les grandes entreprises</w:t>
      </w:r>
    </w:p>
    <w:p w14:paraId="231AE9A8" w14:textId="77777777" w:rsidR="00553430" w:rsidRDefault="00212577">
      <w:pPr>
        <w:pStyle w:val="P68B1DB1-Normal33"/>
        <w:spacing w:line="240" w:lineRule="auto"/>
        <w:jc w:val="both"/>
        <w:rPr>
          <w:noProof/>
        </w:rPr>
      </w:pPr>
      <w:r>
        <w:rPr>
          <w:noProof/>
        </w:rPr>
        <w:t>L’objectif de l’investissement est de promou</w:t>
      </w:r>
      <w:r>
        <w:rPr>
          <w:noProof/>
        </w:rPr>
        <w:t>voir la compétitivité et la transition écologique et numérique des entreprises à moyenne capitalisation et des grandes entreprises en fournissant des sources de financement plus favorables en tant que condition essentielle à la croissance de l’investisseme</w:t>
      </w:r>
      <w:r>
        <w:rPr>
          <w:noProof/>
        </w:rPr>
        <w:t>nt à court et moyen terme. Cette mesure consiste à mettre en place des fonds de garantie et de bonification d’intérêts par l’intermédiaire de HBOR afin de financer des investissements dans la compétitivité, la numérisation et les technologies respectueuses</w:t>
      </w:r>
      <w:r>
        <w:rPr>
          <w:noProof/>
        </w:rPr>
        <w:t xml:space="preserve"> de l’environnement.</w:t>
      </w:r>
    </w:p>
    <w:p w14:paraId="5A829D2F" w14:textId="77777777" w:rsidR="00553430" w:rsidRDefault="00212577">
      <w:pPr>
        <w:pStyle w:val="P68B1DB1-Normal42"/>
        <w:keepNext/>
        <w:spacing w:line="240" w:lineRule="auto"/>
        <w:ind w:left="850"/>
        <w:jc w:val="both"/>
        <w:rPr>
          <w:noProof/>
        </w:rPr>
      </w:pPr>
      <w:r>
        <w:rPr>
          <w:noProof/>
        </w:rPr>
        <w:t>Investissement C1.1.1 R4-I4 – Instrument financier pour les entités du secteur public</w:t>
      </w:r>
    </w:p>
    <w:p w14:paraId="5FD4F508" w14:textId="77777777" w:rsidR="00553430" w:rsidRDefault="00212577">
      <w:pPr>
        <w:pStyle w:val="P68B1DB1-Normal33"/>
        <w:spacing w:line="240" w:lineRule="auto"/>
        <w:jc w:val="both"/>
        <w:rPr>
          <w:noProof/>
        </w:rPr>
      </w:pPr>
      <w:r>
        <w:rPr>
          <w:noProof/>
        </w:rPr>
        <w:t>L’objectif de l’investissement est de fournir un financement concessionnel à des entités publiques pour des projets d’infrastructures économiques, mu</w:t>
      </w:r>
      <w:r>
        <w:rPr>
          <w:noProof/>
        </w:rPr>
        <w:t>nicipales, sociales et de transport, ainsi que pour des projets de technologie contribuant à la transition écologique et numérique du secteur public, avec une dotation prévue de 26 544 562 EUR (200 000 000 HRK). Cette mesure consiste à créer des fonds de b</w:t>
      </w:r>
      <w:r>
        <w:rPr>
          <w:noProof/>
        </w:rPr>
        <w:t>onification d’intérêts par l’intermédiaire de HBOR afin de financer des entités publiques pour des investissements durables dans les infrastructures et les technologies.</w:t>
      </w:r>
    </w:p>
    <w:p w14:paraId="07C90F66" w14:textId="77777777" w:rsidR="00553430" w:rsidRDefault="00212577">
      <w:pPr>
        <w:pStyle w:val="P68B1DB1-Normal42"/>
        <w:spacing w:after="0" w:line="240" w:lineRule="auto"/>
        <w:ind w:left="720"/>
        <w:jc w:val="both"/>
        <w:rPr>
          <w:noProof/>
        </w:rPr>
      </w:pPr>
      <w:r>
        <w:rPr>
          <w:noProof/>
        </w:rPr>
        <w:t xml:space="preserve">Investissement C1.1.1. R4-I5 - Injection de fonds propres dans HBOR pour soutenir les </w:t>
      </w:r>
      <w:r>
        <w:rPr>
          <w:noProof/>
        </w:rPr>
        <w:t>investissements numériques stratégiques et les investissements verts stratégiques </w:t>
      </w:r>
    </w:p>
    <w:p w14:paraId="47606737" w14:textId="77777777" w:rsidR="00553430" w:rsidRDefault="00553430">
      <w:pPr>
        <w:spacing w:after="0" w:line="240" w:lineRule="auto"/>
        <w:ind w:left="720"/>
        <w:jc w:val="both"/>
        <w:rPr>
          <w:rFonts w:ascii="Times New Roman" w:eastAsia="Calibri" w:hAnsi="Times New Roman" w:cs="Times New Roman"/>
          <w:noProof/>
          <w:sz w:val="24"/>
          <w:szCs w:val="24"/>
          <w:u w:val="single"/>
        </w:rPr>
      </w:pPr>
    </w:p>
    <w:p w14:paraId="5864746F" w14:textId="77777777" w:rsidR="00553430" w:rsidRDefault="00212577">
      <w:pPr>
        <w:pStyle w:val="P68B1DB1-Normal33"/>
        <w:spacing w:after="0" w:line="240" w:lineRule="auto"/>
        <w:jc w:val="both"/>
        <w:rPr>
          <w:noProof/>
        </w:rPr>
      </w:pPr>
      <w:r>
        <w:rPr>
          <w:noProof/>
        </w:rPr>
        <w:t>Cette mesure vise à soutenir le potentiel de croissance de l’économie croate en ajustant structurellement le niveau de soutien public disponible pour remédier aux déf</w:t>
      </w:r>
      <w:r>
        <w:rPr>
          <w:noProof/>
        </w:rPr>
        <w:t>aillances et aux inefficacités du marché au sein de l’économie, dans deux domaines spécifiques, la transition numérique et la transition écologique.</w:t>
      </w:r>
    </w:p>
    <w:p w14:paraId="20D39CCB" w14:textId="77777777" w:rsidR="00553430" w:rsidRDefault="00212577">
      <w:pPr>
        <w:pStyle w:val="P68B1DB1-Normal33"/>
        <w:spacing w:after="0" w:line="240" w:lineRule="auto"/>
        <w:jc w:val="both"/>
        <w:rPr>
          <w:noProof/>
        </w:rPr>
      </w:pPr>
      <w:r>
        <w:rPr>
          <w:noProof/>
        </w:rPr>
        <w:t> </w:t>
      </w:r>
    </w:p>
    <w:p w14:paraId="7132E2BF" w14:textId="77777777" w:rsidR="00553430" w:rsidRDefault="00212577">
      <w:pPr>
        <w:pStyle w:val="P68B1DB1-Normal33"/>
        <w:spacing w:after="0" w:line="240" w:lineRule="auto"/>
        <w:jc w:val="both"/>
        <w:rPr>
          <w:noProof/>
        </w:rPr>
      </w:pPr>
      <w:r>
        <w:rPr>
          <w:noProof/>
        </w:rPr>
        <w:t>La mesure consistera en une injection de fonds propres de 277 398 368 EUR dans la banque croate pour la r</w:t>
      </w:r>
      <w:r>
        <w:rPr>
          <w:noProof/>
        </w:rPr>
        <w:t>estructuration et le développement (HBOR). </w:t>
      </w:r>
    </w:p>
    <w:p w14:paraId="4831B2C5" w14:textId="77777777" w:rsidR="00553430" w:rsidRDefault="00553430">
      <w:pPr>
        <w:spacing w:after="0" w:line="240" w:lineRule="auto"/>
        <w:jc w:val="both"/>
        <w:rPr>
          <w:rFonts w:ascii="Times New Roman" w:eastAsia="Calibri" w:hAnsi="Times New Roman" w:cs="Times New Roman"/>
          <w:b/>
          <w:bCs/>
          <w:noProof/>
          <w:sz w:val="24"/>
          <w:szCs w:val="24"/>
        </w:rPr>
      </w:pPr>
    </w:p>
    <w:p w14:paraId="35A4134C" w14:textId="77777777" w:rsidR="00553430" w:rsidRDefault="00212577">
      <w:pPr>
        <w:pStyle w:val="P68B1DB1-Normal33"/>
        <w:spacing w:after="0" w:line="240" w:lineRule="auto"/>
        <w:jc w:val="both"/>
        <w:rPr>
          <w:noProof/>
        </w:rPr>
      </w:pPr>
      <w:r>
        <w:rPr>
          <w:noProof/>
        </w:rPr>
        <w:t xml:space="preserve">HBOR adopte une nouvelle politique d'investissement pour l'utilisation des fonds propres supplémentaires. La politique d’investissement comprend la description du ou des produits financiers avec le type attendu </w:t>
      </w:r>
      <w:r>
        <w:rPr>
          <w:noProof/>
        </w:rPr>
        <w:t>de bénéficiaires finaux éligibles que les fonds propres supplémentaires devraient initialement soutenir, y compris le calendrier prévu pour la mise en œuvre et le montant attendu de chaque produit financier. HBOR utilise pour les fonds propres supplémentai</w:t>
      </w:r>
      <w:r>
        <w:rPr>
          <w:noProof/>
        </w:rPr>
        <w:t>res le même système d’audit et de contrôle que celui qui a été évalué positivement par la Commission conformément à l’article 157 du règlement (UE, Euratom) 2024/2509. </w:t>
      </w:r>
    </w:p>
    <w:p w14:paraId="72851B61" w14:textId="77777777" w:rsidR="00553430" w:rsidRDefault="00553430">
      <w:pPr>
        <w:spacing w:after="0" w:line="240" w:lineRule="auto"/>
        <w:jc w:val="both"/>
        <w:rPr>
          <w:rFonts w:ascii="Times New Roman" w:eastAsia="Calibri" w:hAnsi="Times New Roman" w:cs="Times New Roman"/>
          <w:noProof/>
          <w:sz w:val="24"/>
          <w:szCs w:val="24"/>
        </w:rPr>
      </w:pPr>
    </w:p>
    <w:p w14:paraId="77785118" w14:textId="4BAE002A" w:rsidR="00553430" w:rsidRDefault="00212577">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La politique d’investissement exige que les produits financiers soutenus par les fonds</w:t>
      </w:r>
      <w:r>
        <w:rPr>
          <w:rFonts w:ascii="Times New Roman" w:eastAsia="Calibri" w:hAnsi="Times New Roman" w:cs="Times New Roman"/>
          <w:noProof/>
          <w:sz w:val="24"/>
          <w:szCs w:val="24"/>
        </w:rPr>
        <w:t xml:space="preserve"> propres supplémentaires respectent le principe consistant à «ne pas causer de préjudice important» (DNSH) énoncé dans les orientations techniques DNSH (2021/C58/01). En particulier, la politique d'investissement exclut de l'éligibilité la liste suivante d</w:t>
      </w:r>
      <w:r>
        <w:rPr>
          <w:rFonts w:ascii="Times New Roman" w:eastAsia="Calibri" w:hAnsi="Times New Roman" w:cs="Times New Roman"/>
          <w:noProof/>
          <w:sz w:val="24"/>
          <w:szCs w:val="24"/>
        </w:rPr>
        <w:t>'activités et d'actifs: (i) les activités et les actifs liés aux combustibles fossiles, y compris l’utilisation en aval,</w:t>
      </w:r>
      <w:r w:rsidRPr="0037173D">
        <w:rPr>
          <w:rStyle w:val="FootnoteReference"/>
          <w:rFonts w:ascii="Times New Roman" w:eastAsia="Calibri" w:hAnsi="Times New Roman" w:cs="Times New Roman"/>
          <w:b w:val="0"/>
          <w:bCs/>
          <w:noProof/>
          <w:sz w:val="24"/>
          <w:szCs w:val="24"/>
        </w:rPr>
        <w:footnoteReference w:id="1"/>
      </w:r>
      <w:r>
        <w:rPr>
          <w:rFonts w:ascii="Times New Roman" w:eastAsia="Calibri" w:hAnsi="Times New Roman" w:cs="Times New Roman"/>
          <w:noProof/>
          <w:sz w:val="24"/>
          <w:szCs w:val="24"/>
        </w:rPr>
        <w:t>(ii) les activités et les actifs relevant du système d’échange de quotas d’émission de l’UE (SEQE) permettant d’atteindre des émissions</w:t>
      </w:r>
      <w:r>
        <w:rPr>
          <w:rFonts w:ascii="Times New Roman" w:eastAsia="Calibri" w:hAnsi="Times New Roman" w:cs="Times New Roman"/>
          <w:noProof/>
          <w:sz w:val="24"/>
          <w:szCs w:val="24"/>
        </w:rPr>
        <w:t xml:space="preserve"> de gaz à effet de serre prévues qui ne sont pas inférieures aux référentiels pertinents,</w:t>
      </w:r>
      <w:r w:rsidRPr="0037173D">
        <w:rPr>
          <w:rStyle w:val="FootnoteReference"/>
          <w:rFonts w:ascii="Times New Roman" w:eastAsia="Calibri" w:hAnsi="Times New Roman" w:cs="Times New Roman"/>
          <w:b w:val="0"/>
          <w:bCs/>
          <w:noProof/>
          <w:sz w:val="24"/>
          <w:szCs w:val="24"/>
        </w:rPr>
        <w:footnoteReference w:id="2"/>
      </w:r>
      <w:r>
        <w:rPr>
          <w:rFonts w:ascii="Times New Roman" w:eastAsia="Calibri" w:hAnsi="Times New Roman" w:cs="Times New Roman"/>
          <w:noProof/>
          <w:sz w:val="24"/>
          <w:szCs w:val="24"/>
        </w:rPr>
        <w:t xml:space="preserve"> (iii) les activités et les actifs liés aux décharges de déchets, aux incinérateurs</w:t>
      </w:r>
      <w:r w:rsidRPr="0037173D">
        <w:rPr>
          <w:rStyle w:val="FootnoteReference"/>
          <w:rFonts w:ascii="Times New Roman" w:eastAsia="Calibri" w:hAnsi="Times New Roman" w:cs="Times New Roman"/>
          <w:b w:val="0"/>
          <w:bCs/>
          <w:noProof/>
          <w:sz w:val="24"/>
          <w:szCs w:val="24"/>
        </w:rPr>
        <w:footnoteReference w:id="3"/>
      </w:r>
      <w:r>
        <w:rPr>
          <w:rFonts w:ascii="Times New Roman" w:eastAsia="Calibri" w:hAnsi="Times New Roman" w:cs="Times New Roman"/>
          <w:noProof/>
          <w:sz w:val="24"/>
          <w:szCs w:val="24"/>
        </w:rPr>
        <w:t xml:space="preserve"> et aux usines de traitement biologique mécanique.</w:t>
      </w:r>
      <w:r w:rsidRPr="0037173D">
        <w:rPr>
          <w:rStyle w:val="FootnoteReference"/>
          <w:rFonts w:ascii="Times New Roman" w:eastAsia="Calibri" w:hAnsi="Times New Roman" w:cs="Times New Roman"/>
          <w:b w:val="0"/>
          <w:bCs/>
          <w:noProof/>
          <w:sz w:val="24"/>
          <w:szCs w:val="24"/>
        </w:rPr>
        <w:footnoteReference w:id="4"/>
      </w:r>
      <w:r>
        <w:rPr>
          <w:rFonts w:ascii="Times New Roman" w:eastAsia="Calibri" w:hAnsi="Times New Roman" w:cs="Times New Roman"/>
          <w:noProof/>
          <w:sz w:val="24"/>
          <w:szCs w:val="24"/>
        </w:rPr>
        <w:t xml:space="preserve"> En outre, dans le cas d'un sou</w:t>
      </w:r>
      <w:r>
        <w:rPr>
          <w:rFonts w:ascii="Times New Roman" w:eastAsia="Calibri" w:hAnsi="Times New Roman" w:cs="Times New Roman"/>
          <w:noProof/>
          <w:sz w:val="24"/>
          <w:szCs w:val="24"/>
        </w:rPr>
        <w:t>tien général aux entreprises, la politique d'investissement exclut les entreprises qui se concentrent essentiellement</w:t>
      </w:r>
      <w:r w:rsidRPr="0037173D">
        <w:rPr>
          <w:rStyle w:val="FootnoteReference"/>
          <w:rFonts w:ascii="Times New Roman" w:eastAsia="Calibri" w:hAnsi="Times New Roman" w:cs="Times New Roman"/>
          <w:b w:val="0"/>
          <w:bCs/>
          <w:noProof/>
          <w:sz w:val="24"/>
          <w:szCs w:val="24"/>
        </w:rPr>
        <w:footnoteReference w:id="5"/>
      </w:r>
      <w:r>
        <w:rPr>
          <w:rFonts w:ascii="Times New Roman" w:eastAsia="Calibri" w:hAnsi="Times New Roman" w:cs="Times New Roman"/>
          <w:noProof/>
          <w:sz w:val="24"/>
          <w:szCs w:val="24"/>
        </w:rPr>
        <w:t xml:space="preserve"> sur les secteurs suivants: i) la production d’énergie à partir de combustibles fossiles et les activités connexes</w:t>
      </w:r>
      <w:r w:rsidRPr="0037173D">
        <w:rPr>
          <w:rStyle w:val="FootnoteReference"/>
          <w:rFonts w:ascii="Times New Roman" w:eastAsia="Calibri" w:hAnsi="Times New Roman" w:cs="Times New Roman"/>
          <w:b w:val="0"/>
          <w:bCs/>
          <w:noProof/>
          <w:sz w:val="24"/>
          <w:szCs w:val="24"/>
        </w:rPr>
        <w:footnoteReference w:id="6"/>
      </w:r>
      <w:r>
        <w:rPr>
          <w:rFonts w:ascii="Times New Roman" w:eastAsia="Calibri" w:hAnsi="Times New Roman" w:cs="Times New Roman"/>
          <w:noProof/>
          <w:sz w:val="24"/>
          <w:szCs w:val="24"/>
        </w:rPr>
        <w:t xml:space="preserve"> ii) les industries à f</w:t>
      </w:r>
      <w:r>
        <w:rPr>
          <w:rFonts w:ascii="Times New Roman" w:eastAsia="Calibri" w:hAnsi="Times New Roman" w:cs="Times New Roman"/>
          <w:noProof/>
          <w:sz w:val="24"/>
          <w:szCs w:val="24"/>
        </w:rPr>
        <w:t>orte intensité énergétique et/ou émettant beaucoup de CO2;</w:t>
      </w:r>
      <w:r w:rsidRPr="0037173D">
        <w:rPr>
          <w:rStyle w:val="FootnoteReference"/>
          <w:rFonts w:ascii="Times New Roman" w:eastAsia="Calibri" w:hAnsi="Times New Roman" w:cs="Times New Roman"/>
          <w:b w:val="0"/>
          <w:bCs/>
          <w:noProof/>
          <w:sz w:val="24"/>
          <w:szCs w:val="24"/>
        </w:rPr>
        <w:footnoteReference w:id="7"/>
      </w:r>
      <w:r>
        <w:rPr>
          <w:rFonts w:ascii="Times New Roman" w:eastAsia="Calibri" w:hAnsi="Times New Roman" w:cs="Times New Roman"/>
          <w:noProof/>
          <w:sz w:val="24"/>
          <w:szCs w:val="24"/>
        </w:rPr>
        <w:t xml:space="preserve"> iii) la production, la location ou la vente de véhicules polluants;</w:t>
      </w:r>
      <w:r w:rsidRPr="0037173D">
        <w:rPr>
          <w:rStyle w:val="FootnoteReference"/>
          <w:rFonts w:ascii="Times New Roman" w:eastAsia="Calibri" w:hAnsi="Times New Roman" w:cs="Times New Roman"/>
          <w:b w:val="0"/>
          <w:bCs/>
          <w:noProof/>
          <w:sz w:val="24"/>
          <w:szCs w:val="24"/>
        </w:rPr>
        <w:footnoteReference w:id="8"/>
      </w:r>
      <w:r>
        <w:rPr>
          <w:rFonts w:ascii="Times New Roman" w:eastAsia="Calibri" w:hAnsi="Times New Roman" w:cs="Times New Roman"/>
          <w:noProof/>
          <w:sz w:val="24"/>
          <w:szCs w:val="24"/>
        </w:rPr>
        <w:t xml:space="preserve"> iv) la collecte, le traitement et</w:t>
      </w:r>
      <w:r w:rsidRPr="0037173D">
        <w:rPr>
          <w:rStyle w:val="FootnoteReference"/>
          <w:rFonts w:ascii="Times New Roman" w:eastAsia="Calibri" w:hAnsi="Times New Roman" w:cs="Times New Roman"/>
          <w:b w:val="0"/>
          <w:bCs/>
          <w:noProof/>
          <w:sz w:val="24"/>
          <w:szCs w:val="24"/>
        </w:rPr>
        <w:footnoteReference w:id="9"/>
      </w:r>
      <w:r>
        <w:rPr>
          <w:rFonts w:ascii="Times New Roman" w:eastAsia="Calibri" w:hAnsi="Times New Roman" w:cs="Times New Roman"/>
          <w:noProof/>
          <w:sz w:val="24"/>
          <w:szCs w:val="24"/>
        </w:rPr>
        <w:t xml:space="preserve"> l’élimination des déchets, v) le traitement du combustible nucléaire et la production d’éner</w:t>
      </w:r>
      <w:r>
        <w:rPr>
          <w:rFonts w:ascii="Times New Roman" w:eastAsia="Calibri" w:hAnsi="Times New Roman" w:cs="Times New Roman"/>
          <w:noProof/>
          <w:sz w:val="24"/>
          <w:szCs w:val="24"/>
        </w:rPr>
        <w:t>gie nucléaire. En outre, la politique d'investissement exige le respect de la législation environnementale pertinente de l'UE et des États membres par les bénéficiaires finals.</w:t>
      </w:r>
    </w:p>
    <w:p w14:paraId="5DCC0578" w14:textId="77777777" w:rsidR="00553430" w:rsidRDefault="00553430">
      <w:pPr>
        <w:spacing w:after="0" w:line="240" w:lineRule="auto"/>
        <w:jc w:val="both"/>
        <w:rPr>
          <w:rFonts w:ascii="Times New Roman" w:eastAsia="Calibri" w:hAnsi="Times New Roman" w:cs="Times New Roman"/>
          <w:noProof/>
          <w:sz w:val="24"/>
          <w:szCs w:val="24"/>
        </w:rPr>
      </w:pPr>
    </w:p>
    <w:p w14:paraId="76FAC141" w14:textId="2D515D07" w:rsidR="00553430" w:rsidRDefault="00212577">
      <w:pPr>
        <w:pStyle w:val="P68B1DB1-Normal33"/>
        <w:spacing w:after="0" w:line="240" w:lineRule="auto"/>
        <w:jc w:val="both"/>
        <w:rPr>
          <w:noProof/>
        </w:rPr>
      </w:pPr>
      <w:r>
        <w:rPr>
          <w:noProof/>
        </w:rPr>
        <w:t xml:space="preserve">La mise en œuvre de la mesure est achevée au plus tard le 31 août 2026. </w:t>
      </w:r>
    </w:p>
    <w:p w14:paraId="0CD4D3B3" w14:textId="77777777" w:rsidR="00553430" w:rsidRDefault="00553430">
      <w:pPr>
        <w:spacing w:after="0" w:line="240" w:lineRule="auto"/>
        <w:jc w:val="both"/>
        <w:rPr>
          <w:rFonts w:ascii="Times New Roman" w:eastAsia="Calibri" w:hAnsi="Times New Roman" w:cs="Times New Roman"/>
          <w:noProof/>
          <w:sz w:val="24"/>
          <w:szCs w:val="24"/>
        </w:rPr>
      </w:pPr>
    </w:p>
    <w:p w14:paraId="5BCA41E2" w14:textId="77777777" w:rsidR="00553430" w:rsidRDefault="00212577">
      <w:pPr>
        <w:pStyle w:val="P68B1DB1-Normal42"/>
        <w:keepNext/>
        <w:spacing w:line="240" w:lineRule="auto"/>
        <w:ind w:left="850"/>
        <w:jc w:val="both"/>
        <w:rPr>
          <w:noProof/>
        </w:rPr>
      </w:pPr>
      <w:r>
        <w:rPr>
          <w:noProof/>
        </w:rPr>
        <w:t>Inve</w:t>
      </w:r>
      <w:r>
        <w:rPr>
          <w:noProof/>
        </w:rPr>
        <w:t>stissement C1.1.1 R5-I1 — Investissements dans des instruments financiers sous forme de fonds propres et de quasi-fonds propres</w:t>
      </w:r>
    </w:p>
    <w:p w14:paraId="794E5C5B" w14:textId="77777777" w:rsidR="00553430" w:rsidRDefault="00212577">
      <w:pPr>
        <w:pStyle w:val="P68B1DB1-Normal46"/>
        <w:spacing w:line="240" w:lineRule="auto"/>
        <w:jc w:val="both"/>
        <w:rPr>
          <w:rFonts w:eastAsia="Calibri"/>
          <w:noProof/>
        </w:rPr>
      </w:pPr>
      <w:r>
        <w:rPr>
          <w:noProof/>
        </w:rPr>
        <w:t>L’objectif de l’investissement est d’assurer un développement plus rapide des entreprises privées qui ne sont pas en mesure d’ob</w:t>
      </w:r>
      <w:r>
        <w:rPr>
          <w:noProof/>
        </w:rPr>
        <w:t xml:space="preserve">tenir un financement auprès d’institutions financières traditionnelles, avec une dotation prévue de 29 862 632 EUR (225 000 000 HRK). Cette mesure consiste à mettre en place des instruments de fonds propres et de quasi-fonds propres par l’intermédiaire du </w:t>
      </w:r>
      <w:r>
        <w:rPr>
          <w:noProof/>
        </w:rPr>
        <w:t>HBOR et du FEI afin de canaliser les investissements vers le capital-investissement, les fonds de capital-risque et les co-investissements.</w:t>
      </w:r>
    </w:p>
    <w:p w14:paraId="4E3A066B" w14:textId="77777777" w:rsidR="00553430" w:rsidRDefault="00212577">
      <w:pPr>
        <w:pStyle w:val="P68B1DB1-Normal42"/>
        <w:keepNext/>
        <w:spacing w:line="240" w:lineRule="auto"/>
        <w:ind w:left="850"/>
        <w:jc w:val="both"/>
        <w:rPr>
          <w:noProof/>
        </w:rPr>
      </w:pPr>
      <w:r>
        <w:rPr>
          <w:noProof/>
        </w:rPr>
        <w:t>Investissement C1.1.1 R6-I1 – Transformer et renforcer la compétitivité des industries culturelles et créatives</w:t>
      </w:r>
    </w:p>
    <w:p w14:paraId="23151E59" w14:textId="05E0366B" w:rsidR="00553430" w:rsidRDefault="00212577">
      <w:pPr>
        <w:pStyle w:val="P68B1DB1-Normal33"/>
        <w:spacing w:line="240" w:lineRule="auto"/>
        <w:jc w:val="both"/>
        <w:rPr>
          <w:noProof/>
        </w:rPr>
      </w:pPr>
      <w:r>
        <w:rPr>
          <w:noProof/>
        </w:rPr>
        <w:t>L’ob</w:t>
      </w:r>
      <w:r>
        <w:rPr>
          <w:noProof/>
        </w:rPr>
        <w:t>jectif de l’investissement est de soutenir la transformation et la compétitivité des industries culturelles et créatives. Cette mesure consiste à financer, au moyen de subventions, le renforcement des capacités des micro, petites et moyennes entreprises et</w:t>
      </w:r>
      <w:r>
        <w:rPr>
          <w:noProof/>
        </w:rPr>
        <w:t xml:space="preserve"> d’autres personnes physiques et morales actives dans les secteurs de la culture et de la création. </w:t>
      </w:r>
    </w:p>
    <w:p w14:paraId="7C3A1040" w14:textId="77777777" w:rsidR="00553430" w:rsidRDefault="00212577">
      <w:pPr>
        <w:pStyle w:val="P68B1DB1-Normal42"/>
        <w:keepNext/>
        <w:spacing w:line="240" w:lineRule="auto"/>
        <w:ind w:left="850"/>
        <w:jc w:val="both"/>
        <w:rPr>
          <w:noProof/>
        </w:rPr>
      </w:pPr>
      <w:r>
        <w:rPr>
          <w:noProof/>
        </w:rPr>
        <w:t>Investissement C1.1.1 R6-I2 – Mise en place d’un système de vérification des faits et d’information du public dans les médias</w:t>
      </w:r>
    </w:p>
    <w:p w14:paraId="5A8E51DF" w14:textId="77777777" w:rsidR="00553430" w:rsidRDefault="00212577">
      <w:pPr>
        <w:pStyle w:val="P68B1DB1-Normal33"/>
        <w:spacing w:line="240" w:lineRule="auto"/>
        <w:jc w:val="both"/>
        <w:rPr>
          <w:noProof/>
        </w:rPr>
      </w:pPr>
      <w:r>
        <w:rPr>
          <w:noProof/>
        </w:rPr>
        <w:t>L’objectif de l’investissemen</w:t>
      </w:r>
      <w:r>
        <w:rPr>
          <w:noProof/>
        </w:rPr>
        <w:t>t est de renforcer la capacité à lutter contre la désinformation. L’investissement soutient la mise en place d’un système de vérification des faits sur les médias par l’Agence des médias électroniques, y compris l’élaboration de cadres, d’outils et de comp</w:t>
      </w:r>
      <w:r>
        <w:rPr>
          <w:noProof/>
        </w:rPr>
        <w:t xml:space="preserve">étences. </w:t>
      </w:r>
    </w:p>
    <w:p w14:paraId="20E7C423" w14:textId="77777777" w:rsidR="00553430" w:rsidRDefault="00212577">
      <w:pPr>
        <w:pStyle w:val="P68B1DB1-Normal42"/>
        <w:keepNext/>
        <w:spacing w:line="240" w:lineRule="auto"/>
        <w:ind w:left="850"/>
        <w:jc w:val="both"/>
        <w:rPr>
          <w:noProof/>
        </w:rPr>
      </w:pPr>
      <w:r>
        <w:rPr>
          <w:noProof/>
        </w:rPr>
        <w:t>Sous-composante C.1.1.2 – Stimuler l’innovation et numériser l’économie</w:t>
      </w:r>
    </w:p>
    <w:p w14:paraId="765C2A4F" w14:textId="77777777" w:rsidR="00553430" w:rsidRDefault="00212577">
      <w:pPr>
        <w:pStyle w:val="P68B1DB1-Normal33"/>
        <w:keepNext/>
        <w:spacing w:line="240" w:lineRule="auto"/>
        <w:jc w:val="both"/>
        <w:rPr>
          <w:noProof/>
        </w:rPr>
      </w:pPr>
      <w:r>
        <w:rPr>
          <w:noProof/>
        </w:rPr>
        <w:t>L’objectif de cette sous-composante est d’améliorer la position de l’économie croate sur la chaîne de valeur en stimulant l’innovation et la numérisation dans le secteur priv</w:t>
      </w:r>
      <w:r>
        <w:rPr>
          <w:noProof/>
        </w:rPr>
        <w:t>é. Les mesures de cette sous-composante comprennent l’adoption d’un cadre législatif plus favorable aux investissements, l’octroi d’un soutien administratif et financier aux jeunes entreprises innovantes afin de promouvoir le développement et la commercial</w:t>
      </w:r>
      <w:r>
        <w:rPr>
          <w:noProof/>
        </w:rPr>
        <w:t>isation de produits innovants, et l’octroi d’un soutien aux entreprises pour leur transition numérique.</w:t>
      </w:r>
    </w:p>
    <w:p w14:paraId="48D0105C" w14:textId="77777777" w:rsidR="00553430" w:rsidRDefault="00212577">
      <w:pPr>
        <w:pStyle w:val="P68B1DB1-Normal42"/>
        <w:keepNext/>
        <w:spacing w:line="240" w:lineRule="auto"/>
        <w:ind w:left="850"/>
        <w:jc w:val="both"/>
        <w:rPr>
          <w:noProof/>
        </w:rPr>
      </w:pPr>
      <w:r>
        <w:rPr>
          <w:noProof/>
        </w:rPr>
        <w:t>Réforme C1.1.2 R1 – Réforme du système d’incitation à la R&amp;D</w:t>
      </w:r>
    </w:p>
    <w:p w14:paraId="71107668" w14:textId="77777777" w:rsidR="00553430" w:rsidRDefault="00212577">
      <w:pPr>
        <w:pStyle w:val="P68B1DB1-Normal33"/>
        <w:spacing w:line="240" w:lineRule="auto"/>
        <w:jc w:val="both"/>
        <w:rPr>
          <w:b/>
          <w:bCs/>
          <w:noProof/>
        </w:rPr>
      </w:pPr>
      <w:r>
        <w:rPr>
          <w:noProof/>
        </w:rPr>
        <w:t>L'objectif de la réforme est d'augmenter le nombre d'entreprises qui investissent et la tai</w:t>
      </w:r>
      <w:r>
        <w:rPr>
          <w:noProof/>
        </w:rPr>
        <w:t xml:space="preserve">lle des investissements dans la R&amp;D. </w:t>
      </w:r>
    </w:p>
    <w:p w14:paraId="1F9B5D95" w14:textId="77777777" w:rsidR="00553430" w:rsidRDefault="00212577">
      <w:pPr>
        <w:pStyle w:val="P68B1DB1-Normal33"/>
        <w:spacing w:line="240" w:lineRule="auto"/>
        <w:jc w:val="both"/>
        <w:rPr>
          <w:b/>
          <w:bCs/>
          <w:noProof/>
        </w:rPr>
      </w:pPr>
      <w:r>
        <w:rPr>
          <w:noProof/>
        </w:rPr>
        <w:t>Cette mesure consiste à analyser l’actuel régime d’incitations fiscales en faveur de la R&amp;D et à modifier le cadre juridique afin de simplifier les procédures, de réduire les charges et d’améliorer l’accessibilité.</w:t>
      </w:r>
    </w:p>
    <w:p w14:paraId="2661E2E4" w14:textId="77777777" w:rsidR="00553430" w:rsidRDefault="00212577">
      <w:pPr>
        <w:pStyle w:val="P68B1DB1-Normal42"/>
        <w:keepNext/>
        <w:spacing w:line="240" w:lineRule="auto"/>
        <w:ind w:left="850"/>
        <w:jc w:val="both"/>
        <w:rPr>
          <w:noProof/>
        </w:rPr>
      </w:pPr>
      <w:r>
        <w:rPr>
          <w:noProof/>
        </w:rPr>
        <w:t>Investissement C1.1.2 R2-I2 – Investir dans la capacité de gestion des petites et moyennes entreprises</w:t>
      </w:r>
    </w:p>
    <w:p w14:paraId="1449FC6E" w14:textId="77777777" w:rsidR="00553430" w:rsidRDefault="00212577">
      <w:pPr>
        <w:pStyle w:val="P68B1DB1-Normal33"/>
        <w:spacing w:line="240" w:lineRule="auto"/>
        <w:jc w:val="both"/>
        <w:rPr>
          <w:noProof/>
        </w:rPr>
      </w:pPr>
      <w:r>
        <w:rPr>
          <w:noProof/>
        </w:rPr>
        <w:t>L’objectif de l’investissement est d’aider les entreprises à développer leurs activités, à accroître leur productivité et à créer des emplois en fourniss</w:t>
      </w:r>
      <w:r>
        <w:rPr>
          <w:noProof/>
        </w:rPr>
        <w:t xml:space="preserve">ant un soutien en matière de conseil aux PME afin d’accroître leur capacité de gestion. </w:t>
      </w:r>
    </w:p>
    <w:p w14:paraId="7565B2E4" w14:textId="77777777" w:rsidR="00553430" w:rsidRDefault="00212577">
      <w:pPr>
        <w:pStyle w:val="P68B1DB1-Normal33"/>
        <w:spacing w:line="240" w:lineRule="auto"/>
        <w:jc w:val="both"/>
        <w:rPr>
          <w:noProof/>
        </w:rPr>
      </w:pPr>
      <w:r>
        <w:rPr>
          <w:noProof/>
        </w:rPr>
        <w:t xml:space="preserve">Cette mesure consiste à fournir des services de conseil, de formation et de tutorat aux PME afin de renforcer leurs capacités de gestion. </w:t>
      </w:r>
    </w:p>
    <w:p w14:paraId="598CD81A" w14:textId="77777777" w:rsidR="00553430" w:rsidRDefault="00212577">
      <w:pPr>
        <w:pStyle w:val="P68B1DB1-Normal42"/>
        <w:keepNext/>
        <w:spacing w:line="240" w:lineRule="auto"/>
        <w:ind w:left="850"/>
        <w:jc w:val="both"/>
        <w:rPr>
          <w:noProof/>
        </w:rPr>
      </w:pPr>
      <w:r>
        <w:rPr>
          <w:noProof/>
        </w:rPr>
        <w:t xml:space="preserve">Investissement C1.1.2 R2-I3 </w:t>
      </w:r>
      <w:r>
        <w:rPr>
          <w:noProof/>
        </w:rPr>
        <w:t>– Subvention de démarrage</w:t>
      </w:r>
    </w:p>
    <w:p w14:paraId="0B4B4047" w14:textId="77777777" w:rsidR="00553430" w:rsidRDefault="00212577">
      <w:pPr>
        <w:pStyle w:val="P68B1DB1-Normal33"/>
        <w:spacing w:line="240" w:lineRule="auto"/>
        <w:jc w:val="both"/>
        <w:rPr>
          <w:noProof/>
        </w:rPr>
      </w:pPr>
      <w:r>
        <w:rPr>
          <w:noProof/>
        </w:rPr>
        <w:t>L'objectif de cet investissement est de stimuler la croissance des start-ups dans les secteurs de la haute technologie et de la connaissance dans la phase précommerciale en soutenant le développement de produits, l'augmentation de</w:t>
      </w:r>
      <w:r>
        <w:rPr>
          <w:noProof/>
        </w:rPr>
        <w:t xml:space="preserve"> la capacité de production et la préparation à l'investissement. </w:t>
      </w:r>
    </w:p>
    <w:p w14:paraId="60EDADAC" w14:textId="77777777" w:rsidR="00553430" w:rsidRDefault="00212577">
      <w:pPr>
        <w:pStyle w:val="P68B1DB1-Normal33"/>
        <w:spacing w:line="240" w:lineRule="auto"/>
        <w:jc w:val="both"/>
        <w:rPr>
          <w:noProof/>
        </w:rPr>
      </w:pPr>
      <w:r>
        <w:rPr>
          <w:noProof/>
        </w:rPr>
        <w:t>Cette mesure consiste à octroyer des subventions aux jeunes entreprises en phase précommerciale afin de soutenir le développement de produits, l’expansion des capacités et la préparation à l</w:t>
      </w:r>
      <w:r>
        <w:rPr>
          <w:noProof/>
        </w:rPr>
        <w:t>’investissement.</w:t>
      </w:r>
    </w:p>
    <w:p w14:paraId="192C7D13" w14:textId="77777777" w:rsidR="00553430" w:rsidRDefault="00212577">
      <w:pPr>
        <w:pStyle w:val="P68B1DB1-Normal42"/>
        <w:keepNext/>
        <w:spacing w:line="240" w:lineRule="auto"/>
        <w:ind w:left="850"/>
        <w:jc w:val="both"/>
        <w:rPr>
          <w:noProof/>
        </w:rPr>
      </w:pPr>
      <w:r>
        <w:rPr>
          <w:noProof/>
        </w:rPr>
        <w:t>Investissement C1.1.2 R2-I4 – Renforcer les activités d’accélération</w:t>
      </w:r>
    </w:p>
    <w:p w14:paraId="5AC6F05B" w14:textId="295A82FC" w:rsidR="00553430" w:rsidRDefault="00212577">
      <w:pPr>
        <w:pStyle w:val="P68B1DB1-Normal33"/>
        <w:spacing w:line="240" w:lineRule="auto"/>
        <w:jc w:val="both"/>
        <w:rPr>
          <w:noProof/>
        </w:rPr>
      </w:pPr>
      <w:r>
        <w:rPr>
          <w:noProof/>
        </w:rPr>
        <w:t>L'objectif de l'investissement est de soutenir la mise en place d'un programme d'accélération en Croatie. Cette mesure consiste à fournir un tutorat, un soutien à la prép</w:t>
      </w:r>
      <w:r>
        <w:rPr>
          <w:noProof/>
        </w:rPr>
        <w:t xml:space="preserve">aration à l’investissement et un accès aux réseaux d’investisseurs pour des groupes comptant jusqu’à 120 jeunes pousses sur une période d’au moins trois mois. </w:t>
      </w:r>
    </w:p>
    <w:p w14:paraId="1CFFC494" w14:textId="77777777" w:rsidR="00553430" w:rsidRDefault="00212577">
      <w:pPr>
        <w:pStyle w:val="P68B1DB1-Normal42"/>
        <w:keepNext/>
        <w:spacing w:line="240" w:lineRule="auto"/>
        <w:ind w:left="850"/>
        <w:jc w:val="both"/>
        <w:rPr>
          <w:noProof/>
        </w:rPr>
      </w:pPr>
      <w:r>
        <w:rPr>
          <w:noProof/>
        </w:rPr>
        <w:t>Investissement C1.1.2 R2-I5 – Commercialisation de projets d’innovation</w:t>
      </w:r>
    </w:p>
    <w:p w14:paraId="1B251C5D" w14:textId="77777777" w:rsidR="00553430" w:rsidRDefault="00212577">
      <w:pPr>
        <w:pStyle w:val="P68B1DB1-Normal33"/>
        <w:spacing w:line="240" w:lineRule="auto"/>
        <w:jc w:val="both"/>
        <w:rPr>
          <w:noProof/>
        </w:rPr>
      </w:pPr>
      <w:r>
        <w:rPr>
          <w:noProof/>
        </w:rPr>
        <w:t xml:space="preserve">L’objectif de </w:t>
      </w:r>
      <w:r>
        <w:rPr>
          <w:noProof/>
        </w:rPr>
        <w:t>l’investissement est d’encourager la commercialisation de projets d’innovation pour des projets matures proches de l’entrée sur le marché et d’accroître les exportations de produits, de services ou de technologies innovants par les PME en soutenant la créa</w:t>
      </w:r>
      <w:r>
        <w:rPr>
          <w:noProof/>
        </w:rPr>
        <w:t>tion de canaux de vente et de distribution sur les marchés étrangers et en renforçant les liens entre les institutions scientifiques et l’industrie, ainsi qu’entre les petites et moyennes entreprises et les grandes entreprises. Cette mesure consiste à acco</w:t>
      </w:r>
      <w:r>
        <w:rPr>
          <w:noProof/>
        </w:rPr>
        <w:t xml:space="preserve">rder des subventions aux PME dont les projets d’innovation sont parvenus à maturité afin de financer l’adaptation des produits, le lancement sur le marché et l’internationalisation. </w:t>
      </w:r>
    </w:p>
    <w:p w14:paraId="79BDD0E8" w14:textId="77777777" w:rsidR="00553430" w:rsidRDefault="00212577">
      <w:pPr>
        <w:pStyle w:val="P68B1DB1-Normal42"/>
        <w:keepNext/>
        <w:spacing w:line="240" w:lineRule="auto"/>
        <w:ind w:left="850"/>
        <w:jc w:val="both"/>
        <w:rPr>
          <w:noProof/>
        </w:rPr>
      </w:pPr>
      <w:r>
        <w:rPr>
          <w:noProof/>
        </w:rPr>
        <w:t>Investissement C1.1.2 R3-I2 – Chèques de numérisation</w:t>
      </w:r>
    </w:p>
    <w:p w14:paraId="02044C2C" w14:textId="77777777" w:rsidR="00553430" w:rsidRDefault="00212577">
      <w:pPr>
        <w:pStyle w:val="P68B1DB1-Normal33"/>
        <w:spacing w:line="240" w:lineRule="auto"/>
        <w:jc w:val="both"/>
        <w:rPr>
          <w:noProof/>
        </w:rPr>
      </w:pPr>
      <w:r>
        <w:rPr>
          <w:noProof/>
        </w:rPr>
        <w:t>L’objectif de l’inv</w:t>
      </w:r>
      <w:r>
        <w:rPr>
          <w:noProof/>
        </w:rPr>
        <w:t>estissement est d’aider les PME à développer un modèle d’entreprise numérique, à renforcer leur capacité à numériser ou à améliorer leur cybersécurité grâce à l’introduction d’un système de chèques. Cette mesure consiste à fournir des bons aux PME pour des</w:t>
      </w:r>
      <w:r>
        <w:rPr>
          <w:noProof/>
        </w:rPr>
        <w:t xml:space="preserve"> projets de compétences numériques, de cybersécurité et de transformation numérique. </w:t>
      </w:r>
    </w:p>
    <w:p w14:paraId="79EAD912" w14:textId="77777777" w:rsidR="00553430" w:rsidRDefault="00212577">
      <w:pPr>
        <w:pStyle w:val="P68B1DB1-Normal42"/>
        <w:keepNext/>
        <w:spacing w:line="240" w:lineRule="auto"/>
        <w:ind w:left="850"/>
        <w:jc w:val="both"/>
        <w:rPr>
          <w:noProof/>
        </w:rPr>
      </w:pPr>
      <w:r>
        <w:rPr>
          <w:noProof/>
        </w:rPr>
        <w:t>Investissement C1.1.2 R3-I3 – Subventions pour la numérisation</w:t>
      </w:r>
    </w:p>
    <w:p w14:paraId="4196845F" w14:textId="77777777" w:rsidR="00553430" w:rsidRDefault="00212577">
      <w:pPr>
        <w:pStyle w:val="P68B1DB1-Normal33"/>
        <w:spacing w:line="240" w:lineRule="auto"/>
        <w:jc w:val="both"/>
        <w:rPr>
          <w:noProof/>
        </w:rPr>
      </w:pPr>
      <w:r>
        <w:rPr>
          <w:noProof/>
        </w:rPr>
        <w:t>L’objectif de l’investissement est de soutenir la transformation numérique des entreprises croates en appor</w:t>
      </w:r>
      <w:r>
        <w:rPr>
          <w:noProof/>
        </w:rPr>
        <w:t>tant un soutien financier au déploiement de solutions numériques dans leurs activités commerciales. Cette mesure consiste à accorder des subventions aux PME pour le déploiement d’outils numériques, le renforcement des compétences numériques et le développe</w:t>
      </w:r>
      <w:r>
        <w:rPr>
          <w:noProof/>
        </w:rPr>
        <w:t>ment de produits et services numériques innovants.</w:t>
      </w:r>
    </w:p>
    <w:p w14:paraId="46611298" w14:textId="77777777" w:rsidR="00553430" w:rsidRDefault="00553430">
      <w:pPr>
        <w:spacing w:line="240" w:lineRule="auto"/>
        <w:jc w:val="both"/>
        <w:rPr>
          <w:rFonts w:ascii="Times New Roman" w:eastAsia="Calibri" w:hAnsi="Times New Roman" w:cs="Times New Roman"/>
          <w:noProof/>
          <w:sz w:val="24"/>
          <w:szCs w:val="24"/>
        </w:rPr>
      </w:pPr>
    </w:p>
    <w:p w14:paraId="15132225" w14:textId="77777777" w:rsidR="00553430" w:rsidRDefault="00553430">
      <w:pPr>
        <w:spacing w:line="240" w:lineRule="auto"/>
        <w:jc w:val="both"/>
        <w:rPr>
          <w:rFonts w:eastAsia="Calibri"/>
          <w:noProof/>
        </w:rPr>
        <w:sectPr w:rsidR="00553430" w:rsidSect="00FA29B2">
          <w:headerReference w:type="even" r:id="rId15"/>
          <w:headerReference w:type="default" r:id="rId16"/>
          <w:footerReference w:type="even" r:id="rId17"/>
          <w:footerReference w:type="default" r:id="rId18"/>
          <w:headerReference w:type="first" r:id="rId19"/>
          <w:footerReference w:type="first" r:id="rId20"/>
          <w:pgSz w:w="11906" w:h="16838"/>
          <w:pgMar w:top="1134" w:right="1134" w:bottom="1134" w:left="1134" w:header="567" w:footer="567" w:gutter="0"/>
          <w:cols w:space="720"/>
          <w:docGrid w:linePitch="360"/>
        </w:sectPr>
      </w:pPr>
    </w:p>
    <w:p w14:paraId="1A119F83" w14:textId="77777777" w:rsidR="00553430" w:rsidRDefault="00212577">
      <w:pPr>
        <w:pStyle w:val="P68B1DB1-Normal57"/>
        <w:keepNext/>
        <w:spacing w:after="200" w:line="276" w:lineRule="auto"/>
        <w:ind w:left="851"/>
        <w:jc w:val="both"/>
        <w:outlineLvl w:val="1"/>
        <w:rPr>
          <w:rFonts w:eastAsia="Calibri"/>
          <w:noProof/>
        </w:rPr>
      </w:pPr>
      <w:r>
        <w:rPr>
          <w:noProof/>
        </w:rPr>
        <w:t xml:space="preserve">A.2. </w:t>
      </w:r>
      <w:r>
        <w:rPr>
          <w:noProof/>
        </w:rPr>
        <w:tab/>
        <w:t>Étapes, cibles, indicateurs et calendrier pour le suivi et la mise en œuvre du soutien financier non remboursable</w:t>
      </w:r>
    </w:p>
    <w:tbl>
      <w:tblPr>
        <w:tblW w:w="16490" w:type="dxa"/>
        <w:jc w:val="center"/>
        <w:tblCellMar>
          <w:top w:w="28" w:type="dxa"/>
          <w:left w:w="28" w:type="dxa"/>
          <w:bottom w:w="28" w:type="dxa"/>
          <w:right w:w="28" w:type="dxa"/>
        </w:tblCellMar>
        <w:tblLook w:val="04A0" w:firstRow="1" w:lastRow="0" w:firstColumn="1" w:lastColumn="0" w:noHBand="0" w:noVBand="1"/>
      </w:tblPr>
      <w:tblGrid>
        <w:gridCol w:w="768"/>
        <w:gridCol w:w="1205"/>
        <w:gridCol w:w="1022"/>
        <w:gridCol w:w="1768"/>
        <w:gridCol w:w="1555"/>
        <w:gridCol w:w="1167"/>
        <w:gridCol w:w="1056"/>
        <w:gridCol w:w="1056"/>
        <w:gridCol w:w="893"/>
        <w:gridCol w:w="709"/>
        <w:gridCol w:w="5528"/>
      </w:tblGrid>
      <w:tr w:rsidR="00553430" w14:paraId="4468D142" w14:textId="77777777">
        <w:trPr>
          <w:trHeight w:val="300"/>
          <w:tblHeader/>
          <w:jc w:val="center"/>
        </w:trPr>
        <w:tc>
          <w:tcPr>
            <w:tcW w:w="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2135AA" w14:textId="77777777" w:rsidR="00553430" w:rsidRDefault="00212577">
            <w:pPr>
              <w:pStyle w:val="P68B1DB1-Normal58"/>
              <w:spacing w:after="0" w:line="276" w:lineRule="auto"/>
              <w:jc w:val="center"/>
              <w:rPr>
                <w:bCs/>
                <w:noProof/>
              </w:rPr>
            </w:pPr>
            <w:r>
              <w:rPr>
                <w:noProof/>
              </w:rPr>
              <w:t>Numéro</w:t>
            </w:r>
          </w:p>
        </w:tc>
        <w:tc>
          <w:tcPr>
            <w:tcW w:w="120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1482C3" w14:textId="77777777" w:rsidR="00553430" w:rsidRDefault="00212577">
            <w:pPr>
              <w:pStyle w:val="P68B1DB1-Normal58"/>
              <w:spacing w:after="0" w:line="276" w:lineRule="auto"/>
              <w:jc w:val="center"/>
              <w:rPr>
                <w:bCs/>
                <w:noProof/>
              </w:rPr>
            </w:pPr>
            <w:r>
              <w:rPr>
                <w:noProof/>
              </w:rPr>
              <w:t>Mesure</w:t>
            </w:r>
          </w:p>
        </w:tc>
        <w:tc>
          <w:tcPr>
            <w:tcW w:w="10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E96209" w14:textId="77777777" w:rsidR="00553430" w:rsidRDefault="00212577">
            <w:pPr>
              <w:pStyle w:val="P68B1DB1-Normal58"/>
              <w:spacing w:after="0" w:line="276" w:lineRule="auto"/>
              <w:jc w:val="center"/>
              <w:rPr>
                <w:bCs/>
                <w:noProof/>
              </w:rPr>
            </w:pPr>
            <w:r>
              <w:rPr>
                <w:noProof/>
              </w:rPr>
              <w:t>Étape/cible</w:t>
            </w:r>
          </w:p>
        </w:tc>
        <w:tc>
          <w:tcPr>
            <w:tcW w:w="1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F62BC06" w14:textId="77777777" w:rsidR="00553430" w:rsidRDefault="00212577">
            <w:pPr>
              <w:pStyle w:val="P68B1DB1-Normal58"/>
              <w:spacing w:after="0" w:line="276" w:lineRule="auto"/>
              <w:jc w:val="center"/>
              <w:rPr>
                <w:bCs/>
                <w:noProof/>
              </w:rPr>
            </w:pPr>
            <w:r>
              <w:rPr>
                <w:noProof/>
              </w:rPr>
              <w:t>Nom</w:t>
            </w:r>
          </w:p>
        </w:tc>
        <w:tc>
          <w:tcPr>
            <w:tcW w:w="155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9D41A54"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qualitatifs</w:t>
            </w:r>
            <w:r>
              <w:rPr>
                <w:rFonts w:ascii="Times New Roman" w:eastAsia="Calibri" w:hAnsi="Times New Roman" w:cs="Times New Roman"/>
                <w:noProof/>
              </w:rPr>
              <w:br/>
            </w:r>
            <w:r>
              <w:rPr>
                <w:rFonts w:ascii="Times New Roman" w:eastAsia="Times New Roman" w:hAnsi="Times New Roman" w:cs="Times New Roman"/>
                <w:b/>
                <w:noProof/>
              </w:rPr>
              <w:t>(pour les jalons)</w:t>
            </w:r>
          </w:p>
        </w:tc>
        <w:tc>
          <w:tcPr>
            <w:tcW w:w="317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902F4CA"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eastAsia="Calibri" w:hAnsi="Times New Roman" w:cs="Times New Roman"/>
                <w:noProof/>
              </w:rPr>
              <w:br/>
            </w:r>
            <w:r>
              <w:rPr>
                <w:rFonts w:ascii="Times New Roman" w:eastAsia="Times New Roman" w:hAnsi="Times New Roman" w:cs="Times New Roman"/>
                <w:b/>
                <w:noProof/>
              </w:rPr>
              <w:t>(pour les objectifs)</w:t>
            </w:r>
          </w:p>
        </w:tc>
        <w:tc>
          <w:tcPr>
            <w:tcW w:w="1465"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5175AEEA" w14:textId="77777777" w:rsidR="00553430" w:rsidRDefault="00212577">
            <w:pPr>
              <w:pStyle w:val="P68B1DB1-Normal58"/>
              <w:spacing w:after="0" w:line="276" w:lineRule="auto"/>
              <w:jc w:val="center"/>
              <w:rPr>
                <w:bCs/>
                <w:noProof/>
              </w:rPr>
            </w:pPr>
            <w:r>
              <w:rPr>
                <w:noProof/>
              </w:rPr>
              <w:t>Temps</w:t>
            </w:r>
          </w:p>
        </w:tc>
        <w:tc>
          <w:tcPr>
            <w:tcW w:w="55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C4366E" w14:textId="77777777" w:rsidR="00553430" w:rsidRDefault="00212577">
            <w:pPr>
              <w:pStyle w:val="P68B1DB1-Normal58"/>
              <w:spacing w:after="0" w:line="276" w:lineRule="auto"/>
              <w:jc w:val="center"/>
              <w:rPr>
                <w:bCs/>
                <w:noProof/>
              </w:rPr>
            </w:pPr>
            <w:r>
              <w:rPr>
                <w:noProof/>
              </w:rPr>
              <w:t>Description de chaque jalon et cible</w:t>
            </w:r>
          </w:p>
        </w:tc>
      </w:tr>
      <w:tr w:rsidR="00553430" w14:paraId="1EF2A7D5" w14:textId="77777777">
        <w:trPr>
          <w:trHeight w:val="300"/>
          <w:tblHeader/>
          <w:jc w:val="center"/>
        </w:trPr>
        <w:tc>
          <w:tcPr>
            <w:tcW w:w="768" w:type="dxa"/>
            <w:vMerge/>
            <w:tcBorders>
              <w:top w:val="single" w:sz="4" w:space="0" w:color="auto"/>
              <w:left w:val="single" w:sz="4" w:space="0" w:color="auto"/>
              <w:bottom w:val="single" w:sz="4" w:space="0" w:color="auto"/>
              <w:right w:val="single" w:sz="4" w:space="0" w:color="auto"/>
            </w:tcBorders>
            <w:hideMark/>
          </w:tcPr>
          <w:p w14:paraId="0430ACC5"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205" w:type="dxa"/>
            <w:vMerge/>
            <w:tcBorders>
              <w:top w:val="single" w:sz="4" w:space="0" w:color="auto"/>
              <w:left w:val="single" w:sz="4" w:space="0" w:color="auto"/>
              <w:bottom w:val="single" w:sz="4" w:space="0" w:color="auto"/>
              <w:right w:val="single" w:sz="4" w:space="0" w:color="auto"/>
            </w:tcBorders>
            <w:hideMark/>
          </w:tcPr>
          <w:p w14:paraId="5A60A23C" w14:textId="77777777" w:rsidR="00553430" w:rsidRDefault="00553430">
            <w:pPr>
              <w:spacing w:after="0" w:line="276" w:lineRule="auto"/>
              <w:rPr>
                <w:rFonts w:ascii="Times New Roman" w:eastAsia="Times New Roman" w:hAnsi="Times New Roman" w:cs="Times New Roman"/>
                <w:b/>
                <w:noProof/>
                <w:sz w:val="20"/>
                <w:szCs w:val="20"/>
              </w:rPr>
            </w:pPr>
          </w:p>
        </w:tc>
        <w:tc>
          <w:tcPr>
            <w:tcW w:w="1022" w:type="dxa"/>
            <w:vMerge/>
            <w:tcBorders>
              <w:top w:val="single" w:sz="4" w:space="0" w:color="auto"/>
              <w:left w:val="single" w:sz="4" w:space="0" w:color="auto"/>
              <w:bottom w:val="single" w:sz="4" w:space="0" w:color="auto"/>
              <w:right w:val="single" w:sz="4" w:space="0" w:color="auto"/>
            </w:tcBorders>
            <w:hideMark/>
          </w:tcPr>
          <w:p w14:paraId="483CB921"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768" w:type="dxa"/>
            <w:vMerge/>
            <w:tcBorders>
              <w:top w:val="single" w:sz="4" w:space="0" w:color="auto"/>
              <w:left w:val="single" w:sz="4" w:space="0" w:color="auto"/>
              <w:bottom w:val="single" w:sz="4" w:space="0" w:color="auto"/>
              <w:right w:val="single" w:sz="4" w:space="0" w:color="auto"/>
            </w:tcBorders>
            <w:hideMark/>
          </w:tcPr>
          <w:p w14:paraId="5C96FEF4" w14:textId="77777777" w:rsidR="00553430" w:rsidRDefault="00553430">
            <w:pPr>
              <w:spacing w:after="0" w:line="276" w:lineRule="auto"/>
              <w:rPr>
                <w:rFonts w:ascii="Times New Roman" w:eastAsia="Times New Roman" w:hAnsi="Times New Roman" w:cs="Times New Roman"/>
                <w:b/>
                <w:noProof/>
                <w:sz w:val="20"/>
                <w:szCs w:val="20"/>
              </w:rPr>
            </w:pPr>
          </w:p>
        </w:tc>
        <w:tc>
          <w:tcPr>
            <w:tcW w:w="1555" w:type="dxa"/>
            <w:vMerge/>
            <w:tcBorders>
              <w:top w:val="single" w:sz="4" w:space="0" w:color="auto"/>
              <w:left w:val="single" w:sz="4" w:space="0" w:color="auto"/>
              <w:bottom w:val="single" w:sz="4" w:space="0" w:color="auto"/>
              <w:right w:val="single" w:sz="4" w:space="0" w:color="auto"/>
            </w:tcBorders>
            <w:hideMark/>
          </w:tcPr>
          <w:p w14:paraId="27BFB9EC"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67" w:type="dxa"/>
            <w:tcBorders>
              <w:top w:val="single" w:sz="4" w:space="0" w:color="auto"/>
              <w:left w:val="single" w:sz="4" w:space="0" w:color="auto"/>
              <w:bottom w:val="single" w:sz="4" w:space="0" w:color="auto"/>
              <w:right w:val="single" w:sz="4" w:space="0" w:color="auto"/>
            </w:tcBorders>
            <w:shd w:val="clear" w:color="auto" w:fill="BDD7EE"/>
            <w:hideMark/>
          </w:tcPr>
          <w:p w14:paraId="014C6011" w14:textId="77777777" w:rsidR="00553430" w:rsidRDefault="00212577">
            <w:pPr>
              <w:pStyle w:val="P68B1DB1-Normal58"/>
              <w:spacing w:after="0" w:line="276" w:lineRule="auto"/>
              <w:jc w:val="center"/>
              <w:rPr>
                <w:bCs/>
                <w:noProof/>
              </w:rPr>
            </w:pPr>
            <w:r>
              <w:rPr>
                <w:noProof/>
              </w:rPr>
              <w:t>Unité</w:t>
            </w:r>
          </w:p>
        </w:tc>
        <w:tc>
          <w:tcPr>
            <w:tcW w:w="1056" w:type="dxa"/>
            <w:tcBorders>
              <w:top w:val="single" w:sz="4" w:space="0" w:color="auto"/>
              <w:left w:val="single" w:sz="4" w:space="0" w:color="auto"/>
              <w:bottom w:val="single" w:sz="4" w:space="0" w:color="auto"/>
              <w:right w:val="single" w:sz="4" w:space="0" w:color="auto"/>
            </w:tcBorders>
            <w:shd w:val="clear" w:color="auto" w:fill="BDD7EE"/>
            <w:hideMark/>
          </w:tcPr>
          <w:p w14:paraId="6A0E0AAB" w14:textId="77777777" w:rsidR="00553430" w:rsidRDefault="00212577">
            <w:pPr>
              <w:pStyle w:val="P68B1DB1-Normal58"/>
              <w:spacing w:after="0" w:line="276" w:lineRule="auto"/>
              <w:jc w:val="center"/>
              <w:rPr>
                <w:bCs/>
                <w:noProof/>
              </w:rPr>
            </w:pPr>
            <w:r>
              <w:rPr>
                <w:noProof/>
              </w:rPr>
              <w:t>Données de référence</w:t>
            </w:r>
          </w:p>
        </w:tc>
        <w:tc>
          <w:tcPr>
            <w:tcW w:w="1056" w:type="dxa"/>
            <w:tcBorders>
              <w:top w:val="single" w:sz="4" w:space="0" w:color="auto"/>
              <w:left w:val="single" w:sz="4" w:space="0" w:color="auto"/>
              <w:bottom w:val="single" w:sz="4" w:space="0" w:color="auto"/>
              <w:right w:val="single" w:sz="4" w:space="0" w:color="auto"/>
            </w:tcBorders>
            <w:shd w:val="clear" w:color="auto" w:fill="BDD7EE"/>
            <w:hideMark/>
          </w:tcPr>
          <w:p w14:paraId="37BC3F8E" w14:textId="77777777" w:rsidR="00553430" w:rsidRDefault="00212577">
            <w:pPr>
              <w:pStyle w:val="P68B1DB1-Normal58"/>
              <w:spacing w:after="0" w:line="276" w:lineRule="auto"/>
              <w:jc w:val="center"/>
              <w:rPr>
                <w:bCs/>
                <w:noProof/>
              </w:rPr>
            </w:pPr>
            <w:r>
              <w:rPr>
                <w:noProof/>
              </w:rPr>
              <w:t>Objectif</w:t>
            </w:r>
          </w:p>
        </w:tc>
        <w:tc>
          <w:tcPr>
            <w:tcW w:w="756" w:type="dxa"/>
            <w:tcBorders>
              <w:top w:val="single" w:sz="4" w:space="0" w:color="auto"/>
              <w:left w:val="single" w:sz="4" w:space="0" w:color="auto"/>
              <w:bottom w:val="single" w:sz="4" w:space="0" w:color="auto"/>
              <w:right w:val="single" w:sz="4" w:space="0" w:color="auto"/>
            </w:tcBorders>
            <w:shd w:val="clear" w:color="auto" w:fill="BDD7EE"/>
            <w:hideMark/>
          </w:tcPr>
          <w:p w14:paraId="4BDEEC13" w14:textId="77777777" w:rsidR="00553430" w:rsidRDefault="00212577">
            <w:pPr>
              <w:pStyle w:val="P68B1DB1-Normal58"/>
              <w:spacing w:after="0" w:line="276" w:lineRule="auto"/>
              <w:jc w:val="center"/>
              <w:rPr>
                <w:bCs/>
                <w:noProof/>
              </w:rPr>
            </w:pPr>
            <w:r>
              <w:rPr>
                <w:noProof/>
              </w:rPr>
              <w:t>Trimestre</w:t>
            </w:r>
          </w:p>
        </w:tc>
        <w:tc>
          <w:tcPr>
            <w:tcW w:w="709" w:type="dxa"/>
            <w:tcBorders>
              <w:top w:val="single" w:sz="4" w:space="0" w:color="auto"/>
              <w:left w:val="single" w:sz="4" w:space="0" w:color="auto"/>
              <w:bottom w:val="single" w:sz="4" w:space="0" w:color="auto"/>
              <w:right w:val="single" w:sz="4" w:space="0" w:color="auto"/>
            </w:tcBorders>
            <w:shd w:val="clear" w:color="auto" w:fill="BDD7EE"/>
            <w:hideMark/>
          </w:tcPr>
          <w:p w14:paraId="4213654D" w14:textId="77777777" w:rsidR="00553430" w:rsidRDefault="00212577">
            <w:pPr>
              <w:pStyle w:val="P68B1DB1-Normal58"/>
              <w:spacing w:after="0" w:line="276" w:lineRule="auto"/>
              <w:jc w:val="center"/>
              <w:rPr>
                <w:bCs/>
                <w:noProof/>
              </w:rPr>
            </w:pPr>
            <w:r>
              <w:rPr>
                <w:noProof/>
              </w:rPr>
              <w:t>Année</w:t>
            </w:r>
          </w:p>
        </w:tc>
        <w:tc>
          <w:tcPr>
            <w:tcW w:w="5528" w:type="dxa"/>
            <w:vMerge/>
            <w:tcBorders>
              <w:top w:val="single" w:sz="4" w:space="0" w:color="auto"/>
              <w:bottom w:val="single" w:sz="4" w:space="0" w:color="auto"/>
              <w:right w:val="single" w:sz="4" w:space="0" w:color="auto"/>
            </w:tcBorders>
            <w:hideMark/>
          </w:tcPr>
          <w:p w14:paraId="7D2210FD"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0BD8B731"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5E1D5BD6" w14:textId="77777777" w:rsidR="00553430" w:rsidRDefault="00212577">
            <w:pPr>
              <w:pStyle w:val="P68B1DB1-Normal66"/>
              <w:spacing w:after="0" w:line="240" w:lineRule="auto"/>
              <w:jc w:val="center"/>
              <w:rPr>
                <w:noProof/>
              </w:rPr>
            </w:pPr>
            <w:r>
              <w:rPr>
                <w:noProof/>
              </w:rPr>
              <w:t>1</w:t>
            </w:r>
          </w:p>
        </w:tc>
        <w:tc>
          <w:tcPr>
            <w:tcW w:w="1205" w:type="dxa"/>
            <w:tcBorders>
              <w:top w:val="single" w:sz="4" w:space="0" w:color="auto"/>
              <w:left w:val="nil"/>
              <w:bottom w:val="single" w:sz="4" w:space="0" w:color="auto"/>
              <w:right w:val="single" w:sz="4" w:space="0" w:color="auto"/>
            </w:tcBorders>
            <w:shd w:val="clear" w:color="auto" w:fill="C6EFCE"/>
            <w:noWrap/>
          </w:tcPr>
          <w:p w14:paraId="27590932" w14:textId="77777777" w:rsidR="00553430" w:rsidRDefault="00212577">
            <w:pPr>
              <w:pStyle w:val="P68B1DB1-Normal66"/>
              <w:spacing w:line="240" w:lineRule="auto"/>
              <w:rPr>
                <w:noProof/>
              </w:rPr>
            </w:pPr>
            <w:r>
              <w:rPr>
                <w:noProof/>
              </w:rPr>
              <w:t>C1.1.1. R1</w:t>
            </w:r>
          </w:p>
        </w:tc>
        <w:tc>
          <w:tcPr>
            <w:tcW w:w="1022" w:type="dxa"/>
            <w:tcBorders>
              <w:top w:val="single" w:sz="4" w:space="0" w:color="auto"/>
              <w:left w:val="nil"/>
              <w:bottom w:val="single" w:sz="4" w:space="0" w:color="auto"/>
              <w:right w:val="single" w:sz="4" w:space="0" w:color="auto"/>
            </w:tcBorders>
            <w:shd w:val="clear" w:color="auto" w:fill="C6EFCE"/>
            <w:noWrap/>
          </w:tcPr>
          <w:p w14:paraId="1DC27E96" w14:textId="77777777" w:rsidR="00553430" w:rsidRDefault="00212577">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noWrap/>
          </w:tcPr>
          <w:p w14:paraId="497EF58B" w14:textId="77777777" w:rsidR="00553430" w:rsidRDefault="00212577">
            <w:pPr>
              <w:pStyle w:val="P68B1DB1-Normal66"/>
              <w:spacing w:line="240" w:lineRule="auto"/>
              <w:rPr>
                <w:noProof/>
              </w:rPr>
            </w:pPr>
            <w:r>
              <w:rPr>
                <w:noProof/>
              </w:rPr>
              <w:t xml:space="preserve">Adoption de la stratégie d'évaluation des effets économiques de la réglementation sur le secteur des PME par le gouvernement croate et du plan d'action qui l'accompagne </w:t>
            </w:r>
          </w:p>
        </w:tc>
        <w:tc>
          <w:tcPr>
            <w:tcW w:w="1555" w:type="dxa"/>
            <w:tcBorders>
              <w:top w:val="single" w:sz="4" w:space="0" w:color="auto"/>
              <w:left w:val="nil"/>
              <w:bottom w:val="single" w:sz="4" w:space="0" w:color="auto"/>
              <w:right w:val="single" w:sz="4" w:space="0" w:color="auto"/>
            </w:tcBorders>
            <w:shd w:val="clear" w:color="auto" w:fill="C6EFCE"/>
            <w:noWrap/>
          </w:tcPr>
          <w:p w14:paraId="269EA00D" w14:textId="47134B6E" w:rsidR="00553430" w:rsidRDefault="00212577">
            <w:pPr>
              <w:pStyle w:val="P68B1DB1-Normal66"/>
              <w:spacing w:line="240" w:lineRule="auto"/>
              <w:rPr>
                <w:noProof/>
              </w:rPr>
            </w:pPr>
            <w:r>
              <w:rPr>
                <w:noProof/>
              </w:rPr>
              <w:t xml:space="preserve">Adoption de la stratégie et du plan d'action </w:t>
            </w:r>
          </w:p>
        </w:tc>
        <w:tc>
          <w:tcPr>
            <w:tcW w:w="1067" w:type="dxa"/>
            <w:tcBorders>
              <w:top w:val="single" w:sz="4" w:space="0" w:color="auto"/>
              <w:left w:val="nil"/>
              <w:bottom w:val="single" w:sz="4" w:space="0" w:color="auto"/>
              <w:right w:val="single" w:sz="4" w:space="0" w:color="auto"/>
            </w:tcBorders>
            <w:shd w:val="clear" w:color="auto" w:fill="C6EFCE"/>
            <w:noWrap/>
          </w:tcPr>
          <w:p w14:paraId="2E6EE24C"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noWrap/>
          </w:tcPr>
          <w:p w14:paraId="6EEC53B3"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noWrap/>
          </w:tcPr>
          <w:p w14:paraId="7B53EEEA" w14:textId="77777777" w:rsidR="00553430" w:rsidRDefault="00212577">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5E016EA2" w14:textId="77777777" w:rsidR="00553430" w:rsidRDefault="00212577">
            <w:pPr>
              <w:pStyle w:val="P68B1DB1-Normal66"/>
              <w:spacing w:line="240"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77FE1EC8" w14:textId="77777777" w:rsidR="00553430" w:rsidRDefault="00212577">
            <w:pPr>
              <w:pStyle w:val="P68B1DB1-Normal66"/>
              <w:spacing w:line="240" w:lineRule="auto"/>
              <w:jc w:val="center"/>
              <w:rPr>
                <w:noProof/>
              </w:rPr>
            </w:pPr>
            <w:r>
              <w:rPr>
                <w:noProof/>
              </w:rPr>
              <w:t>2022</w:t>
            </w:r>
          </w:p>
        </w:tc>
        <w:tc>
          <w:tcPr>
            <w:tcW w:w="5528" w:type="dxa"/>
            <w:tcBorders>
              <w:top w:val="single" w:sz="4" w:space="0" w:color="auto"/>
              <w:left w:val="nil"/>
              <w:bottom w:val="single" w:sz="4" w:space="0" w:color="auto"/>
              <w:right w:val="single" w:sz="4" w:space="0" w:color="auto"/>
            </w:tcBorders>
            <w:shd w:val="clear" w:color="auto" w:fill="C6EFCE"/>
            <w:noWrap/>
          </w:tcPr>
          <w:p w14:paraId="6AEFC801" w14:textId="77777777" w:rsidR="00553430" w:rsidRDefault="00212577">
            <w:pPr>
              <w:pStyle w:val="P68B1DB1-Normal66"/>
              <w:spacing w:line="240" w:lineRule="auto"/>
              <w:rPr>
                <w:noProof/>
              </w:rPr>
            </w:pPr>
            <w:r>
              <w:rPr>
                <w:noProof/>
              </w:rPr>
              <w:t>En se concentrant principa</w:t>
            </w:r>
            <w:r>
              <w:rPr>
                <w:noProof/>
              </w:rPr>
              <w:t>lement sur l'impact économique de la réglementation sur le secteur des PME, MINGOR adopte une stratégie de politique réglementaire contraignante pour les ministères, qui attribue clairement les responsabilités de gestion et opérationnelles au cours des éta</w:t>
            </w:r>
            <w:r>
              <w:rPr>
                <w:noProof/>
              </w:rPr>
              <w:t>pes de la réalisation du test PME obligatoire au cours du processus réglementaire. Sur la base de la stratégie en matière de politique réglementaire, un plan d’action est adopté pour organiser, planifier, coordonner et suivre la mise en œuvre, par les mini</w:t>
            </w:r>
            <w:r>
              <w:rPr>
                <w:noProof/>
              </w:rPr>
              <w:t>stères compétents, des outils et méthodologies pertinents (principalement pour le test PME et d’autres analyses économiques de la réglementation, si une incidence économique significative est détectée).</w:t>
            </w:r>
          </w:p>
        </w:tc>
      </w:tr>
      <w:tr w:rsidR="00553430" w14:paraId="37451FA6" w14:textId="77777777">
        <w:trPr>
          <w:trHeight w:val="300"/>
          <w:jc w:val="center"/>
        </w:trPr>
        <w:tc>
          <w:tcPr>
            <w:tcW w:w="768" w:type="dxa"/>
            <w:tcBorders>
              <w:top w:val="nil"/>
              <w:left w:val="single" w:sz="4" w:space="0" w:color="auto"/>
              <w:bottom w:val="single" w:sz="4" w:space="0" w:color="auto"/>
              <w:right w:val="single" w:sz="4" w:space="0" w:color="auto"/>
            </w:tcBorders>
            <w:shd w:val="clear" w:color="auto" w:fill="C6EFCE"/>
            <w:noWrap/>
          </w:tcPr>
          <w:p w14:paraId="13F88AC6" w14:textId="77777777" w:rsidR="00553430" w:rsidRDefault="00212577">
            <w:pPr>
              <w:pStyle w:val="P68B1DB1-Normal66"/>
              <w:spacing w:after="0" w:line="240" w:lineRule="auto"/>
              <w:jc w:val="center"/>
              <w:rPr>
                <w:noProof/>
              </w:rPr>
            </w:pPr>
            <w:r>
              <w:rPr>
                <w:noProof/>
              </w:rPr>
              <w:t>2</w:t>
            </w:r>
          </w:p>
        </w:tc>
        <w:tc>
          <w:tcPr>
            <w:tcW w:w="1205" w:type="dxa"/>
            <w:tcBorders>
              <w:top w:val="nil"/>
              <w:left w:val="nil"/>
              <w:bottom w:val="single" w:sz="4" w:space="0" w:color="auto"/>
              <w:right w:val="single" w:sz="4" w:space="0" w:color="auto"/>
            </w:tcBorders>
            <w:shd w:val="clear" w:color="auto" w:fill="C6EFCE"/>
            <w:noWrap/>
          </w:tcPr>
          <w:p w14:paraId="40F09BB5" w14:textId="77777777" w:rsidR="00553430" w:rsidRDefault="00212577">
            <w:pPr>
              <w:pStyle w:val="P68B1DB1-Normal66"/>
              <w:spacing w:line="240" w:lineRule="auto"/>
              <w:rPr>
                <w:noProof/>
              </w:rPr>
            </w:pPr>
            <w:r>
              <w:rPr>
                <w:noProof/>
              </w:rPr>
              <w:t>C1.1.1. R1-I1</w:t>
            </w:r>
          </w:p>
        </w:tc>
        <w:tc>
          <w:tcPr>
            <w:tcW w:w="1022" w:type="dxa"/>
            <w:tcBorders>
              <w:top w:val="nil"/>
              <w:left w:val="nil"/>
              <w:bottom w:val="single" w:sz="4" w:space="0" w:color="auto"/>
              <w:right w:val="single" w:sz="4" w:space="0" w:color="auto"/>
            </w:tcBorders>
            <w:shd w:val="clear" w:color="auto" w:fill="C6EFCE"/>
            <w:noWrap/>
          </w:tcPr>
          <w:p w14:paraId="6992370F" w14:textId="77777777" w:rsidR="00553430" w:rsidRDefault="00212577">
            <w:pPr>
              <w:pStyle w:val="P68B1DB1-Normal66"/>
              <w:spacing w:line="240" w:lineRule="auto"/>
              <w:jc w:val="center"/>
              <w:rPr>
                <w:noProof/>
              </w:rPr>
            </w:pPr>
            <w:r>
              <w:rPr>
                <w:noProof/>
              </w:rPr>
              <w:t>M</w:t>
            </w:r>
          </w:p>
        </w:tc>
        <w:tc>
          <w:tcPr>
            <w:tcW w:w="1768" w:type="dxa"/>
            <w:tcBorders>
              <w:top w:val="nil"/>
              <w:left w:val="nil"/>
              <w:bottom w:val="single" w:sz="4" w:space="0" w:color="auto"/>
              <w:right w:val="single" w:sz="4" w:space="0" w:color="auto"/>
            </w:tcBorders>
            <w:shd w:val="clear" w:color="auto" w:fill="C6EFCE"/>
            <w:noWrap/>
          </w:tcPr>
          <w:p w14:paraId="29571F28" w14:textId="77777777" w:rsidR="00553430" w:rsidRDefault="00212577">
            <w:pPr>
              <w:pStyle w:val="P68B1DB1-Normal66"/>
              <w:spacing w:line="240" w:lineRule="auto"/>
              <w:rPr>
                <w:noProof/>
              </w:rPr>
            </w:pPr>
            <w:r>
              <w:rPr>
                <w:noProof/>
              </w:rPr>
              <w:t xml:space="preserve">Plateforme numérique opérationnelle pour payer les frais </w:t>
            </w:r>
          </w:p>
        </w:tc>
        <w:tc>
          <w:tcPr>
            <w:tcW w:w="1555" w:type="dxa"/>
            <w:tcBorders>
              <w:top w:val="nil"/>
              <w:left w:val="nil"/>
              <w:bottom w:val="single" w:sz="4" w:space="0" w:color="auto"/>
              <w:right w:val="single" w:sz="4" w:space="0" w:color="auto"/>
            </w:tcBorders>
            <w:shd w:val="clear" w:color="auto" w:fill="C6EFCE"/>
            <w:noWrap/>
          </w:tcPr>
          <w:p w14:paraId="0E52F9CE" w14:textId="77777777" w:rsidR="00553430" w:rsidRDefault="00212577">
            <w:pPr>
              <w:pStyle w:val="P68B1DB1-Normal66"/>
              <w:spacing w:line="240" w:lineRule="auto"/>
              <w:rPr>
                <w:noProof/>
              </w:rPr>
            </w:pPr>
            <w:r>
              <w:rPr>
                <w:noProof/>
              </w:rPr>
              <w:t>Plateforme numérique pour payer les frais en fonctionnement</w:t>
            </w:r>
          </w:p>
        </w:tc>
        <w:tc>
          <w:tcPr>
            <w:tcW w:w="1067" w:type="dxa"/>
            <w:tcBorders>
              <w:top w:val="nil"/>
              <w:left w:val="nil"/>
              <w:bottom w:val="single" w:sz="4" w:space="0" w:color="auto"/>
              <w:right w:val="single" w:sz="4" w:space="0" w:color="auto"/>
            </w:tcBorders>
            <w:shd w:val="clear" w:color="auto" w:fill="C6EFCE"/>
            <w:noWrap/>
          </w:tcPr>
          <w:p w14:paraId="20461720" w14:textId="77777777" w:rsidR="00553430" w:rsidRDefault="00212577">
            <w:pPr>
              <w:pStyle w:val="P68B1DB1-Normal66"/>
              <w:spacing w:line="240" w:lineRule="auto"/>
              <w:jc w:val="center"/>
              <w:rPr>
                <w:noProof/>
              </w:rPr>
            </w:pPr>
            <w:r>
              <w:rPr>
                <w:noProof/>
              </w:rPr>
              <w:t> </w:t>
            </w:r>
          </w:p>
        </w:tc>
        <w:tc>
          <w:tcPr>
            <w:tcW w:w="1056" w:type="dxa"/>
            <w:tcBorders>
              <w:top w:val="nil"/>
              <w:left w:val="nil"/>
              <w:bottom w:val="single" w:sz="4" w:space="0" w:color="auto"/>
              <w:right w:val="single" w:sz="4" w:space="0" w:color="auto"/>
            </w:tcBorders>
            <w:shd w:val="clear" w:color="auto" w:fill="C6EFCE"/>
            <w:noWrap/>
          </w:tcPr>
          <w:p w14:paraId="3BF1DE72" w14:textId="77777777" w:rsidR="00553430" w:rsidRDefault="00212577">
            <w:pPr>
              <w:pStyle w:val="P68B1DB1-Normal66"/>
              <w:spacing w:line="240" w:lineRule="auto"/>
              <w:jc w:val="center"/>
              <w:rPr>
                <w:noProof/>
              </w:rPr>
            </w:pPr>
            <w:r>
              <w:rPr>
                <w:noProof/>
              </w:rPr>
              <w:t> </w:t>
            </w:r>
          </w:p>
        </w:tc>
        <w:tc>
          <w:tcPr>
            <w:tcW w:w="1056" w:type="dxa"/>
            <w:tcBorders>
              <w:top w:val="nil"/>
              <w:left w:val="nil"/>
              <w:bottom w:val="single" w:sz="4" w:space="0" w:color="auto"/>
              <w:right w:val="single" w:sz="4" w:space="0" w:color="auto"/>
            </w:tcBorders>
            <w:shd w:val="clear" w:color="auto" w:fill="C6EFCE"/>
            <w:noWrap/>
          </w:tcPr>
          <w:p w14:paraId="48EFA19E" w14:textId="77777777" w:rsidR="00553430" w:rsidRDefault="00212577">
            <w:pPr>
              <w:pStyle w:val="P68B1DB1-Normal66"/>
              <w:spacing w:line="240" w:lineRule="auto"/>
              <w:jc w:val="center"/>
              <w:rPr>
                <w:noProof/>
              </w:rPr>
            </w:pPr>
            <w:r>
              <w:rPr>
                <w:noProof/>
              </w:rPr>
              <w:t> </w:t>
            </w:r>
          </w:p>
        </w:tc>
        <w:tc>
          <w:tcPr>
            <w:tcW w:w="756" w:type="dxa"/>
            <w:tcBorders>
              <w:top w:val="nil"/>
              <w:left w:val="nil"/>
              <w:bottom w:val="single" w:sz="4" w:space="0" w:color="auto"/>
              <w:right w:val="single" w:sz="4" w:space="0" w:color="auto"/>
            </w:tcBorders>
            <w:shd w:val="clear" w:color="auto" w:fill="C6EFCE"/>
            <w:noWrap/>
          </w:tcPr>
          <w:p w14:paraId="2C17FAF3" w14:textId="77777777" w:rsidR="00553430" w:rsidRDefault="00212577">
            <w:pPr>
              <w:pStyle w:val="P68B1DB1-Normal66"/>
              <w:spacing w:line="240"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noWrap/>
          </w:tcPr>
          <w:p w14:paraId="2F02F9DF" w14:textId="77777777" w:rsidR="00553430" w:rsidRDefault="00212577">
            <w:pPr>
              <w:pStyle w:val="P68B1DB1-Normal66"/>
              <w:spacing w:line="240" w:lineRule="auto"/>
              <w:jc w:val="center"/>
              <w:rPr>
                <w:noProof/>
              </w:rPr>
            </w:pPr>
            <w:r>
              <w:rPr>
                <w:noProof/>
              </w:rPr>
              <w:t>2022</w:t>
            </w:r>
          </w:p>
        </w:tc>
        <w:tc>
          <w:tcPr>
            <w:tcW w:w="5528" w:type="dxa"/>
            <w:tcBorders>
              <w:top w:val="nil"/>
              <w:left w:val="nil"/>
              <w:bottom w:val="single" w:sz="4" w:space="0" w:color="auto"/>
              <w:right w:val="single" w:sz="4" w:space="0" w:color="auto"/>
            </w:tcBorders>
            <w:shd w:val="clear" w:color="auto" w:fill="C6EFCE"/>
            <w:noWrap/>
          </w:tcPr>
          <w:p w14:paraId="20389F54" w14:textId="77777777" w:rsidR="00553430" w:rsidRDefault="00212577">
            <w:pPr>
              <w:pStyle w:val="P68B1DB1-Normal66"/>
              <w:spacing w:line="240" w:lineRule="auto"/>
              <w:rPr>
                <w:noProof/>
              </w:rPr>
            </w:pPr>
            <w:r>
              <w:rPr>
                <w:noProof/>
              </w:rPr>
              <w:t xml:space="preserve">Une plateforme de paiement unique pour les redevances obligatoires en tant que nouveau service public numérique est mise en </w:t>
            </w:r>
            <w:r>
              <w:rPr>
                <w:noProof/>
              </w:rPr>
              <w:t>place afin d’optimiser le processus administratif existant et d’offrir les fonctionnalités suivantes:</w:t>
            </w:r>
            <w:r>
              <w:rPr>
                <w:noProof/>
              </w:rPr>
              <w:br/>
              <w:t xml:space="preserve">(1) Liste des redevances à payer par l'exploitant d'entreprise </w:t>
            </w:r>
            <w:r>
              <w:rPr>
                <w:noProof/>
              </w:rPr>
              <w:br/>
              <w:t xml:space="preserve">(2) Calendrier de paiement avec les délais pour leur règlement </w:t>
            </w:r>
            <w:r>
              <w:rPr>
                <w:noProof/>
              </w:rPr>
              <w:br/>
              <w:t>(3) Possibilité de paiemen</w:t>
            </w:r>
            <w:r>
              <w:rPr>
                <w:noProof/>
              </w:rPr>
              <w:t xml:space="preserve">t direct en ligne des frais </w:t>
            </w:r>
            <w:r>
              <w:rPr>
                <w:noProof/>
              </w:rPr>
              <w:br/>
              <w:t>(4) Vue d'ensemble des engagements payés.</w:t>
            </w:r>
          </w:p>
        </w:tc>
      </w:tr>
      <w:tr w:rsidR="00553430" w14:paraId="6D7B067B" w14:textId="77777777">
        <w:trPr>
          <w:trHeight w:val="300"/>
          <w:jc w:val="center"/>
        </w:trPr>
        <w:tc>
          <w:tcPr>
            <w:tcW w:w="768" w:type="dxa"/>
            <w:tcBorders>
              <w:top w:val="nil"/>
              <w:left w:val="single" w:sz="4" w:space="0" w:color="auto"/>
              <w:bottom w:val="single" w:sz="4" w:space="0" w:color="auto"/>
              <w:right w:val="single" w:sz="4" w:space="0" w:color="auto"/>
            </w:tcBorders>
            <w:shd w:val="clear" w:color="auto" w:fill="C6EFCE"/>
            <w:noWrap/>
          </w:tcPr>
          <w:p w14:paraId="71DBFDBE" w14:textId="77777777" w:rsidR="00553430" w:rsidRDefault="00212577">
            <w:pPr>
              <w:pStyle w:val="P68B1DB1-Normal66"/>
              <w:spacing w:line="240" w:lineRule="auto"/>
              <w:jc w:val="center"/>
              <w:rPr>
                <w:noProof/>
              </w:rPr>
            </w:pPr>
            <w:r>
              <w:rPr>
                <w:noProof/>
              </w:rPr>
              <w:t>3</w:t>
            </w:r>
          </w:p>
        </w:tc>
        <w:tc>
          <w:tcPr>
            <w:tcW w:w="1205" w:type="dxa"/>
            <w:tcBorders>
              <w:top w:val="nil"/>
              <w:left w:val="nil"/>
              <w:bottom w:val="single" w:sz="4" w:space="0" w:color="auto"/>
              <w:right w:val="single" w:sz="4" w:space="0" w:color="auto"/>
            </w:tcBorders>
            <w:shd w:val="clear" w:color="auto" w:fill="C6EFCE"/>
            <w:noWrap/>
          </w:tcPr>
          <w:p w14:paraId="1FA24515" w14:textId="77777777" w:rsidR="00553430" w:rsidRDefault="00212577">
            <w:pPr>
              <w:pStyle w:val="P68B1DB1-Normal66"/>
              <w:spacing w:line="240" w:lineRule="auto"/>
              <w:rPr>
                <w:noProof/>
              </w:rPr>
            </w:pPr>
            <w:r>
              <w:rPr>
                <w:noProof/>
              </w:rPr>
              <w:t>C1.1.1. R1-I1</w:t>
            </w:r>
          </w:p>
        </w:tc>
        <w:tc>
          <w:tcPr>
            <w:tcW w:w="1022" w:type="dxa"/>
            <w:tcBorders>
              <w:top w:val="nil"/>
              <w:left w:val="nil"/>
              <w:bottom w:val="single" w:sz="4" w:space="0" w:color="auto"/>
              <w:right w:val="single" w:sz="4" w:space="0" w:color="auto"/>
            </w:tcBorders>
            <w:shd w:val="clear" w:color="auto" w:fill="C6EFCE"/>
            <w:noWrap/>
          </w:tcPr>
          <w:p w14:paraId="2F40EF33" w14:textId="77777777" w:rsidR="00553430" w:rsidRDefault="00212577">
            <w:pPr>
              <w:pStyle w:val="P68B1DB1-Normal66"/>
              <w:spacing w:line="240" w:lineRule="auto"/>
              <w:jc w:val="center"/>
              <w:rPr>
                <w:noProof/>
              </w:rPr>
            </w:pPr>
            <w:r>
              <w:rPr>
                <w:noProof/>
              </w:rPr>
              <w:t>M</w:t>
            </w:r>
          </w:p>
        </w:tc>
        <w:tc>
          <w:tcPr>
            <w:tcW w:w="1768" w:type="dxa"/>
            <w:tcBorders>
              <w:top w:val="nil"/>
              <w:left w:val="nil"/>
              <w:bottom w:val="single" w:sz="4" w:space="0" w:color="auto"/>
              <w:right w:val="single" w:sz="4" w:space="0" w:color="auto"/>
            </w:tcBorders>
            <w:shd w:val="clear" w:color="auto" w:fill="C6EFCE"/>
            <w:noWrap/>
          </w:tcPr>
          <w:p w14:paraId="692556AF" w14:textId="77777777" w:rsidR="00553430" w:rsidRDefault="00212577">
            <w:pPr>
              <w:pStyle w:val="P68B1DB1-Normal66"/>
              <w:spacing w:line="240" w:lineRule="auto"/>
              <w:rPr>
                <w:noProof/>
              </w:rPr>
            </w:pPr>
            <w:r>
              <w:rPr>
                <w:noProof/>
              </w:rPr>
              <w:t xml:space="preserve">Mise à niveau des systèmes START </w:t>
            </w:r>
          </w:p>
        </w:tc>
        <w:tc>
          <w:tcPr>
            <w:tcW w:w="1555" w:type="dxa"/>
            <w:tcBorders>
              <w:top w:val="nil"/>
              <w:left w:val="nil"/>
              <w:bottom w:val="single" w:sz="4" w:space="0" w:color="auto"/>
              <w:right w:val="single" w:sz="4" w:space="0" w:color="auto"/>
            </w:tcBorders>
            <w:shd w:val="clear" w:color="auto" w:fill="C6EFCE"/>
            <w:noWrap/>
          </w:tcPr>
          <w:p w14:paraId="587B6BA3" w14:textId="77777777" w:rsidR="00553430" w:rsidRDefault="00212577">
            <w:pPr>
              <w:pStyle w:val="P68B1DB1-Normal66"/>
              <w:spacing w:line="240" w:lineRule="auto"/>
              <w:rPr>
                <w:noProof/>
              </w:rPr>
            </w:pPr>
            <w:r>
              <w:rPr>
                <w:noProof/>
              </w:rPr>
              <w:t>Plate-forme START avec des services supplémentaires mis à niveau</w:t>
            </w:r>
          </w:p>
        </w:tc>
        <w:tc>
          <w:tcPr>
            <w:tcW w:w="1067" w:type="dxa"/>
            <w:tcBorders>
              <w:top w:val="nil"/>
              <w:left w:val="nil"/>
              <w:bottom w:val="single" w:sz="4" w:space="0" w:color="auto"/>
              <w:right w:val="single" w:sz="4" w:space="0" w:color="auto"/>
            </w:tcBorders>
            <w:shd w:val="clear" w:color="auto" w:fill="C6EFCE"/>
            <w:noWrap/>
          </w:tcPr>
          <w:p w14:paraId="11DD33EB" w14:textId="77777777" w:rsidR="00553430" w:rsidRDefault="00212577">
            <w:pPr>
              <w:pStyle w:val="P68B1DB1-Normal66"/>
              <w:spacing w:line="240" w:lineRule="auto"/>
              <w:jc w:val="center"/>
              <w:rPr>
                <w:noProof/>
              </w:rPr>
            </w:pPr>
            <w:r>
              <w:rPr>
                <w:noProof/>
              </w:rPr>
              <w:t> </w:t>
            </w:r>
          </w:p>
        </w:tc>
        <w:tc>
          <w:tcPr>
            <w:tcW w:w="1056" w:type="dxa"/>
            <w:tcBorders>
              <w:top w:val="nil"/>
              <w:left w:val="nil"/>
              <w:bottom w:val="single" w:sz="4" w:space="0" w:color="auto"/>
              <w:right w:val="single" w:sz="4" w:space="0" w:color="auto"/>
            </w:tcBorders>
            <w:shd w:val="clear" w:color="auto" w:fill="C6EFCE"/>
            <w:noWrap/>
          </w:tcPr>
          <w:p w14:paraId="6E1D80D4" w14:textId="77777777" w:rsidR="00553430" w:rsidRDefault="00212577">
            <w:pPr>
              <w:pStyle w:val="P68B1DB1-Normal66"/>
              <w:spacing w:line="240" w:lineRule="auto"/>
              <w:jc w:val="center"/>
              <w:rPr>
                <w:noProof/>
              </w:rPr>
            </w:pPr>
            <w:r>
              <w:rPr>
                <w:noProof/>
              </w:rPr>
              <w:t> </w:t>
            </w:r>
          </w:p>
        </w:tc>
        <w:tc>
          <w:tcPr>
            <w:tcW w:w="1056" w:type="dxa"/>
            <w:tcBorders>
              <w:top w:val="nil"/>
              <w:left w:val="nil"/>
              <w:bottom w:val="single" w:sz="4" w:space="0" w:color="auto"/>
              <w:right w:val="single" w:sz="4" w:space="0" w:color="auto"/>
            </w:tcBorders>
            <w:shd w:val="clear" w:color="auto" w:fill="C6EFCE"/>
            <w:noWrap/>
          </w:tcPr>
          <w:p w14:paraId="7CE449A3" w14:textId="77777777" w:rsidR="00553430" w:rsidRDefault="00212577">
            <w:pPr>
              <w:pStyle w:val="P68B1DB1-Normal66"/>
              <w:spacing w:line="240" w:lineRule="auto"/>
              <w:jc w:val="center"/>
              <w:rPr>
                <w:noProof/>
              </w:rPr>
            </w:pPr>
            <w:r>
              <w:rPr>
                <w:noProof/>
              </w:rPr>
              <w:t> </w:t>
            </w:r>
          </w:p>
        </w:tc>
        <w:tc>
          <w:tcPr>
            <w:tcW w:w="756" w:type="dxa"/>
            <w:tcBorders>
              <w:top w:val="nil"/>
              <w:left w:val="nil"/>
              <w:bottom w:val="single" w:sz="4" w:space="0" w:color="auto"/>
              <w:right w:val="single" w:sz="4" w:space="0" w:color="auto"/>
            </w:tcBorders>
            <w:shd w:val="clear" w:color="auto" w:fill="C6EFCE"/>
            <w:noWrap/>
          </w:tcPr>
          <w:p w14:paraId="5CE9DF89" w14:textId="77777777" w:rsidR="00553430" w:rsidRDefault="00212577">
            <w:pPr>
              <w:pStyle w:val="P68B1DB1-Normal66"/>
              <w:spacing w:line="240" w:lineRule="auto"/>
              <w:jc w:val="center"/>
              <w:rPr>
                <w:noProof/>
              </w:rPr>
            </w:pPr>
            <w:r>
              <w:rPr>
                <w:noProof/>
              </w:rPr>
              <w:t>T4</w:t>
            </w:r>
          </w:p>
        </w:tc>
        <w:tc>
          <w:tcPr>
            <w:tcW w:w="709" w:type="dxa"/>
            <w:tcBorders>
              <w:top w:val="nil"/>
              <w:left w:val="nil"/>
              <w:bottom w:val="single" w:sz="4" w:space="0" w:color="auto"/>
              <w:right w:val="single" w:sz="4" w:space="0" w:color="auto"/>
            </w:tcBorders>
            <w:shd w:val="clear" w:color="auto" w:fill="C6EFCE"/>
            <w:noWrap/>
          </w:tcPr>
          <w:p w14:paraId="13316536" w14:textId="77777777" w:rsidR="00553430" w:rsidRDefault="00212577">
            <w:pPr>
              <w:pStyle w:val="P68B1DB1-Normal66"/>
              <w:spacing w:line="240" w:lineRule="auto"/>
              <w:jc w:val="center"/>
              <w:rPr>
                <w:noProof/>
              </w:rPr>
            </w:pPr>
            <w:r>
              <w:rPr>
                <w:noProof/>
              </w:rPr>
              <w:t>2024</w:t>
            </w:r>
          </w:p>
        </w:tc>
        <w:tc>
          <w:tcPr>
            <w:tcW w:w="5528" w:type="dxa"/>
            <w:tcBorders>
              <w:top w:val="nil"/>
              <w:left w:val="nil"/>
              <w:bottom w:val="single" w:sz="4" w:space="0" w:color="auto"/>
              <w:right w:val="single" w:sz="4" w:space="0" w:color="auto"/>
            </w:tcBorders>
            <w:shd w:val="clear" w:color="auto" w:fill="C6EFCE"/>
            <w:noWrap/>
          </w:tcPr>
          <w:p w14:paraId="6904854F" w14:textId="77777777" w:rsidR="00553430" w:rsidRDefault="00212577">
            <w:pPr>
              <w:pStyle w:val="P68B1DB1-Normal70"/>
              <w:spacing w:line="240" w:lineRule="auto"/>
              <w:jc w:val="both"/>
              <w:rPr>
                <w:noProof/>
              </w:rPr>
            </w:pPr>
            <w:r>
              <w:rPr>
                <w:noProof/>
                <w:color w:val="000000"/>
              </w:rPr>
              <w:t xml:space="preserve">La plateforme numérique pour la création de sociétés </w:t>
            </w:r>
            <w:r>
              <w:rPr>
                <w:noProof/>
                <w:color w:val="000000"/>
              </w:rPr>
              <w:t>à responsabilité limitée, appelée plateforme START, est mise à niveau en numérisant des services supplémentaires aux fins de l’enregistrement et de la déclaration et de l’intégration des systèmes de démarrage existants. La première action comprend des inve</w:t>
            </w:r>
            <w:r>
              <w:rPr>
                <w:noProof/>
                <w:color w:val="000000"/>
              </w:rPr>
              <w:t xml:space="preserve">stissements qui s’appuieront sur la plateforme numérique existante appelée START pour la création de sociétés à responsabilité limitée et qui permettront aux utilisateurs d’enregistrer de nouvelles sociétés en ligne. Son action étendra les fonctionnalités </w:t>
            </w:r>
            <w:r>
              <w:rPr>
                <w:noProof/>
                <w:color w:val="000000"/>
              </w:rPr>
              <w:t>de la plateforme START en vue d'accroître le volume des services, d'améliorer l'accès et la disponibilité du système et de veiller à ce que toutes les nouvelles données commerciales soient intégrées dans une seule base de données. Deuxièmement, de nouvelle</w:t>
            </w:r>
            <w:r>
              <w:rPr>
                <w:noProof/>
                <w:color w:val="000000"/>
              </w:rPr>
              <w:t xml:space="preserve">s fonctionnalités seront introduites dans la plateforme START grâce à sa mise à niveau et à sa liaison avec les différentes bases de données du registre des entreprises afin de permettre l’accès à la procédure administrative au moyen de l’authentification </w:t>
            </w:r>
            <w:r>
              <w:rPr>
                <w:noProof/>
                <w:color w:val="000000"/>
              </w:rPr>
              <w:t>numérique. Troisièmement, une plateforme d’octroi de licences numériques (START Plus) sera mise en place afin d’accroître la transparence des conditions d’entrée sur le marché ainsi que la transparence des réglementations commerciales.</w:t>
            </w:r>
          </w:p>
        </w:tc>
      </w:tr>
      <w:tr w:rsidR="00553430" w14:paraId="16B9E1AD" w14:textId="77777777">
        <w:trPr>
          <w:trHeight w:val="300"/>
          <w:jc w:val="center"/>
        </w:trPr>
        <w:tc>
          <w:tcPr>
            <w:tcW w:w="768" w:type="dxa"/>
            <w:tcBorders>
              <w:top w:val="nil"/>
              <w:left w:val="single" w:sz="4" w:space="0" w:color="auto"/>
              <w:bottom w:val="single" w:sz="4" w:space="0" w:color="auto"/>
              <w:right w:val="single" w:sz="4" w:space="0" w:color="auto"/>
            </w:tcBorders>
            <w:shd w:val="clear" w:color="auto" w:fill="C6EFCE"/>
            <w:noWrap/>
          </w:tcPr>
          <w:p w14:paraId="23B49445" w14:textId="77777777" w:rsidR="00553430" w:rsidRDefault="00212577">
            <w:pPr>
              <w:pStyle w:val="P68B1DB1-Normal66"/>
              <w:spacing w:line="240" w:lineRule="auto"/>
              <w:jc w:val="center"/>
              <w:rPr>
                <w:noProof/>
              </w:rPr>
            </w:pPr>
            <w:r>
              <w:rPr>
                <w:noProof/>
              </w:rPr>
              <w:t>4</w:t>
            </w:r>
          </w:p>
        </w:tc>
        <w:tc>
          <w:tcPr>
            <w:tcW w:w="1205" w:type="dxa"/>
            <w:tcBorders>
              <w:top w:val="nil"/>
              <w:left w:val="nil"/>
              <w:bottom w:val="single" w:sz="4" w:space="0" w:color="auto"/>
              <w:right w:val="single" w:sz="4" w:space="0" w:color="auto"/>
            </w:tcBorders>
            <w:shd w:val="clear" w:color="auto" w:fill="C6EFCE"/>
            <w:noWrap/>
          </w:tcPr>
          <w:p w14:paraId="61A8F102" w14:textId="77777777" w:rsidR="00553430" w:rsidRDefault="00212577">
            <w:pPr>
              <w:pStyle w:val="P68B1DB1-Normal66"/>
              <w:spacing w:line="240" w:lineRule="auto"/>
              <w:rPr>
                <w:noProof/>
              </w:rPr>
            </w:pPr>
            <w:r>
              <w:rPr>
                <w:noProof/>
              </w:rPr>
              <w:t>C1.1.1. R1-I1</w:t>
            </w:r>
          </w:p>
        </w:tc>
        <w:tc>
          <w:tcPr>
            <w:tcW w:w="1022" w:type="dxa"/>
            <w:tcBorders>
              <w:top w:val="nil"/>
              <w:left w:val="nil"/>
              <w:bottom w:val="single" w:sz="4" w:space="0" w:color="auto"/>
              <w:right w:val="single" w:sz="4" w:space="0" w:color="auto"/>
            </w:tcBorders>
            <w:shd w:val="clear" w:color="auto" w:fill="C6EFCE"/>
            <w:noWrap/>
          </w:tcPr>
          <w:p w14:paraId="2932C0AE" w14:textId="77777777" w:rsidR="00553430" w:rsidRDefault="00212577">
            <w:pPr>
              <w:pStyle w:val="P68B1DB1-Normal66"/>
              <w:spacing w:line="240" w:lineRule="auto"/>
              <w:jc w:val="center"/>
              <w:rPr>
                <w:noProof/>
              </w:rPr>
            </w:pPr>
            <w:r>
              <w:rPr>
                <w:noProof/>
              </w:rPr>
              <w:t>T</w:t>
            </w:r>
          </w:p>
        </w:tc>
        <w:tc>
          <w:tcPr>
            <w:tcW w:w="1768" w:type="dxa"/>
            <w:tcBorders>
              <w:top w:val="nil"/>
              <w:left w:val="nil"/>
              <w:bottom w:val="single" w:sz="4" w:space="0" w:color="auto"/>
              <w:right w:val="single" w:sz="4" w:space="0" w:color="auto"/>
            </w:tcBorders>
            <w:shd w:val="clear" w:color="auto" w:fill="C6EFCE"/>
            <w:noWrap/>
          </w:tcPr>
          <w:p w14:paraId="1B169CB8" w14:textId="77777777" w:rsidR="00553430" w:rsidRDefault="00212577">
            <w:pPr>
              <w:pStyle w:val="P68B1DB1-Normal66"/>
              <w:spacing w:line="240" w:lineRule="auto"/>
              <w:rPr>
                <w:noProof/>
              </w:rPr>
            </w:pPr>
            <w:r>
              <w:rPr>
                <w:noProof/>
              </w:rPr>
              <w:t>Mise en place de points d'accès physiques à la plateforme START</w:t>
            </w:r>
          </w:p>
        </w:tc>
        <w:tc>
          <w:tcPr>
            <w:tcW w:w="1555" w:type="dxa"/>
            <w:tcBorders>
              <w:top w:val="nil"/>
              <w:left w:val="nil"/>
              <w:bottom w:val="single" w:sz="4" w:space="0" w:color="auto"/>
              <w:right w:val="single" w:sz="4" w:space="0" w:color="auto"/>
            </w:tcBorders>
            <w:shd w:val="clear" w:color="auto" w:fill="C6EFCE"/>
            <w:noWrap/>
          </w:tcPr>
          <w:p w14:paraId="4D86F996" w14:textId="77777777" w:rsidR="00553430" w:rsidRDefault="00212577">
            <w:pPr>
              <w:pStyle w:val="P68B1DB1-Normal66"/>
              <w:spacing w:line="240" w:lineRule="auto"/>
              <w:rPr>
                <w:noProof/>
              </w:rPr>
            </w:pPr>
            <w:r>
              <w:rPr>
                <w:noProof/>
              </w:rPr>
              <w:t> </w:t>
            </w:r>
          </w:p>
        </w:tc>
        <w:tc>
          <w:tcPr>
            <w:tcW w:w="1067" w:type="dxa"/>
            <w:tcBorders>
              <w:top w:val="nil"/>
              <w:left w:val="nil"/>
              <w:bottom w:val="single" w:sz="4" w:space="0" w:color="auto"/>
              <w:right w:val="single" w:sz="4" w:space="0" w:color="auto"/>
            </w:tcBorders>
            <w:shd w:val="clear" w:color="auto" w:fill="C6EFCE"/>
            <w:noWrap/>
          </w:tcPr>
          <w:p w14:paraId="4E21D8EA" w14:textId="77777777" w:rsidR="00553430" w:rsidRDefault="00212577">
            <w:pPr>
              <w:pStyle w:val="P68B1DB1-Normal66"/>
              <w:spacing w:line="240" w:lineRule="auto"/>
              <w:jc w:val="center"/>
              <w:rPr>
                <w:noProof/>
              </w:rPr>
            </w:pPr>
            <w:r>
              <w:rPr>
                <w:noProof/>
              </w:rPr>
              <w:t>Numéro</w:t>
            </w:r>
          </w:p>
        </w:tc>
        <w:tc>
          <w:tcPr>
            <w:tcW w:w="1056" w:type="dxa"/>
            <w:tcBorders>
              <w:top w:val="nil"/>
              <w:left w:val="nil"/>
              <w:bottom w:val="single" w:sz="4" w:space="0" w:color="auto"/>
              <w:right w:val="single" w:sz="4" w:space="0" w:color="auto"/>
            </w:tcBorders>
            <w:shd w:val="clear" w:color="auto" w:fill="C6EFCE"/>
            <w:noWrap/>
          </w:tcPr>
          <w:p w14:paraId="038B78A8" w14:textId="77777777" w:rsidR="00553430" w:rsidRDefault="00212577">
            <w:pPr>
              <w:pStyle w:val="P68B1DB1-Normal66"/>
              <w:spacing w:line="240" w:lineRule="auto"/>
              <w:jc w:val="center"/>
              <w:rPr>
                <w:noProof/>
              </w:rPr>
            </w:pPr>
            <w:r>
              <w:rPr>
                <w:noProof/>
              </w:rPr>
              <w:t>0</w:t>
            </w:r>
          </w:p>
        </w:tc>
        <w:tc>
          <w:tcPr>
            <w:tcW w:w="1056" w:type="dxa"/>
            <w:tcBorders>
              <w:top w:val="nil"/>
              <w:left w:val="nil"/>
              <w:bottom w:val="single" w:sz="4" w:space="0" w:color="auto"/>
              <w:right w:val="single" w:sz="4" w:space="0" w:color="auto"/>
            </w:tcBorders>
            <w:shd w:val="clear" w:color="auto" w:fill="C6EFCE"/>
            <w:noWrap/>
          </w:tcPr>
          <w:p w14:paraId="18A06ADF" w14:textId="77777777" w:rsidR="00553430" w:rsidRDefault="00212577">
            <w:pPr>
              <w:pStyle w:val="P68B1DB1-Normal66"/>
              <w:spacing w:line="240" w:lineRule="auto"/>
              <w:jc w:val="center"/>
              <w:rPr>
                <w:noProof/>
              </w:rPr>
            </w:pPr>
            <w:r>
              <w:rPr>
                <w:noProof/>
              </w:rPr>
              <w:t>20</w:t>
            </w:r>
          </w:p>
        </w:tc>
        <w:tc>
          <w:tcPr>
            <w:tcW w:w="756" w:type="dxa"/>
            <w:tcBorders>
              <w:top w:val="nil"/>
              <w:left w:val="nil"/>
              <w:bottom w:val="single" w:sz="4" w:space="0" w:color="auto"/>
              <w:right w:val="single" w:sz="4" w:space="0" w:color="auto"/>
            </w:tcBorders>
            <w:shd w:val="clear" w:color="auto" w:fill="C6EFCE"/>
            <w:noWrap/>
          </w:tcPr>
          <w:p w14:paraId="5D30BC6F" w14:textId="77777777" w:rsidR="00553430" w:rsidRDefault="00212577">
            <w:pPr>
              <w:pStyle w:val="P68B1DB1-Normal66"/>
              <w:spacing w:line="240" w:lineRule="auto"/>
              <w:jc w:val="center"/>
              <w:rPr>
                <w:noProof/>
              </w:rPr>
            </w:pPr>
            <w:r>
              <w:rPr>
                <w:noProof/>
              </w:rPr>
              <w:t>T4</w:t>
            </w:r>
          </w:p>
        </w:tc>
        <w:tc>
          <w:tcPr>
            <w:tcW w:w="709" w:type="dxa"/>
            <w:tcBorders>
              <w:top w:val="nil"/>
              <w:left w:val="nil"/>
              <w:bottom w:val="single" w:sz="4" w:space="0" w:color="auto"/>
              <w:right w:val="single" w:sz="4" w:space="0" w:color="auto"/>
            </w:tcBorders>
            <w:shd w:val="clear" w:color="auto" w:fill="C6EFCE"/>
            <w:noWrap/>
          </w:tcPr>
          <w:p w14:paraId="31B9DCD8" w14:textId="77777777" w:rsidR="00553430" w:rsidRDefault="00212577">
            <w:pPr>
              <w:pStyle w:val="P68B1DB1-Normal66"/>
              <w:spacing w:line="240" w:lineRule="auto"/>
              <w:jc w:val="center"/>
              <w:rPr>
                <w:noProof/>
              </w:rPr>
            </w:pPr>
            <w:r>
              <w:rPr>
                <w:noProof/>
              </w:rPr>
              <w:t>2024</w:t>
            </w:r>
          </w:p>
        </w:tc>
        <w:tc>
          <w:tcPr>
            <w:tcW w:w="5528" w:type="dxa"/>
            <w:tcBorders>
              <w:top w:val="nil"/>
              <w:left w:val="nil"/>
              <w:bottom w:val="single" w:sz="4" w:space="0" w:color="auto"/>
              <w:right w:val="single" w:sz="4" w:space="0" w:color="auto"/>
            </w:tcBorders>
            <w:shd w:val="clear" w:color="auto" w:fill="C6EFCE"/>
            <w:noWrap/>
          </w:tcPr>
          <w:p w14:paraId="425A213C" w14:textId="77777777" w:rsidR="00553430" w:rsidRDefault="00212577">
            <w:pPr>
              <w:pStyle w:val="P68B1DB1-Normal66"/>
              <w:spacing w:line="240" w:lineRule="auto"/>
              <w:rPr>
                <w:noProof/>
              </w:rPr>
            </w:pPr>
            <w:r>
              <w:rPr>
                <w:noProof/>
              </w:rPr>
              <w:t>Afin d’accroître l’utilisation de la plateforme START et de mieux intégrer les processus lancés par l’intermédiaire des plateformes numériques et physiques, 20 nouveaux p</w:t>
            </w:r>
            <w:r>
              <w:rPr>
                <w:noProof/>
              </w:rPr>
              <w:t>oints d’accès physiques à la plateforme START doivent être mis en place.</w:t>
            </w:r>
          </w:p>
        </w:tc>
      </w:tr>
      <w:tr w:rsidR="00553430" w14:paraId="03E82E99"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4136C62" w14:textId="77777777" w:rsidR="00553430" w:rsidRDefault="00212577">
            <w:pPr>
              <w:pStyle w:val="P68B1DB1-Normal66"/>
              <w:spacing w:line="240" w:lineRule="auto"/>
              <w:jc w:val="center"/>
              <w:rPr>
                <w:noProof/>
              </w:rPr>
            </w:pPr>
            <w:r>
              <w:rPr>
                <w:noProof/>
              </w:rPr>
              <w:t>5</w:t>
            </w:r>
          </w:p>
        </w:tc>
        <w:tc>
          <w:tcPr>
            <w:tcW w:w="1205" w:type="dxa"/>
            <w:tcBorders>
              <w:top w:val="single" w:sz="4" w:space="0" w:color="auto"/>
              <w:left w:val="nil"/>
              <w:bottom w:val="single" w:sz="4" w:space="0" w:color="auto"/>
              <w:right w:val="single" w:sz="4" w:space="0" w:color="auto"/>
            </w:tcBorders>
            <w:shd w:val="clear" w:color="auto" w:fill="C6EFCE"/>
            <w:noWrap/>
          </w:tcPr>
          <w:p w14:paraId="2831D0D5" w14:textId="77777777" w:rsidR="00553430" w:rsidRDefault="00212577">
            <w:pPr>
              <w:pStyle w:val="P68B1DB1-Normal66"/>
              <w:spacing w:line="240" w:lineRule="auto"/>
              <w:rPr>
                <w:noProof/>
              </w:rPr>
            </w:pPr>
            <w:r>
              <w:rPr>
                <w:noProof/>
              </w:rPr>
              <w:t>C1.1.1. R1-I1</w:t>
            </w:r>
          </w:p>
        </w:tc>
        <w:tc>
          <w:tcPr>
            <w:tcW w:w="1022" w:type="dxa"/>
            <w:tcBorders>
              <w:top w:val="single" w:sz="4" w:space="0" w:color="auto"/>
              <w:left w:val="nil"/>
              <w:bottom w:val="single" w:sz="4" w:space="0" w:color="auto"/>
              <w:right w:val="single" w:sz="4" w:space="0" w:color="auto"/>
            </w:tcBorders>
            <w:shd w:val="clear" w:color="auto" w:fill="C6EFCE"/>
            <w:noWrap/>
          </w:tcPr>
          <w:p w14:paraId="1A253E25" w14:textId="77777777" w:rsidR="00553430" w:rsidRDefault="00212577">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noWrap/>
          </w:tcPr>
          <w:p w14:paraId="21CDBEDA" w14:textId="77777777" w:rsidR="00553430" w:rsidRDefault="00212577">
            <w:pPr>
              <w:pStyle w:val="P68B1DB1-Normal66"/>
              <w:spacing w:line="240" w:lineRule="auto"/>
              <w:rPr>
                <w:noProof/>
              </w:rPr>
            </w:pPr>
            <w:r>
              <w:rPr>
                <w:noProof/>
              </w:rPr>
              <w:t>Numérisation des processus ciblés de MINGOR au titre de la loi sur les projets d’investissement stratégique de</w:t>
            </w:r>
            <w:r>
              <w:rPr>
                <w:noProof/>
              </w:rPr>
              <w:t xml:space="preserve"> la République de Croatie, de la loi sur la promotion des investissements et de la loi sur les aides d’État aux projets de recherche et de développement, et poursuite de la numérisation et de la mise en réseau du système JRPI</w:t>
            </w:r>
          </w:p>
        </w:tc>
        <w:tc>
          <w:tcPr>
            <w:tcW w:w="1555" w:type="dxa"/>
            <w:tcBorders>
              <w:top w:val="single" w:sz="4" w:space="0" w:color="auto"/>
              <w:left w:val="nil"/>
              <w:bottom w:val="single" w:sz="4" w:space="0" w:color="auto"/>
              <w:right w:val="single" w:sz="4" w:space="0" w:color="auto"/>
            </w:tcBorders>
            <w:shd w:val="clear" w:color="auto" w:fill="C6EFCE"/>
            <w:noWrap/>
          </w:tcPr>
          <w:p w14:paraId="6D1F6784" w14:textId="77777777" w:rsidR="00553430" w:rsidRDefault="00212577">
            <w:pPr>
              <w:pStyle w:val="P68B1DB1-Normal66"/>
              <w:spacing w:line="240" w:lineRule="auto"/>
              <w:rPr>
                <w:noProof/>
              </w:rPr>
            </w:pPr>
            <w:r>
              <w:rPr>
                <w:noProof/>
              </w:rPr>
              <w:t>Numérisation des processus cib</w:t>
            </w:r>
            <w:r>
              <w:rPr>
                <w:noProof/>
              </w:rPr>
              <w:t xml:space="preserve">lés MINGOR </w:t>
            </w:r>
          </w:p>
        </w:tc>
        <w:tc>
          <w:tcPr>
            <w:tcW w:w="1067" w:type="dxa"/>
            <w:tcBorders>
              <w:top w:val="single" w:sz="4" w:space="0" w:color="auto"/>
              <w:left w:val="nil"/>
              <w:bottom w:val="single" w:sz="4" w:space="0" w:color="auto"/>
              <w:right w:val="single" w:sz="4" w:space="0" w:color="auto"/>
            </w:tcBorders>
            <w:shd w:val="clear" w:color="auto" w:fill="C6EFCE"/>
            <w:noWrap/>
          </w:tcPr>
          <w:p w14:paraId="68D3273D"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noWrap/>
          </w:tcPr>
          <w:p w14:paraId="07954BC5"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noWrap/>
          </w:tcPr>
          <w:p w14:paraId="05887AAB" w14:textId="77777777" w:rsidR="00553430" w:rsidRDefault="00212577">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5FD6AB24" w14:textId="77777777" w:rsidR="00553430" w:rsidRDefault="00212577">
            <w:pPr>
              <w:pStyle w:val="P68B1DB1-Normal66"/>
              <w:spacing w:line="240"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497066AF" w14:textId="77777777" w:rsidR="00553430" w:rsidRDefault="00212577">
            <w:pPr>
              <w:pStyle w:val="P68B1DB1-Normal66"/>
              <w:spacing w:line="240" w:lineRule="auto"/>
              <w:jc w:val="center"/>
              <w:rPr>
                <w:noProof/>
              </w:rPr>
            </w:pPr>
            <w:r>
              <w:rPr>
                <w:noProof/>
              </w:rPr>
              <w:t>2024</w:t>
            </w:r>
          </w:p>
        </w:tc>
        <w:tc>
          <w:tcPr>
            <w:tcW w:w="5528" w:type="dxa"/>
            <w:tcBorders>
              <w:top w:val="single" w:sz="4" w:space="0" w:color="auto"/>
              <w:left w:val="nil"/>
              <w:bottom w:val="single" w:sz="4" w:space="0" w:color="auto"/>
              <w:right w:val="single" w:sz="4" w:space="0" w:color="auto"/>
            </w:tcBorders>
            <w:shd w:val="clear" w:color="auto" w:fill="C6EFCE"/>
            <w:noWrap/>
          </w:tcPr>
          <w:p w14:paraId="782022E9" w14:textId="52A57ABF" w:rsidR="00553430" w:rsidRDefault="00212577">
            <w:pPr>
              <w:pStyle w:val="P68B1DB1-Normal66"/>
              <w:spacing w:line="240" w:lineRule="auto"/>
              <w:jc w:val="both"/>
              <w:rPr>
                <w:noProof/>
              </w:rPr>
            </w:pPr>
            <w:r>
              <w:rPr>
                <w:noProof/>
              </w:rPr>
              <w:t>Ce jalon nécessite la numérisation des processus de mise en œuvre de la loi croate sur les projets d’investissement stratégique, de la loi sur la promotion des investissements et de la loi sur les aides d’État aux projets de reche</w:t>
            </w:r>
            <w:r>
              <w:rPr>
                <w:noProof/>
              </w:rPr>
              <w:t>rche et de développement, ainsi que la poursuite de la numérisation et de la mise en réseau du registre unique des infrastructures d’entreprise (JRPI). Cela implique de simplifier les procédures susmentionnées, de poursuivre le développement et la mise à n</w:t>
            </w:r>
            <w:r>
              <w:rPr>
                <w:noProof/>
              </w:rPr>
              <w:t>iveau de la base de données électronique JRPI sur les entreprises et de mettre en place une plateforme numérique pour la soumission des demandes et l’accès à celles-ci.</w:t>
            </w:r>
          </w:p>
        </w:tc>
      </w:tr>
      <w:tr w:rsidR="00553430" w14:paraId="506B9530"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D50510F" w14:textId="77777777" w:rsidR="00553430" w:rsidRDefault="00212577">
            <w:pPr>
              <w:pStyle w:val="P68B1DB1-Normal66"/>
              <w:spacing w:line="240" w:lineRule="auto"/>
              <w:jc w:val="center"/>
              <w:rPr>
                <w:noProof/>
              </w:rPr>
            </w:pPr>
            <w:r>
              <w:rPr>
                <w:noProof/>
              </w:rPr>
              <w:t>6</w:t>
            </w:r>
          </w:p>
        </w:tc>
        <w:tc>
          <w:tcPr>
            <w:tcW w:w="1205" w:type="dxa"/>
            <w:tcBorders>
              <w:top w:val="single" w:sz="4" w:space="0" w:color="auto"/>
              <w:left w:val="nil"/>
              <w:bottom w:val="single" w:sz="4" w:space="0" w:color="auto"/>
              <w:right w:val="single" w:sz="4" w:space="0" w:color="auto"/>
            </w:tcBorders>
            <w:shd w:val="clear" w:color="auto" w:fill="C6EFCE"/>
            <w:noWrap/>
          </w:tcPr>
          <w:p w14:paraId="0D42B678" w14:textId="77777777" w:rsidR="00553430" w:rsidRDefault="00212577">
            <w:pPr>
              <w:pStyle w:val="P68B1DB1-Normal66"/>
              <w:spacing w:line="240" w:lineRule="auto"/>
              <w:rPr>
                <w:noProof/>
              </w:rPr>
            </w:pPr>
            <w:r>
              <w:rPr>
                <w:noProof/>
              </w:rPr>
              <w:t>C1.1.1. R1-I2</w:t>
            </w:r>
          </w:p>
        </w:tc>
        <w:tc>
          <w:tcPr>
            <w:tcW w:w="1022" w:type="dxa"/>
            <w:tcBorders>
              <w:top w:val="single" w:sz="4" w:space="0" w:color="auto"/>
              <w:left w:val="nil"/>
              <w:bottom w:val="single" w:sz="4" w:space="0" w:color="auto"/>
              <w:right w:val="single" w:sz="4" w:space="0" w:color="auto"/>
            </w:tcBorders>
            <w:shd w:val="clear" w:color="auto" w:fill="C6EFCE"/>
            <w:noWrap/>
          </w:tcPr>
          <w:p w14:paraId="535EE38C" w14:textId="77777777" w:rsidR="00553430" w:rsidRDefault="00212577">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noWrap/>
          </w:tcPr>
          <w:p w14:paraId="7A4C5669" w14:textId="77777777" w:rsidR="00553430" w:rsidRDefault="00212577">
            <w:pPr>
              <w:pStyle w:val="P68B1DB1-Normal66"/>
              <w:spacing w:line="240" w:lineRule="auto"/>
              <w:rPr>
                <w:noProof/>
              </w:rPr>
            </w:pPr>
            <w:r>
              <w:rPr>
                <w:noProof/>
              </w:rPr>
              <w:t xml:space="preserve">Mise en œuvre du plan d’action pour la réduction des taxes non </w:t>
            </w:r>
            <w:r>
              <w:rPr>
                <w:noProof/>
              </w:rPr>
              <w:t>fiscales et parafiscales 2020</w:t>
            </w:r>
          </w:p>
        </w:tc>
        <w:tc>
          <w:tcPr>
            <w:tcW w:w="1555" w:type="dxa"/>
            <w:tcBorders>
              <w:top w:val="single" w:sz="4" w:space="0" w:color="auto"/>
              <w:left w:val="nil"/>
              <w:bottom w:val="single" w:sz="4" w:space="0" w:color="auto"/>
              <w:right w:val="single" w:sz="4" w:space="0" w:color="auto"/>
            </w:tcBorders>
            <w:shd w:val="clear" w:color="auto" w:fill="C6EFCE"/>
            <w:noWrap/>
          </w:tcPr>
          <w:p w14:paraId="5D9BF134" w14:textId="77777777" w:rsidR="00553430" w:rsidRDefault="00212577">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noWrap/>
          </w:tcPr>
          <w:p w14:paraId="428149DB" w14:textId="77777777" w:rsidR="00553430" w:rsidRDefault="00212577">
            <w:pPr>
              <w:pStyle w:val="P68B1DB1-Normal66"/>
              <w:spacing w:line="240" w:lineRule="auto"/>
              <w:jc w:val="center"/>
              <w:rPr>
                <w:noProof/>
              </w:rPr>
            </w:pPr>
            <w:r>
              <w:rPr>
                <w:noProof/>
              </w:rPr>
              <w:t>% (pourcentage)</w:t>
            </w:r>
          </w:p>
        </w:tc>
        <w:tc>
          <w:tcPr>
            <w:tcW w:w="1056" w:type="dxa"/>
            <w:tcBorders>
              <w:top w:val="single" w:sz="4" w:space="0" w:color="auto"/>
              <w:left w:val="nil"/>
              <w:bottom w:val="single" w:sz="4" w:space="0" w:color="auto"/>
              <w:right w:val="single" w:sz="4" w:space="0" w:color="auto"/>
            </w:tcBorders>
            <w:shd w:val="clear" w:color="auto" w:fill="C6EFCE"/>
            <w:noWrap/>
          </w:tcPr>
          <w:p w14:paraId="74FB3AF6" w14:textId="77777777" w:rsidR="00553430" w:rsidRDefault="00212577">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noWrap/>
          </w:tcPr>
          <w:p w14:paraId="6511D87D" w14:textId="77777777" w:rsidR="00553430" w:rsidRDefault="00212577">
            <w:pPr>
              <w:pStyle w:val="P68B1DB1-Normal66"/>
              <w:spacing w:line="240" w:lineRule="auto"/>
              <w:jc w:val="center"/>
              <w:rPr>
                <w:noProof/>
              </w:rPr>
            </w:pPr>
            <w:r>
              <w:rPr>
                <w:noProof/>
              </w:rPr>
              <w:t>100</w:t>
            </w:r>
          </w:p>
        </w:tc>
        <w:tc>
          <w:tcPr>
            <w:tcW w:w="756" w:type="dxa"/>
            <w:tcBorders>
              <w:top w:val="single" w:sz="4" w:space="0" w:color="auto"/>
              <w:left w:val="nil"/>
              <w:bottom w:val="single" w:sz="4" w:space="0" w:color="auto"/>
              <w:right w:val="single" w:sz="4" w:space="0" w:color="auto"/>
            </w:tcBorders>
            <w:shd w:val="clear" w:color="auto" w:fill="C6EFCE"/>
            <w:noWrap/>
          </w:tcPr>
          <w:p w14:paraId="78AB2D9D" w14:textId="77777777" w:rsidR="00553430" w:rsidRDefault="00212577">
            <w:pPr>
              <w:pStyle w:val="P68B1DB1-Normal66"/>
              <w:spacing w:line="240" w:lineRule="auto"/>
              <w:jc w:val="center"/>
              <w:rPr>
                <w:noProof/>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noWrap/>
          </w:tcPr>
          <w:p w14:paraId="5A01EA0D" w14:textId="77777777" w:rsidR="00553430" w:rsidRDefault="00212577">
            <w:pPr>
              <w:pStyle w:val="P68B1DB1-Normal66"/>
              <w:spacing w:line="240" w:lineRule="auto"/>
              <w:jc w:val="center"/>
              <w:rPr>
                <w:noProof/>
              </w:rPr>
            </w:pPr>
            <w:r>
              <w:rPr>
                <w:noProof/>
              </w:rPr>
              <w:t>2022</w:t>
            </w:r>
          </w:p>
        </w:tc>
        <w:tc>
          <w:tcPr>
            <w:tcW w:w="5528" w:type="dxa"/>
            <w:tcBorders>
              <w:top w:val="single" w:sz="4" w:space="0" w:color="auto"/>
              <w:left w:val="nil"/>
              <w:bottom w:val="single" w:sz="4" w:space="0" w:color="auto"/>
              <w:right w:val="single" w:sz="4" w:space="0" w:color="auto"/>
            </w:tcBorders>
            <w:shd w:val="clear" w:color="auto" w:fill="C6EFCE"/>
            <w:noWrap/>
          </w:tcPr>
          <w:p w14:paraId="167CE50B" w14:textId="77777777" w:rsidR="00553430" w:rsidRDefault="00212577">
            <w:pPr>
              <w:pStyle w:val="P68B1DB1-Normal66"/>
              <w:spacing w:line="240" w:lineRule="auto"/>
              <w:rPr>
                <w:noProof/>
              </w:rPr>
            </w:pPr>
            <w:r>
              <w:rPr>
                <w:noProof/>
              </w:rPr>
              <w:t>La mise en œuvre du plan d’action visant à réduire les taxes non fiscales et parafiscales 2020, adopté par le gouvernement croate en mai 2020 et contenant 33 mesures visant à réduire les taxes n</w:t>
            </w:r>
            <w:r>
              <w:rPr>
                <w:noProof/>
              </w:rPr>
              <w:t xml:space="preserve">on fiscales et parafiscales et 17 mesures visant à réduire les frais d’examens professionnels, permettra d’alléger directement les coûts pour le secteur privé. </w:t>
            </w:r>
          </w:p>
        </w:tc>
      </w:tr>
      <w:tr w:rsidR="00553430" w14:paraId="630FCDE7"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A472323" w14:textId="77777777" w:rsidR="00553430" w:rsidRDefault="00212577">
            <w:pPr>
              <w:pStyle w:val="P68B1DB1-Normal66"/>
              <w:spacing w:line="240" w:lineRule="auto"/>
              <w:jc w:val="center"/>
              <w:rPr>
                <w:noProof/>
              </w:rPr>
            </w:pPr>
            <w:r>
              <w:rPr>
                <w:noProof/>
              </w:rPr>
              <w:t>7</w:t>
            </w:r>
          </w:p>
        </w:tc>
        <w:tc>
          <w:tcPr>
            <w:tcW w:w="1205" w:type="dxa"/>
            <w:tcBorders>
              <w:top w:val="single" w:sz="4" w:space="0" w:color="auto"/>
              <w:left w:val="nil"/>
              <w:bottom w:val="single" w:sz="4" w:space="0" w:color="auto"/>
              <w:right w:val="single" w:sz="4" w:space="0" w:color="auto"/>
            </w:tcBorders>
            <w:shd w:val="clear" w:color="auto" w:fill="C6EFCE"/>
            <w:noWrap/>
          </w:tcPr>
          <w:p w14:paraId="261BC13F" w14:textId="77777777" w:rsidR="00553430" w:rsidRDefault="00212577">
            <w:pPr>
              <w:pStyle w:val="P68B1DB1-Normal66"/>
              <w:spacing w:line="240" w:lineRule="auto"/>
              <w:rPr>
                <w:noProof/>
              </w:rPr>
            </w:pPr>
            <w:r>
              <w:rPr>
                <w:noProof/>
              </w:rPr>
              <w:t>C1.1.1. R1-I2</w:t>
            </w:r>
          </w:p>
        </w:tc>
        <w:tc>
          <w:tcPr>
            <w:tcW w:w="1022" w:type="dxa"/>
            <w:tcBorders>
              <w:top w:val="single" w:sz="4" w:space="0" w:color="auto"/>
              <w:left w:val="nil"/>
              <w:bottom w:val="single" w:sz="4" w:space="0" w:color="auto"/>
              <w:right w:val="single" w:sz="4" w:space="0" w:color="auto"/>
            </w:tcBorders>
            <w:shd w:val="clear" w:color="auto" w:fill="C6EFCE"/>
            <w:noWrap/>
          </w:tcPr>
          <w:p w14:paraId="11D144F6" w14:textId="77777777" w:rsidR="00553430" w:rsidRDefault="00212577">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noWrap/>
          </w:tcPr>
          <w:p w14:paraId="244F5840" w14:textId="77777777" w:rsidR="00553430" w:rsidRDefault="00212577">
            <w:pPr>
              <w:pStyle w:val="P68B1DB1-Normal66"/>
              <w:spacing w:line="240" w:lineRule="auto"/>
              <w:rPr>
                <w:noProof/>
              </w:rPr>
            </w:pPr>
            <w:r>
              <w:rPr>
                <w:noProof/>
              </w:rPr>
              <w:t xml:space="preserve">Mise en œuvre des mesures prévues dans les plans d’action pour alléger la </w:t>
            </w:r>
            <w:r>
              <w:rPr>
                <w:noProof/>
              </w:rPr>
              <w:t>charge administrative pesant sur l’économie en 2018, 2019, 2020</w:t>
            </w:r>
          </w:p>
        </w:tc>
        <w:tc>
          <w:tcPr>
            <w:tcW w:w="1555" w:type="dxa"/>
            <w:tcBorders>
              <w:top w:val="single" w:sz="4" w:space="0" w:color="auto"/>
              <w:left w:val="nil"/>
              <w:bottom w:val="single" w:sz="4" w:space="0" w:color="auto"/>
              <w:right w:val="single" w:sz="4" w:space="0" w:color="auto"/>
            </w:tcBorders>
            <w:shd w:val="clear" w:color="auto" w:fill="C6EFCE"/>
            <w:noWrap/>
          </w:tcPr>
          <w:p w14:paraId="12F962A6" w14:textId="77777777" w:rsidR="00553430" w:rsidRDefault="00212577">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noWrap/>
          </w:tcPr>
          <w:p w14:paraId="044A3427" w14:textId="77777777" w:rsidR="00553430" w:rsidRDefault="00212577">
            <w:pPr>
              <w:pStyle w:val="P68B1DB1-Normal66"/>
              <w:spacing w:line="240" w:lineRule="auto"/>
              <w:jc w:val="center"/>
              <w:rPr>
                <w:noProof/>
              </w:rPr>
            </w:pPr>
            <w:r>
              <w:rPr>
                <w:noProof/>
              </w:rPr>
              <w:t>% (pourcentage)</w:t>
            </w:r>
          </w:p>
        </w:tc>
        <w:tc>
          <w:tcPr>
            <w:tcW w:w="1056" w:type="dxa"/>
            <w:tcBorders>
              <w:top w:val="single" w:sz="4" w:space="0" w:color="auto"/>
              <w:left w:val="nil"/>
              <w:bottom w:val="single" w:sz="4" w:space="0" w:color="auto"/>
              <w:right w:val="single" w:sz="4" w:space="0" w:color="auto"/>
            </w:tcBorders>
            <w:shd w:val="clear" w:color="auto" w:fill="C6EFCE"/>
            <w:noWrap/>
          </w:tcPr>
          <w:p w14:paraId="2DBF7856" w14:textId="77777777" w:rsidR="00553430" w:rsidRDefault="00212577">
            <w:pPr>
              <w:pStyle w:val="P68B1DB1-Normal66"/>
              <w:spacing w:line="240" w:lineRule="auto"/>
              <w:jc w:val="center"/>
              <w:rPr>
                <w:noProof/>
              </w:rPr>
            </w:pPr>
            <w:r>
              <w:rPr>
                <w:noProof/>
              </w:rPr>
              <w:t>61,02</w:t>
            </w:r>
          </w:p>
        </w:tc>
        <w:tc>
          <w:tcPr>
            <w:tcW w:w="1056" w:type="dxa"/>
            <w:tcBorders>
              <w:top w:val="single" w:sz="4" w:space="0" w:color="auto"/>
              <w:left w:val="nil"/>
              <w:bottom w:val="single" w:sz="4" w:space="0" w:color="auto"/>
              <w:right w:val="single" w:sz="4" w:space="0" w:color="auto"/>
            </w:tcBorders>
            <w:shd w:val="clear" w:color="auto" w:fill="C6EFCE"/>
            <w:noWrap/>
          </w:tcPr>
          <w:p w14:paraId="25784F9D" w14:textId="77777777" w:rsidR="00553430" w:rsidRDefault="00212577">
            <w:pPr>
              <w:pStyle w:val="P68B1DB1-Normal66"/>
              <w:spacing w:line="240" w:lineRule="auto"/>
              <w:jc w:val="center"/>
              <w:rPr>
                <w:noProof/>
              </w:rPr>
            </w:pPr>
            <w:r>
              <w:rPr>
                <w:noProof/>
              </w:rPr>
              <w:t>95</w:t>
            </w:r>
          </w:p>
        </w:tc>
        <w:tc>
          <w:tcPr>
            <w:tcW w:w="756" w:type="dxa"/>
            <w:tcBorders>
              <w:top w:val="single" w:sz="4" w:space="0" w:color="auto"/>
              <w:left w:val="nil"/>
              <w:bottom w:val="single" w:sz="4" w:space="0" w:color="auto"/>
              <w:right w:val="single" w:sz="4" w:space="0" w:color="auto"/>
            </w:tcBorders>
            <w:shd w:val="clear" w:color="auto" w:fill="C6EFCE"/>
            <w:noWrap/>
          </w:tcPr>
          <w:p w14:paraId="139301BF" w14:textId="77777777" w:rsidR="00553430" w:rsidRDefault="00212577">
            <w:pPr>
              <w:pStyle w:val="P68B1DB1-Normal66"/>
              <w:spacing w:line="240"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09B6A959" w14:textId="77777777" w:rsidR="00553430" w:rsidRDefault="00212577">
            <w:pPr>
              <w:pStyle w:val="P68B1DB1-Normal66"/>
              <w:spacing w:line="240" w:lineRule="auto"/>
              <w:jc w:val="center"/>
              <w:rPr>
                <w:noProof/>
              </w:rPr>
            </w:pPr>
            <w:r>
              <w:rPr>
                <w:noProof/>
              </w:rPr>
              <w:t>2022</w:t>
            </w:r>
          </w:p>
        </w:tc>
        <w:tc>
          <w:tcPr>
            <w:tcW w:w="5528" w:type="dxa"/>
            <w:tcBorders>
              <w:top w:val="single" w:sz="4" w:space="0" w:color="auto"/>
              <w:left w:val="nil"/>
              <w:bottom w:val="single" w:sz="4" w:space="0" w:color="auto"/>
              <w:right w:val="single" w:sz="4" w:space="0" w:color="auto"/>
            </w:tcBorders>
            <w:shd w:val="clear" w:color="auto" w:fill="C6EFCE"/>
            <w:noWrap/>
          </w:tcPr>
          <w:p w14:paraId="3F8B6E35" w14:textId="77777777" w:rsidR="00553430" w:rsidRDefault="00212577">
            <w:pPr>
              <w:pStyle w:val="P68B1DB1-Normal66"/>
              <w:spacing w:line="240" w:lineRule="auto"/>
              <w:rPr>
                <w:noProof/>
              </w:rPr>
            </w:pPr>
            <w:r>
              <w:rPr>
                <w:noProof/>
              </w:rPr>
              <w:t xml:space="preserve">Mise en œuvre des mesures de réduction de la charge administrative recensées dans les plans d’action de 2018, 2019 et 2020, représentant au moins 95 % de la </w:t>
            </w:r>
            <w:r>
              <w:rPr>
                <w:noProof/>
              </w:rPr>
              <w:t>réduction des coûts envisagée. Les plans d’action pour l’allègement des charges administratives optimisent et numérisent les processus administratifs considérés comme les plus contraignants pour le secteur privé. Toutes les mesures d'allègement de la charg</w:t>
            </w:r>
            <w:r>
              <w:rPr>
                <w:noProof/>
              </w:rPr>
              <w:t xml:space="preserve">e sont mises en place en coopération avec des représentants du monde des affaires, des chambres et des associations professionnelles. </w:t>
            </w:r>
          </w:p>
        </w:tc>
      </w:tr>
      <w:tr w:rsidR="00553430" w14:paraId="085326E3"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05B1146" w14:textId="77777777" w:rsidR="00553430" w:rsidRDefault="00212577">
            <w:pPr>
              <w:pStyle w:val="P68B1DB1-Normal66"/>
              <w:spacing w:line="240" w:lineRule="auto"/>
              <w:jc w:val="center"/>
              <w:rPr>
                <w:noProof/>
              </w:rPr>
            </w:pPr>
            <w:r>
              <w:rPr>
                <w:noProof/>
              </w:rPr>
              <w:t>8</w:t>
            </w:r>
          </w:p>
        </w:tc>
        <w:tc>
          <w:tcPr>
            <w:tcW w:w="1205" w:type="dxa"/>
            <w:tcBorders>
              <w:top w:val="single" w:sz="4" w:space="0" w:color="auto"/>
              <w:left w:val="nil"/>
              <w:bottom w:val="single" w:sz="4" w:space="0" w:color="auto"/>
              <w:right w:val="single" w:sz="4" w:space="0" w:color="auto"/>
            </w:tcBorders>
            <w:shd w:val="clear" w:color="auto" w:fill="C6EFCE"/>
            <w:noWrap/>
          </w:tcPr>
          <w:p w14:paraId="70B29C05" w14:textId="77777777" w:rsidR="00553430" w:rsidRDefault="00212577">
            <w:pPr>
              <w:pStyle w:val="P68B1DB1-Normal66"/>
              <w:spacing w:line="240" w:lineRule="auto"/>
              <w:rPr>
                <w:noProof/>
              </w:rPr>
            </w:pPr>
            <w:r>
              <w:rPr>
                <w:noProof/>
              </w:rPr>
              <w:t>C1.1.1. R1-I2</w:t>
            </w:r>
          </w:p>
        </w:tc>
        <w:tc>
          <w:tcPr>
            <w:tcW w:w="1022" w:type="dxa"/>
            <w:tcBorders>
              <w:top w:val="single" w:sz="4" w:space="0" w:color="auto"/>
              <w:left w:val="nil"/>
              <w:bottom w:val="single" w:sz="4" w:space="0" w:color="auto"/>
              <w:right w:val="single" w:sz="4" w:space="0" w:color="auto"/>
            </w:tcBorders>
            <w:shd w:val="clear" w:color="auto" w:fill="C6EFCE"/>
            <w:noWrap/>
          </w:tcPr>
          <w:p w14:paraId="0F1853BF" w14:textId="77777777" w:rsidR="00553430" w:rsidRDefault="00212577">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noWrap/>
          </w:tcPr>
          <w:p w14:paraId="33517777" w14:textId="77777777" w:rsidR="00553430" w:rsidRDefault="00212577">
            <w:pPr>
              <w:pStyle w:val="P68B1DB1-Normal66"/>
              <w:spacing w:line="240" w:lineRule="auto"/>
              <w:rPr>
                <w:noProof/>
              </w:rPr>
            </w:pPr>
            <w:r>
              <w:rPr>
                <w:noProof/>
              </w:rPr>
              <w:t xml:space="preserve">Numérisation du test d’analyse d’impact sur les PME grâce au développement d’une plateforme numérique </w:t>
            </w:r>
            <w:r>
              <w:rPr>
                <w:noProof/>
              </w:rPr>
              <w:t>pour la collaboration des coordinateurs, la formation en ligne et la communication mutuelle</w:t>
            </w:r>
          </w:p>
        </w:tc>
        <w:tc>
          <w:tcPr>
            <w:tcW w:w="1555" w:type="dxa"/>
            <w:tcBorders>
              <w:top w:val="single" w:sz="4" w:space="0" w:color="auto"/>
              <w:left w:val="nil"/>
              <w:bottom w:val="single" w:sz="4" w:space="0" w:color="auto"/>
              <w:right w:val="single" w:sz="4" w:space="0" w:color="auto"/>
            </w:tcBorders>
            <w:shd w:val="clear" w:color="auto" w:fill="C6EFCE"/>
            <w:noWrap/>
          </w:tcPr>
          <w:p w14:paraId="5760E918" w14:textId="77777777" w:rsidR="00553430" w:rsidRDefault="00212577">
            <w:pPr>
              <w:pStyle w:val="P68B1DB1-Normal66"/>
              <w:spacing w:line="240" w:lineRule="auto"/>
              <w:rPr>
                <w:noProof/>
              </w:rPr>
            </w:pPr>
            <w:r>
              <w:rPr>
                <w:noProof/>
              </w:rPr>
              <w:t>Plate-forme numérique en fonctionnement</w:t>
            </w:r>
          </w:p>
        </w:tc>
        <w:tc>
          <w:tcPr>
            <w:tcW w:w="1067" w:type="dxa"/>
            <w:tcBorders>
              <w:top w:val="single" w:sz="4" w:space="0" w:color="auto"/>
              <w:left w:val="nil"/>
              <w:bottom w:val="single" w:sz="4" w:space="0" w:color="auto"/>
              <w:right w:val="single" w:sz="4" w:space="0" w:color="auto"/>
            </w:tcBorders>
            <w:shd w:val="clear" w:color="auto" w:fill="C6EFCE"/>
            <w:noWrap/>
          </w:tcPr>
          <w:p w14:paraId="3BDB27E5"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noWrap/>
          </w:tcPr>
          <w:p w14:paraId="61963E6D"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noWrap/>
          </w:tcPr>
          <w:p w14:paraId="5BE5CB50" w14:textId="77777777" w:rsidR="00553430" w:rsidRDefault="00212577">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19B5B599" w14:textId="77777777" w:rsidR="00553430" w:rsidRDefault="00212577">
            <w:pPr>
              <w:pStyle w:val="P68B1DB1-Normal66"/>
              <w:spacing w:line="240"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6B0479E2" w14:textId="77777777" w:rsidR="00553430" w:rsidRDefault="00212577">
            <w:pPr>
              <w:pStyle w:val="P68B1DB1-Normal66"/>
              <w:spacing w:line="240" w:lineRule="auto"/>
              <w:jc w:val="center"/>
              <w:rPr>
                <w:noProof/>
              </w:rPr>
            </w:pPr>
            <w:r>
              <w:rPr>
                <w:noProof/>
              </w:rPr>
              <w:t>2023</w:t>
            </w:r>
          </w:p>
        </w:tc>
        <w:tc>
          <w:tcPr>
            <w:tcW w:w="5528" w:type="dxa"/>
            <w:tcBorders>
              <w:top w:val="single" w:sz="4" w:space="0" w:color="auto"/>
              <w:left w:val="nil"/>
              <w:bottom w:val="single" w:sz="4" w:space="0" w:color="auto"/>
              <w:right w:val="single" w:sz="4" w:space="0" w:color="auto"/>
            </w:tcBorders>
            <w:shd w:val="clear" w:color="auto" w:fill="C6EFCE"/>
            <w:noWrap/>
          </w:tcPr>
          <w:p w14:paraId="25C4C1FF" w14:textId="35634A05" w:rsidR="00553430" w:rsidRDefault="00212577">
            <w:pPr>
              <w:pStyle w:val="P68B1DB1-Normal66"/>
              <w:spacing w:line="240" w:lineRule="auto"/>
              <w:rPr>
                <w:noProof/>
              </w:rPr>
            </w:pPr>
            <w:r>
              <w:rPr>
                <w:noProof/>
              </w:rPr>
              <w:t>L’utilisation de services de conseil informatique développe et met en place une plateforme numérique pour la m</w:t>
            </w:r>
            <w:r>
              <w:rPr>
                <w:noProof/>
              </w:rPr>
              <w:t>ise en œuvre du test PME. La plateforme se compose d’une base de données informatique des tests PME, d’une base de données des valeurs normalisées utilisées pour calculer l’analyse d’impact, et permet un suivi et un suivi systématiques des impacts calculés</w:t>
            </w:r>
            <w:r>
              <w:rPr>
                <w:noProof/>
              </w:rPr>
              <w:t>, des rapports analytiques et des simulations d’impact. Outre la base de données, une partie intégrante de la plateforme constitue un portail consacré à la communication mutuelle et à l’échange d’expériences entre les experts nationaux qui forment le résea</w:t>
            </w:r>
            <w:r>
              <w:rPr>
                <w:noProof/>
              </w:rPr>
              <w:t xml:space="preserve">u «Mieux légiférer». </w:t>
            </w:r>
            <w:r>
              <w:rPr>
                <w:noProof/>
              </w:rPr>
              <w:br/>
              <w:t>Toutes les activités sont mises en œuvre au moyen de projets d’assistance technique (STI).</w:t>
            </w:r>
          </w:p>
        </w:tc>
      </w:tr>
      <w:tr w:rsidR="00553430" w14:paraId="373B39C5"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9077E5F" w14:textId="77777777" w:rsidR="00553430" w:rsidRDefault="00212577">
            <w:pPr>
              <w:pStyle w:val="P68B1DB1-Normal66"/>
              <w:spacing w:line="240" w:lineRule="auto"/>
              <w:jc w:val="center"/>
              <w:rPr>
                <w:noProof/>
              </w:rPr>
            </w:pPr>
            <w:r>
              <w:rPr>
                <w:noProof/>
              </w:rPr>
              <w:t>9</w:t>
            </w:r>
          </w:p>
        </w:tc>
        <w:tc>
          <w:tcPr>
            <w:tcW w:w="1205" w:type="dxa"/>
            <w:tcBorders>
              <w:top w:val="single" w:sz="4" w:space="0" w:color="auto"/>
              <w:left w:val="nil"/>
              <w:bottom w:val="single" w:sz="4" w:space="0" w:color="auto"/>
              <w:right w:val="single" w:sz="4" w:space="0" w:color="auto"/>
            </w:tcBorders>
            <w:shd w:val="clear" w:color="auto" w:fill="C6EFCE"/>
            <w:noWrap/>
          </w:tcPr>
          <w:p w14:paraId="2F87ED49" w14:textId="77777777" w:rsidR="00553430" w:rsidRDefault="00212577">
            <w:pPr>
              <w:pStyle w:val="P68B1DB1-Normal66"/>
              <w:spacing w:line="240" w:lineRule="auto"/>
              <w:rPr>
                <w:noProof/>
              </w:rPr>
            </w:pPr>
            <w:r>
              <w:rPr>
                <w:noProof/>
              </w:rPr>
              <w:t>C1.1.1. R1-I2</w:t>
            </w:r>
          </w:p>
        </w:tc>
        <w:tc>
          <w:tcPr>
            <w:tcW w:w="1022" w:type="dxa"/>
            <w:tcBorders>
              <w:top w:val="single" w:sz="4" w:space="0" w:color="auto"/>
              <w:left w:val="nil"/>
              <w:bottom w:val="single" w:sz="4" w:space="0" w:color="auto"/>
              <w:right w:val="single" w:sz="4" w:space="0" w:color="auto"/>
            </w:tcBorders>
            <w:shd w:val="clear" w:color="auto" w:fill="C6EFCE"/>
            <w:noWrap/>
          </w:tcPr>
          <w:p w14:paraId="0CA6DD38" w14:textId="77777777" w:rsidR="00553430" w:rsidRDefault="00212577">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noWrap/>
          </w:tcPr>
          <w:p w14:paraId="78815CB2" w14:textId="77777777" w:rsidR="00553430" w:rsidRDefault="00212577">
            <w:pPr>
              <w:pStyle w:val="P68B1DB1-Normal66"/>
              <w:spacing w:line="240" w:lineRule="auto"/>
              <w:rPr>
                <w:noProof/>
              </w:rPr>
            </w:pPr>
            <w:r>
              <w:rPr>
                <w:noProof/>
              </w:rPr>
              <w:t xml:space="preserve">Mise en œuvre des actions du nouveau plan d'action visant à réduire les taxes non fiscales et parafiscales </w:t>
            </w:r>
          </w:p>
        </w:tc>
        <w:tc>
          <w:tcPr>
            <w:tcW w:w="1555" w:type="dxa"/>
            <w:tcBorders>
              <w:top w:val="single" w:sz="4" w:space="0" w:color="auto"/>
              <w:left w:val="nil"/>
              <w:bottom w:val="single" w:sz="4" w:space="0" w:color="auto"/>
              <w:right w:val="single" w:sz="4" w:space="0" w:color="auto"/>
            </w:tcBorders>
            <w:shd w:val="clear" w:color="auto" w:fill="C6EFCE"/>
            <w:noWrap/>
          </w:tcPr>
          <w:p w14:paraId="15CE1114" w14:textId="77777777" w:rsidR="00553430" w:rsidRDefault="00212577">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noWrap/>
          </w:tcPr>
          <w:p w14:paraId="1D71DBD9" w14:textId="77777777" w:rsidR="00553430" w:rsidRDefault="00212577">
            <w:pPr>
              <w:pStyle w:val="P68B1DB1-Normal66"/>
              <w:spacing w:line="240" w:lineRule="auto"/>
              <w:jc w:val="center"/>
              <w:rPr>
                <w:noProof/>
              </w:rPr>
            </w:pPr>
            <w:r>
              <w:rPr>
                <w:noProof/>
              </w:rPr>
              <w:t>Numéro (EUR)</w:t>
            </w:r>
          </w:p>
        </w:tc>
        <w:tc>
          <w:tcPr>
            <w:tcW w:w="1056" w:type="dxa"/>
            <w:tcBorders>
              <w:top w:val="single" w:sz="4" w:space="0" w:color="auto"/>
              <w:left w:val="nil"/>
              <w:bottom w:val="single" w:sz="4" w:space="0" w:color="auto"/>
              <w:right w:val="single" w:sz="4" w:space="0" w:color="auto"/>
            </w:tcBorders>
            <w:shd w:val="clear" w:color="auto" w:fill="C6EFCE"/>
            <w:noWrap/>
          </w:tcPr>
          <w:p w14:paraId="340BD46C" w14:textId="77777777" w:rsidR="00553430" w:rsidRDefault="00212577">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noWrap/>
          </w:tcPr>
          <w:p w14:paraId="44E0FCBD" w14:textId="77777777" w:rsidR="00553430" w:rsidRDefault="00212577">
            <w:pPr>
              <w:pStyle w:val="P68B1DB1-Normal66"/>
              <w:spacing w:line="240" w:lineRule="auto"/>
              <w:jc w:val="center"/>
              <w:rPr>
                <w:noProof/>
              </w:rPr>
            </w:pPr>
            <w:r>
              <w:rPr>
                <w:noProof/>
              </w:rPr>
              <w:t xml:space="preserve">132 722 808 </w:t>
            </w:r>
          </w:p>
        </w:tc>
        <w:tc>
          <w:tcPr>
            <w:tcW w:w="756" w:type="dxa"/>
            <w:tcBorders>
              <w:top w:val="single" w:sz="4" w:space="0" w:color="auto"/>
              <w:left w:val="nil"/>
              <w:bottom w:val="single" w:sz="4" w:space="0" w:color="auto"/>
              <w:right w:val="single" w:sz="4" w:space="0" w:color="auto"/>
            </w:tcBorders>
            <w:shd w:val="clear" w:color="auto" w:fill="C6EFCE"/>
            <w:noWrap/>
          </w:tcPr>
          <w:p w14:paraId="064CBFC5" w14:textId="77777777" w:rsidR="00553430" w:rsidRDefault="00212577">
            <w:pPr>
              <w:pStyle w:val="P68B1DB1-Normal66"/>
              <w:spacing w:line="240"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4965ABA1" w14:textId="77777777" w:rsidR="00553430" w:rsidRDefault="00212577">
            <w:pPr>
              <w:pStyle w:val="P68B1DB1-Normal66"/>
              <w:spacing w:line="240" w:lineRule="auto"/>
              <w:jc w:val="center"/>
              <w:rPr>
                <w:noProof/>
              </w:rPr>
            </w:pPr>
            <w:r>
              <w:rPr>
                <w:noProof/>
              </w:rPr>
              <w:t>2023</w:t>
            </w:r>
          </w:p>
        </w:tc>
        <w:tc>
          <w:tcPr>
            <w:tcW w:w="5528" w:type="dxa"/>
            <w:tcBorders>
              <w:top w:val="single" w:sz="4" w:space="0" w:color="auto"/>
              <w:left w:val="nil"/>
              <w:bottom w:val="single" w:sz="4" w:space="0" w:color="auto"/>
              <w:right w:val="single" w:sz="4" w:space="0" w:color="auto"/>
            </w:tcBorders>
            <w:shd w:val="clear" w:color="auto" w:fill="C6EFCE"/>
            <w:noWrap/>
          </w:tcPr>
          <w:p w14:paraId="5C7608C4" w14:textId="77777777" w:rsidR="00553430" w:rsidRDefault="00212577">
            <w:pPr>
              <w:pStyle w:val="P68B1DB1-Normal66"/>
              <w:spacing w:line="240" w:lineRule="auto"/>
              <w:rPr>
                <w:noProof/>
              </w:rPr>
            </w:pPr>
            <w:r>
              <w:rPr>
                <w:noProof/>
              </w:rPr>
              <w:t>Les différentes taxes sous forme de prélèvements parafiscaux et de taxes administratives constituent un élément important de l'évaluation de l'environnement des entreprises. Toutes les redevances résultant de dispositions de réglement</w:t>
            </w:r>
            <w:r>
              <w:rPr>
                <w:noProof/>
              </w:rPr>
              <w:t>ation publique payées par les entreprises à des organismes de l’administration centrale, à des collectivités locales et régionales ou à d’autres organismes de puissance publique sont analysées et prises en considération.</w:t>
            </w:r>
            <w:r>
              <w:rPr>
                <w:noProof/>
              </w:rPr>
              <w:br/>
              <w:t xml:space="preserve">La mise en œuvre de mesures visant </w:t>
            </w:r>
            <w:r>
              <w:rPr>
                <w:noProof/>
              </w:rPr>
              <w:t xml:space="preserve">à réduire la charge des taxes parafiscales et non fiscales pesant sur les entreprises dans le nouveau/deuxième plan d’action visant à réduire les taxes parafiscales et parafiscales se traduira par un allègement direct des coûts d’au moins 132 722 808 EUR. </w:t>
            </w:r>
          </w:p>
        </w:tc>
      </w:tr>
      <w:tr w:rsidR="00553430" w14:paraId="56CCE3D5"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62409FD" w14:textId="77777777" w:rsidR="00553430" w:rsidRDefault="00212577">
            <w:pPr>
              <w:pStyle w:val="P68B1DB1-Normal66"/>
              <w:spacing w:line="240" w:lineRule="auto"/>
              <w:jc w:val="center"/>
              <w:rPr>
                <w:noProof/>
              </w:rPr>
            </w:pPr>
            <w:r>
              <w:rPr>
                <w:noProof/>
              </w:rPr>
              <w:t>10</w:t>
            </w:r>
          </w:p>
        </w:tc>
        <w:tc>
          <w:tcPr>
            <w:tcW w:w="1205" w:type="dxa"/>
            <w:tcBorders>
              <w:top w:val="single" w:sz="4" w:space="0" w:color="auto"/>
              <w:left w:val="nil"/>
              <w:bottom w:val="single" w:sz="4" w:space="0" w:color="auto"/>
              <w:right w:val="single" w:sz="4" w:space="0" w:color="auto"/>
            </w:tcBorders>
            <w:shd w:val="clear" w:color="auto" w:fill="C6EFCE"/>
            <w:noWrap/>
          </w:tcPr>
          <w:p w14:paraId="5FA01D6E" w14:textId="77777777" w:rsidR="00553430" w:rsidRDefault="00212577">
            <w:pPr>
              <w:pStyle w:val="P68B1DB1-Normal66"/>
              <w:spacing w:line="240" w:lineRule="auto"/>
              <w:rPr>
                <w:noProof/>
              </w:rPr>
            </w:pPr>
            <w:r>
              <w:rPr>
                <w:noProof/>
              </w:rPr>
              <w:t>C1.1.1. R1-I2</w:t>
            </w:r>
          </w:p>
        </w:tc>
        <w:tc>
          <w:tcPr>
            <w:tcW w:w="1022" w:type="dxa"/>
            <w:tcBorders>
              <w:top w:val="single" w:sz="4" w:space="0" w:color="auto"/>
              <w:left w:val="nil"/>
              <w:bottom w:val="single" w:sz="4" w:space="0" w:color="auto"/>
              <w:right w:val="single" w:sz="4" w:space="0" w:color="auto"/>
            </w:tcBorders>
            <w:shd w:val="clear" w:color="auto" w:fill="C6EFCE"/>
            <w:noWrap/>
          </w:tcPr>
          <w:p w14:paraId="1C95DBCE" w14:textId="77777777" w:rsidR="00553430" w:rsidRDefault="00212577">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noWrap/>
          </w:tcPr>
          <w:p w14:paraId="3C1E3551" w14:textId="77777777" w:rsidR="00553430" w:rsidRDefault="00212577">
            <w:pPr>
              <w:pStyle w:val="P68B1DB1-Normal66"/>
              <w:spacing w:line="240" w:lineRule="auto"/>
              <w:rPr>
                <w:noProof/>
              </w:rPr>
            </w:pPr>
            <w:r>
              <w:rPr>
                <w:noProof/>
              </w:rPr>
              <w:t>Mise en œuvre de la première série de mesures énoncées dans le nouveau/cinquième plan d’action pour l’allègement de la charge administrative des entrepreneurs</w:t>
            </w:r>
          </w:p>
        </w:tc>
        <w:tc>
          <w:tcPr>
            <w:tcW w:w="1555" w:type="dxa"/>
            <w:tcBorders>
              <w:top w:val="single" w:sz="4" w:space="0" w:color="auto"/>
              <w:left w:val="nil"/>
              <w:bottom w:val="single" w:sz="4" w:space="0" w:color="auto"/>
              <w:right w:val="single" w:sz="4" w:space="0" w:color="auto"/>
            </w:tcBorders>
            <w:shd w:val="clear" w:color="auto" w:fill="C6EFCE"/>
            <w:noWrap/>
          </w:tcPr>
          <w:p w14:paraId="6DF04934" w14:textId="77777777" w:rsidR="00553430" w:rsidRDefault="00212577">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noWrap/>
          </w:tcPr>
          <w:p w14:paraId="3635357F" w14:textId="77777777" w:rsidR="00553430" w:rsidRDefault="00212577">
            <w:pPr>
              <w:pStyle w:val="P68B1DB1-Normal66"/>
              <w:spacing w:line="240" w:lineRule="auto"/>
              <w:jc w:val="center"/>
              <w:rPr>
                <w:noProof/>
              </w:rPr>
            </w:pPr>
            <w:r>
              <w:rPr>
                <w:noProof/>
              </w:rPr>
              <w:t>Numéro (EUR)</w:t>
            </w:r>
          </w:p>
        </w:tc>
        <w:tc>
          <w:tcPr>
            <w:tcW w:w="1056" w:type="dxa"/>
            <w:tcBorders>
              <w:top w:val="single" w:sz="4" w:space="0" w:color="auto"/>
              <w:left w:val="nil"/>
              <w:bottom w:val="single" w:sz="4" w:space="0" w:color="auto"/>
              <w:right w:val="single" w:sz="4" w:space="0" w:color="auto"/>
            </w:tcBorders>
            <w:shd w:val="clear" w:color="auto" w:fill="C6EFCE"/>
            <w:noWrap/>
          </w:tcPr>
          <w:p w14:paraId="3252084D" w14:textId="77777777" w:rsidR="00553430" w:rsidRDefault="00212577">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noWrap/>
          </w:tcPr>
          <w:p w14:paraId="10155089" w14:textId="77777777" w:rsidR="00553430" w:rsidRDefault="00212577">
            <w:pPr>
              <w:pStyle w:val="P68B1DB1-Normal66"/>
              <w:spacing w:line="240" w:lineRule="auto"/>
              <w:jc w:val="center"/>
              <w:rPr>
                <w:noProof/>
              </w:rPr>
            </w:pPr>
            <w:r>
              <w:rPr>
                <w:noProof/>
              </w:rPr>
              <w:t xml:space="preserve">132 722 808 </w:t>
            </w:r>
          </w:p>
        </w:tc>
        <w:tc>
          <w:tcPr>
            <w:tcW w:w="756" w:type="dxa"/>
            <w:tcBorders>
              <w:top w:val="single" w:sz="4" w:space="0" w:color="auto"/>
              <w:left w:val="nil"/>
              <w:bottom w:val="single" w:sz="4" w:space="0" w:color="auto"/>
              <w:right w:val="single" w:sz="4" w:space="0" w:color="auto"/>
            </w:tcBorders>
            <w:shd w:val="clear" w:color="auto" w:fill="C6EFCE"/>
            <w:noWrap/>
          </w:tcPr>
          <w:p w14:paraId="1CBF5417" w14:textId="77777777" w:rsidR="00553430" w:rsidRDefault="00212577">
            <w:pPr>
              <w:pStyle w:val="P68B1DB1-Normal66"/>
              <w:spacing w:line="240"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7309B24C" w14:textId="77777777" w:rsidR="00553430" w:rsidRDefault="00212577">
            <w:pPr>
              <w:pStyle w:val="P68B1DB1-Normal66"/>
              <w:spacing w:line="240" w:lineRule="auto"/>
              <w:jc w:val="center"/>
              <w:rPr>
                <w:noProof/>
              </w:rPr>
            </w:pPr>
            <w:r>
              <w:rPr>
                <w:noProof/>
              </w:rPr>
              <w:t>2024</w:t>
            </w:r>
          </w:p>
        </w:tc>
        <w:tc>
          <w:tcPr>
            <w:tcW w:w="5528" w:type="dxa"/>
            <w:tcBorders>
              <w:top w:val="single" w:sz="4" w:space="0" w:color="auto"/>
              <w:left w:val="nil"/>
              <w:bottom w:val="single" w:sz="4" w:space="0" w:color="auto"/>
              <w:right w:val="single" w:sz="4" w:space="0" w:color="auto"/>
            </w:tcBorders>
            <w:shd w:val="clear" w:color="auto" w:fill="C6EFCE"/>
            <w:noWrap/>
          </w:tcPr>
          <w:p w14:paraId="5609F370" w14:textId="113C7FC4" w:rsidR="00553430" w:rsidRDefault="00212577">
            <w:pPr>
              <w:pStyle w:val="P68B1DB1-Normal66"/>
              <w:spacing w:line="240" w:lineRule="auto"/>
              <w:rPr>
                <w:noProof/>
              </w:rPr>
            </w:pPr>
            <w:r>
              <w:rPr>
                <w:noProof/>
              </w:rPr>
              <w:t xml:space="preserve">L’élaboration d’un nouveau/cinquième </w:t>
            </w:r>
            <w:r>
              <w:rPr>
                <w:noProof/>
              </w:rPr>
              <w:t>plan d’action sur l’allègement des charges administratives poursuit l’optimisation et la numérisation des processus administratifs considérés comme les plus contraignants pour le secteur privé. Il fournit un environnement juridique et administratif plus fa</w:t>
            </w:r>
            <w:r>
              <w:rPr>
                <w:noProof/>
              </w:rPr>
              <w:t xml:space="preserve">vorable aux entreprises en continuant à mettre en œuvre des mesures visant à réduire les charges, à simplifier et à rendre les entreprises moins chères. </w:t>
            </w:r>
            <w:r>
              <w:rPr>
                <w:noProof/>
              </w:rPr>
              <w:br/>
              <w:t>La mise en œuvre des mesures énoncées dans le nouveau/cinquième plan d’action sur la réduction des cha</w:t>
            </w:r>
            <w:r>
              <w:rPr>
                <w:noProof/>
              </w:rPr>
              <w:t>rges administratives de l’économie réduira la charge pesant sur les entrepreneurs d’au moins 132 722 808 EUR. La mise en œuvre des mesures est assurée par la coopération entre le ministère de l’économie et du développement durable et l’Office central d’Éta</w:t>
            </w:r>
            <w:r>
              <w:rPr>
                <w:noProof/>
              </w:rPr>
              <w:t>t pour le développement de la société numérique.</w:t>
            </w:r>
          </w:p>
        </w:tc>
      </w:tr>
      <w:tr w:rsidR="00553430" w14:paraId="022AAF8A"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D4D3B8C" w14:textId="77777777" w:rsidR="00553430" w:rsidRDefault="00212577">
            <w:pPr>
              <w:pStyle w:val="P68B1DB1-Normal66"/>
              <w:spacing w:line="240" w:lineRule="auto"/>
              <w:jc w:val="center"/>
              <w:rPr>
                <w:noProof/>
              </w:rPr>
            </w:pPr>
            <w:r>
              <w:rPr>
                <w:noProof/>
              </w:rPr>
              <w:t>11</w:t>
            </w:r>
          </w:p>
        </w:tc>
        <w:tc>
          <w:tcPr>
            <w:tcW w:w="1205" w:type="dxa"/>
            <w:tcBorders>
              <w:top w:val="single" w:sz="4" w:space="0" w:color="auto"/>
              <w:left w:val="nil"/>
              <w:bottom w:val="single" w:sz="4" w:space="0" w:color="auto"/>
              <w:right w:val="single" w:sz="4" w:space="0" w:color="auto"/>
            </w:tcBorders>
            <w:shd w:val="clear" w:color="auto" w:fill="C6EFCE"/>
            <w:noWrap/>
          </w:tcPr>
          <w:p w14:paraId="66F2232D" w14:textId="77777777" w:rsidR="00553430" w:rsidRDefault="00212577">
            <w:pPr>
              <w:pStyle w:val="P68B1DB1-Normal66"/>
              <w:spacing w:line="240" w:lineRule="auto"/>
              <w:rPr>
                <w:noProof/>
              </w:rPr>
            </w:pPr>
            <w:r>
              <w:rPr>
                <w:noProof/>
              </w:rPr>
              <w:t>C1.1.1. R1-I2</w:t>
            </w:r>
          </w:p>
        </w:tc>
        <w:tc>
          <w:tcPr>
            <w:tcW w:w="1022" w:type="dxa"/>
            <w:tcBorders>
              <w:top w:val="single" w:sz="4" w:space="0" w:color="auto"/>
              <w:left w:val="nil"/>
              <w:bottom w:val="single" w:sz="4" w:space="0" w:color="auto"/>
              <w:right w:val="single" w:sz="4" w:space="0" w:color="auto"/>
            </w:tcBorders>
            <w:shd w:val="clear" w:color="auto" w:fill="C6EFCE"/>
            <w:noWrap/>
          </w:tcPr>
          <w:p w14:paraId="723C73D3" w14:textId="77777777" w:rsidR="00553430" w:rsidRDefault="00212577">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noWrap/>
          </w:tcPr>
          <w:p w14:paraId="143456DF" w14:textId="77777777" w:rsidR="00553430" w:rsidRDefault="00212577">
            <w:pPr>
              <w:pStyle w:val="P68B1DB1-Normal66"/>
              <w:spacing w:line="240" w:lineRule="auto"/>
              <w:rPr>
                <w:noProof/>
              </w:rPr>
            </w:pPr>
            <w:r>
              <w:rPr>
                <w:noProof/>
              </w:rPr>
              <w:t>Mise en œuvre de la deuxième série de mesures énoncées dans le nouveau/cinquième plan d’action visant à réduire encore la charge administrative pesant sur les entrepreneurs</w:t>
            </w:r>
          </w:p>
        </w:tc>
        <w:tc>
          <w:tcPr>
            <w:tcW w:w="1555" w:type="dxa"/>
            <w:tcBorders>
              <w:top w:val="single" w:sz="4" w:space="0" w:color="auto"/>
              <w:left w:val="nil"/>
              <w:bottom w:val="single" w:sz="4" w:space="0" w:color="auto"/>
              <w:right w:val="single" w:sz="4" w:space="0" w:color="auto"/>
            </w:tcBorders>
            <w:shd w:val="clear" w:color="auto" w:fill="C6EFCE"/>
            <w:noWrap/>
          </w:tcPr>
          <w:p w14:paraId="36F56E2C" w14:textId="77777777" w:rsidR="00553430" w:rsidRDefault="00212577">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noWrap/>
          </w:tcPr>
          <w:p w14:paraId="00905A91" w14:textId="77777777" w:rsidR="00553430" w:rsidRDefault="00212577">
            <w:pPr>
              <w:pStyle w:val="P68B1DB1-Normal66"/>
              <w:spacing w:line="240" w:lineRule="auto"/>
              <w:jc w:val="center"/>
              <w:rPr>
                <w:noProof/>
              </w:rPr>
            </w:pPr>
            <w:r>
              <w:rPr>
                <w:noProof/>
              </w:rPr>
              <w:t>Numéro (EUR)</w:t>
            </w:r>
          </w:p>
        </w:tc>
        <w:tc>
          <w:tcPr>
            <w:tcW w:w="1056" w:type="dxa"/>
            <w:tcBorders>
              <w:top w:val="single" w:sz="4" w:space="0" w:color="auto"/>
              <w:left w:val="nil"/>
              <w:bottom w:val="single" w:sz="4" w:space="0" w:color="auto"/>
              <w:right w:val="single" w:sz="4" w:space="0" w:color="auto"/>
            </w:tcBorders>
            <w:shd w:val="clear" w:color="auto" w:fill="C6EFCE"/>
            <w:noWrap/>
          </w:tcPr>
          <w:p w14:paraId="3CEF1237" w14:textId="77777777" w:rsidR="00553430" w:rsidRDefault="00212577">
            <w:pPr>
              <w:pStyle w:val="P68B1DB1-Normal66"/>
              <w:spacing w:line="240" w:lineRule="auto"/>
              <w:jc w:val="center"/>
              <w:rPr>
                <w:noProof/>
              </w:rPr>
            </w:pPr>
            <w:r>
              <w:rPr>
                <w:noProof/>
              </w:rPr>
              <w:t>132 722 808</w:t>
            </w:r>
          </w:p>
        </w:tc>
        <w:tc>
          <w:tcPr>
            <w:tcW w:w="1056" w:type="dxa"/>
            <w:tcBorders>
              <w:top w:val="single" w:sz="4" w:space="0" w:color="auto"/>
              <w:left w:val="nil"/>
              <w:bottom w:val="single" w:sz="4" w:space="0" w:color="auto"/>
              <w:right w:val="single" w:sz="4" w:space="0" w:color="auto"/>
            </w:tcBorders>
            <w:shd w:val="clear" w:color="auto" w:fill="C6EFCE"/>
            <w:noWrap/>
          </w:tcPr>
          <w:p w14:paraId="3A9AA1E5" w14:textId="77777777" w:rsidR="00553430" w:rsidRDefault="00212577">
            <w:pPr>
              <w:pStyle w:val="P68B1DB1-Normal66"/>
              <w:spacing w:line="240" w:lineRule="auto"/>
              <w:jc w:val="center"/>
              <w:rPr>
                <w:noProof/>
              </w:rPr>
            </w:pPr>
            <w:r>
              <w:rPr>
                <w:noProof/>
              </w:rPr>
              <w:t xml:space="preserve">265 445 617 </w:t>
            </w:r>
          </w:p>
        </w:tc>
        <w:tc>
          <w:tcPr>
            <w:tcW w:w="756" w:type="dxa"/>
            <w:tcBorders>
              <w:top w:val="single" w:sz="4" w:space="0" w:color="auto"/>
              <w:left w:val="nil"/>
              <w:bottom w:val="single" w:sz="4" w:space="0" w:color="auto"/>
              <w:right w:val="single" w:sz="4" w:space="0" w:color="auto"/>
            </w:tcBorders>
            <w:shd w:val="clear" w:color="auto" w:fill="C6EFCE"/>
            <w:noWrap/>
          </w:tcPr>
          <w:p w14:paraId="5941B24B" w14:textId="77777777" w:rsidR="00553430" w:rsidRDefault="00212577">
            <w:pPr>
              <w:pStyle w:val="P68B1DB1-Normal66"/>
              <w:spacing w:line="240"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4861DADC" w14:textId="77777777" w:rsidR="00553430" w:rsidRDefault="00212577">
            <w:pPr>
              <w:pStyle w:val="P68B1DB1-Normal66"/>
              <w:spacing w:line="240" w:lineRule="auto"/>
              <w:jc w:val="center"/>
              <w:rPr>
                <w:noProof/>
              </w:rPr>
            </w:pPr>
            <w:r>
              <w:rPr>
                <w:noProof/>
              </w:rPr>
              <w:t>2025</w:t>
            </w:r>
          </w:p>
        </w:tc>
        <w:tc>
          <w:tcPr>
            <w:tcW w:w="5528" w:type="dxa"/>
            <w:tcBorders>
              <w:top w:val="single" w:sz="4" w:space="0" w:color="auto"/>
              <w:left w:val="nil"/>
              <w:bottom w:val="single" w:sz="4" w:space="0" w:color="auto"/>
              <w:right w:val="single" w:sz="4" w:space="0" w:color="auto"/>
            </w:tcBorders>
            <w:shd w:val="clear" w:color="auto" w:fill="C6EFCE"/>
            <w:noWrap/>
          </w:tcPr>
          <w:p w14:paraId="6D160E2C" w14:textId="2D49AFC5" w:rsidR="00553430" w:rsidRDefault="00212577">
            <w:pPr>
              <w:pStyle w:val="P68B1DB1-Normal59"/>
              <w:spacing w:line="240" w:lineRule="auto"/>
              <w:rPr>
                <w:rFonts w:ascii="Times New Roman" w:eastAsia="Calibri" w:hAnsi="Times New Roman" w:cs="Times New Roman"/>
                <w:noProof/>
              </w:rPr>
            </w:pPr>
            <w:r>
              <w:rPr>
                <w:rFonts w:ascii="Times New Roman" w:eastAsia="Calibri" w:hAnsi="Times New Roman" w:cs="Times New Roman"/>
                <w:noProof/>
                <w:color w:val="000000" w:themeColor="text1"/>
              </w:rPr>
              <w:t>La mise en œuvre des mesures énoncées dans le nouveau/cinquième plan d’action sur</w:t>
            </w:r>
            <w:r>
              <w:rPr>
                <w:rFonts w:ascii="Times New Roman" w:eastAsia="Calibri" w:hAnsi="Times New Roman" w:cs="Times New Roman"/>
                <w:noProof/>
                <w:color w:val="000000" w:themeColor="text1"/>
              </w:rPr>
              <w:t xml:space="preserve"> la réduction des charges administratives de l’économie réduira la charge pesant sur les entrepreneurs d’au moins 132 722 808 EUR par rapport à l’objectif fixé jusqu’au 4e trimestre 2024.</w:t>
            </w:r>
            <w:r>
              <w:rPr>
                <w:rFonts w:ascii="Times New Roman" w:hAnsi="Times New Roman" w:cs="Times New Roman"/>
                <w:noProof/>
              </w:rPr>
              <w:br/>
            </w:r>
          </w:p>
        </w:tc>
      </w:tr>
      <w:tr w:rsidR="00553430" w14:paraId="6FC67B7A"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A9CF6DB" w14:textId="77777777" w:rsidR="00553430" w:rsidRDefault="00212577">
            <w:pPr>
              <w:pStyle w:val="P68B1DB1-Normal66"/>
              <w:spacing w:line="240" w:lineRule="auto"/>
              <w:jc w:val="center"/>
              <w:rPr>
                <w:noProof/>
              </w:rPr>
            </w:pPr>
            <w:r>
              <w:rPr>
                <w:noProof/>
              </w:rPr>
              <w:t>12</w:t>
            </w:r>
          </w:p>
        </w:tc>
        <w:tc>
          <w:tcPr>
            <w:tcW w:w="1205" w:type="dxa"/>
            <w:tcBorders>
              <w:top w:val="single" w:sz="4" w:space="0" w:color="auto"/>
              <w:left w:val="nil"/>
              <w:bottom w:val="single" w:sz="4" w:space="0" w:color="auto"/>
              <w:right w:val="single" w:sz="4" w:space="0" w:color="auto"/>
            </w:tcBorders>
            <w:shd w:val="clear" w:color="auto" w:fill="C6EFCE"/>
            <w:noWrap/>
          </w:tcPr>
          <w:p w14:paraId="32B71278" w14:textId="77777777" w:rsidR="00553430" w:rsidRDefault="00212577">
            <w:pPr>
              <w:pStyle w:val="P68B1DB1-Normal66"/>
              <w:spacing w:line="240" w:lineRule="auto"/>
              <w:rPr>
                <w:noProof/>
              </w:rPr>
            </w:pPr>
            <w:r>
              <w:rPr>
                <w:noProof/>
              </w:rPr>
              <w:t>C1.1.1. R2</w:t>
            </w:r>
          </w:p>
        </w:tc>
        <w:tc>
          <w:tcPr>
            <w:tcW w:w="1022" w:type="dxa"/>
            <w:tcBorders>
              <w:top w:val="single" w:sz="4" w:space="0" w:color="auto"/>
              <w:left w:val="nil"/>
              <w:bottom w:val="single" w:sz="4" w:space="0" w:color="auto"/>
              <w:right w:val="single" w:sz="4" w:space="0" w:color="auto"/>
            </w:tcBorders>
            <w:shd w:val="clear" w:color="auto" w:fill="C6EFCE"/>
            <w:noWrap/>
          </w:tcPr>
          <w:p w14:paraId="344C4715" w14:textId="77777777" w:rsidR="00553430" w:rsidRDefault="00212577">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noWrap/>
          </w:tcPr>
          <w:p w14:paraId="6D4FC106" w14:textId="77777777" w:rsidR="00553430" w:rsidRDefault="00212577">
            <w:pPr>
              <w:pStyle w:val="P68B1DB1-Normal66"/>
              <w:spacing w:line="240" w:lineRule="auto"/>
              <w:rPr>
                <w:noProof/>
              </w:rPr>
            </w:pPr>
            <w:r>
              <w:rPr>
                <w:noProof/>
              </w:rPr>
              <w:t xml:space="preserve">Simplification ou suppression d'au moins 50 </w:t>
            </w:r>
            <w:r>
              <w:rPr>
                <w:noProof/>
              </w:rPr>
              <w:t>exigences réglementaires pour les services professionnels</w:t>
            </w:r>
          </w:p>
        </w:tc>
        <w:tc>
          <w:tcPr>
            <w:tcW w:w="1555" w:type="dxa"/>
            <w:tcBorders>
              <w:top w:val="single" w:sz="4" w:space="0" w:color="auto"/>
              <w:left w:val="nil"/>
              <w:bottom w:val="single" w:sz="4" w:space="0" w:color="auto"/>
              <w:right w:val="single" w:sz="4" w:space="0" w:color="auto"/>
            </w:tcBorders>
            <w:shd w:val="clear" w:color="auto" w:fill="C6EFCE"/>
            <w:noWrap/>
          </w:tcPr>
          <w:p w14:paraId="27ACFF90" w14:textId="77777777" w:rsidR="00553430" w:rsidRDefault="00212577">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noWrap/>
          </w:tcPr>
          <w:p w14:paraId="32D4FEDF" w14:textId="77777777" w:rsidR="00553430" w:rsidRDefault="00212577">
            <w:pPr>
              <w:pStyle w:val="P68B1DB1-Normal66"/>
              <w:spacing w:line="240" w:lineRule="auto"/>
              <w:jc w:val="center"/>
              <w:rPr>
                <w:noProof/>
              </w:rPr>
            </w:pPr>
            <w:r>
              <w:rPr>
                <w:noProof/>
              </w:rPr>
              <w:t>Numéro</w:t>
            </w:r>
          </w:p>
        </w:tc>
        <w:tc>
          <w:tcPr>
            <w:tcW w:w="1056" w:type="dxa"/>
            <w:tcBorders>
              <w:top w:val="single" w:sz="4" w:space="0" w:color="auto"/>
              <w:left w:val="nil"/>
              <w:bottom w:val="single" w:sz="4" w:space="0" w:color="auto"/>
              <w:right w:val="single" w:sz="4" w:space="0" w:color="auto"/>
            </w:tcBorders>
            <w:shd w:val="clear" w:color="auto" w:fill="C6EFCE"/>
            <w:noWrap/>
          </w:tcPr>
          <w:p w14:paraId="30427666" w14:textId="77777777" w:rsidR="00553430" w:rsidRDefault="00212577">
            <w:pPr>
              <w:pStyle w:val="P68B1DB1-Normal66"/>
              <w:spacing w:line="240" w:lineRule="auto"/>
              <w:jc w:val="center"/>
              <w:rPr>
                <w:noProof/>
              </w:rPr>
            </w:pPr>
            <w:r>
              <w:rPr>
                <w:noProof/>
              </w:rPr>
              <w:t>250</w:t>
            </w:r>
          </w:p>
        </w:tc>
        <w:tc>
          <w:tcPr>
            <w:tcW w:w="1056" w:type="dxa"/>
            <w:tcBorders>
              <w:top w:val="single" w:sz="4" w:space="0" w:color="auto"/>
              <w:left w:val="nil"/>
              <w:bottom w:val="single" w:sz="4" w:space="0" w:color="auto"/>
              <w:right w:val="single" w:sz="4" w:space="0" w:color="auto"/>
            </w:tcBorders>
            <w:shd w:val="clear" w:color="auto" w:fill="C6EFCE"/>
            <w:noWrap/>
          </w:tcPr>
          <w:p w14:paraId="00C4E22D" w14:textId="77777777" w:rsidR="00553430" w:rsidRDefault="00212577">
            <w:pPr>
              <w:pStyle w:val="P68B1DB1-Normal66"/>
              <w:spacing w:line="240" w:lineRule="auto"/>
              <w:jc w:val="center"/>
              <w:rPr>
                <w:noProof/>
              </w:rPr>
            </w:pPr>
            <w:r>
              <w:rPr>
                <w:noProof/>
              </w:rPr>
              <w:t>300</w:t>
            </w:r>
          </w:p>
        </w:tc>
        <w:tc>
          <w:tcPr>
            <w:tcW w:w="756" w:type="dxa"/>
            <w:tcBorders>
              <w:top w:val="single" w:sz="4" w:space="0" w:color="auto"/>
              <w:left w:val="nil"/>
              <w:bottom w:val="single" w:sz="4" w:space="0" w:color="auto"/>
              <w:right w:val="single" w:sz="4" w:space="0" w:color="auto"/>
            </w:tcBorders>
            <w:shd w:val="clear" w:color="auto" w:fill="C6EFCE"/>
            <w:noWrap/>
          </w:tcPr>
          <w:p w14:paraId="1C2597E4" w14:textId="77777777" w:rsidR="00553430" w:rsidRDefault="00212577">
            <w:pPr>
              <w:pStyle w:val="P68B1DB1-Normal66"/>
              <w:spacing w:line="240"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6940BA80" w14:textId="77777777" w:rsidR="00553430" w:rsidRDefault="00212577">
            <w:pPr>
              <w:pStyle w:val="P68B1DB1-Normal66"/>
              <w:spacing w:line="240" w:lineRule="auto"/>
              <w:jc w:val="center"/>
              <w:rPr>
                <w:noProof/>
              </w:rPr>
            </w:pPr>
            <w:r>
              <w:rPr>
                <w:noProof/>
              </w:rPr>
              <w:t>2024</w:t>
            </w:r>
          </w:p>
        </w:tc>
        <w:tc>
          <w:tcPr>
            <w:tcW w:w="5528" w:type="dxa"/>
            <w:tcBorders>
              <w:top w:val="single" w:sz="4" w:space="0" w:color="auto"/>
              <w:left w:val="nil"/>
              <w:bottom w:val="single" w:sz="4" w:space="0" w:color="auto"/>
              <w:right w:val="single" w:sz="4" w:space="0" w:color="auto"/>
            </w:tcBorders>
            <w:shd w:val="clear" w:color="auto" w:fill="C6EFCE"/>
            <w:noWrap/>
          </w:tcPr>
          <w:p w14:paraId="733FC070" w14:textId="77777777" w:rsidR="00553430" w:rsidRDefault="00212577">
            <w:pPr>
              <w:pStyle w:val="P68B1DB1-Normal66"/>
              <w:spacing w:line="240" w:lineRule="auto"/>
              <w:rPr>
                <w:noProof/>
              </w:rPr>
            </w:pPr>
            <w:r>
              <w:rPr>
                <w:noProof/>
              </w:rPr>
              <w:t>L’objectif comprend la simplification ou la suppression totale d’au moins 50 exigences réglementaires pour les services professionnels, sur la base de la mise en œuvre des d</w:t>
            </w:r>
            <w:r>
              <w:rPr>
                <w:noProof/>
              </w:rPr>
              <w:t>euxième et troisième plans d’action pour la libéralisation des marchés des services, y compris les professions d’avocat, de notaire, de conseiller fiscal, d’auditeur, de pharmacien et de pharmacie, de physiothérapeute, d’architecte, d’ingénieur et de guide</w:t>
            </w:r>
            <w:r>
              <w:rPr>
                <w:noProof/>
              </w:rPr>
              <w:t xml:space="preserve"> touristique, en tenant compte des recommandations du projet d’assistance technique en coopération avec la Banque mondiale, ainsi que des recommandations concernant:</w:t>
            </w:r>
            <w:r>
              <w:rPr>
                <w:noProof/>
              </w:rPr>
              <w:br/>
              <w:t>- frais d'inscription et d'adhésion aux chambres professionnelles;</w:t>
            </w:r>
            <w:r>
              <w:rPr>
                <w:noProof/>
              </w:rPr>
              <w:br/>
              <w:t xml:space="preserve">- des droits exclusifs </w:t>
            </w:r>
            <w:r>
              <w:rPr>
                <w:noProof/>
              </w:rPr>
              <w:t>fragmentés dans des professions individuelles (par exemple, les architectes et les ingénieurs);</w:t>
            </w:r>
            <w:r>
              <w:rPr>
                <w:noProof/>
              </w:rPr>
              <w:br/>
              <w:t>- Fourniture de l'examen professionnel de troisième cycle (par exemple, architectes et ingénieurs);</w:t>
            </w:r>
            <w:r>
              <w:rPr>
                <w:noProof/>
              </w:rPr>
              <w:br/>
              <w:t>- Restrictions imposées aux conseillers fiscaux en ce qui co</w:t>
            </w:r>
            <w:r>
              <w:rPr>
                <w:noProof/>
              </w:rPr>
              <w:t>ncerne les droits de propriété et de gestion ou les droits de vote.</w:t>
            </w:r>
          </w:p>
        </w:tc>
      </w:tr>
      <w:tr w:rsidR="00553430" w14:paraId="5E1A9D9B"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C7BDBA7" w14:textId="77777777" w:rsidR="00553430" w:rsidRDefault="00212577">
            <w:pPr>
              <w:pStyle w:val="P68B1DB1-Normal66"/>
              <w:spacing w:line="240" w:lineRule="auto"/>
              <w:jc w:val="center"/>
              <w:rPr>
                <w:noProof/>
              </w:rPr>
            </w:pPr>
            <w:r>
              <w:rPr>
                <w:noProof/>
              </w:rPr>
              <w:t>13</w:t>
            </w:r>
          </w:p>
        </w:tc>
        <w:tc>
          <w:tcPr>
            <w:tcW w:w="1205" w:type="dxa"/>
            <w:tcBorders>
              <w:top w:val="single" w:sz="4" w:space="0" w:color="auto"/>
              <w:left w:val="nil"/>
              <w:bottom w:val="single" w:sz="4" w:space="0" w:color="auto"/>
              <w:right w:val="single" w:sz="4" w:space="0" w:color="auto"/>
            </w:tcBorders>
            <w:shd w:val="clear" w:color="auto" w:fill="C6EFCE"/>
            <w:noWrap/>
          </w:tcPr>
          <w:p w14:paraId="26A6518A" w14:textId="77777777" w:rsidR="00553430" w:rsidRDefault="00212577">
            <w:pPr>
              <w:pStyle w:val="P68B1DB1-Normal66"/>
              <w:spacing w:line="240" w:lineRule="auto"/>
              <w:rPr>
                <w:noProof/>
              </w:rPr>
            </w:pPr>
            <w:r>
              <w:rPr>
                <w:noProof/>
              </w:rPr>
              <w:t>C1.1.1. R3</w:t>
            </w:r>
          </w:p>
        </w:tc>
        <w:tc>
          <w:tcPr>
            <w:tcW w:w="1022" w:type="dxa"/>
            <w:tcBorders>
              <w:top w:val="single" w:sz="4" w:space="0" w:color="auto"/>
              <w:left w:val="nil"/>
              <w:bottom w:val="single" w:sz="4" w:space="0" w:color="auto"/>
              <w:right w:val="single" w:sz="4" w:space="0" w:color="auto"/>
            </w:tcBorders>
            <w:shd w:val="clear" w:color="auto" w:fill="C6EFCE"/>
            <w:noWrap/>
          </w:tcPr>
          <w:p w14:paraId="5592D3A1" w14:textId="77777777" w:rsidR="00553430" w:rsidRDefault="00212577">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noWrap/>
          </w:tcPr>
          <w:p w14:paraId="7CCD9FAD" w14:textId="77777777" w:rsidR="00553430" w:rsidRDefault="00212577">
            <w:pPr>
              <w:pStyle w:val="P68B1DB1-Normal66"/>
              <w:spacing w:line="240" w:lineRule="auto"/>
              <w:rPr>
                <w:noProof/>
              </w:rPr>
            </w:pPr>
            <w:r>
              <w:rPr>
                <w:noProof/>
              </w:rPr>
              <w:t>Établir un cadre stratégique pour la promotion de l'investissement privé</w:t>
            </w:r>
          </w:p>
        </w:tc>
        <w:tc>
          <w:tcPr>
            <w:tcW w:w="1555" w:type="dxa"/>
            <w:tcBorders>
              <w:top w:val="single" w:sz="4" w:space="0" w:color="auto"/>
              <w:left w:val="nil"/>
              <w:bottom w:val="single" w:sz="4" w:space="0" w:color="auto"/>
              <w:right w:val="single" w:sz="4" w:space="0" w:color="auto"/>
            </w:tcBorders>
            <w:shd w:val="clear" w:color="auto" w:fill="C6EFCE"/>
            <w:noWrap/>
          </w:tcPr>
          <w:p w14:paraId="7773A808" w14:textId="77777777" w:rsidR="00553430" w:rsidRDefault="00212577">
            <w:pPr>
              <w:pStyle w:val="P68B1DB1-Normal66"/>
              <w:spacing w:line="240" w:lineRule="auto"/>
              <w:rPr>
                <w:noProof/>
              </w:rPr>
            </w:pPr>
            <w:r>
              <w:rPr>
                <w:noProof/>
              </w:rPr>
              <w:t xml:space="preserve">Adoption d’un plan d’action visant à stimuler les investissements et la mise en service d’une </w:t>
            </w:r>
            <w:r>
              <w:rPr>
                <w:noProof/>
              </w:rPr>
              <w:t>plateforme numérique afin de coordonner et de garantir une promotion et un soutien efficaces des investissements aux niveaux international, national et régional.</w:t>
            </w:r>
          </w:p>
        </w:tc>
        <w:tc>
          <w:tcPr>
            <w:tcW w:w="1067" w:type="dxa"/>
            <w:tcBorders>
              <w:top w:val="single" w:sz="4" w:space="0" w:color="auto"/>
              <w:left w:val="nil"/>
              <w:bottom w:val="single" w:sz="4" w:space="0" w:color="auto"/>
              <w:right w:val="single" w:sz="4" w:space="0" w:color="auto"/>
            </w:tcBorders>
            <w:shd w:val="clear" w:color="auto" w:fill="C6EFCE"/>
            <w:noWrap/>
          </w:tcPr>
          <w:p w14:paraId="2B02223C"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noWrap/>
          </w:tcPr>
          <w:p w14:paraId="0BE81DDC"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noWrap/>
          </w:tcPr>
          <w:p w14:paraId="62CE2E07" w14:textId="77777777" w:rsidR="00553430" w:rsidRDefault="00212577">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1AC8A9B9" w14:textId="77777777" w:rsidR="00553430" w:rsidRDefault="00212577">
            <w:pPr>
              <w:pStyle w:val="P68B1DB1-Normal66"/>
              <w:spacing w:line="240"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1F23D641" w14:textId="77777777" w:rsidR="00553430" w:rsidRDefault="00212577">
            <w:pPr>
              <w:pStyle w:val="P68B1DB1-Normal66"/>
              <w:spacing w:line="240" w:lineRule="auto"/>
              <w:jc w:val="center"/>
              <w:rPr>
                <w:noProof/>
              </w:rPr>
            </w:pPr>
            <w:r>
              <w:rPr>
                <w:noProof/>
              </w:rPr>
              <w:t>2024</w:t>
            </w:r>
          </w:p>
        </w:tc>
        <w:tc>
          <w:tcPr>
            <w:tcW w:w="5528" w:type="dxa"/>
            <w:tcBorders>
              <w:top w:val="single" w:sz="4" w:space="0" w:color="auto"/>
              <w:left w:val="nil"/>
              <w:bottom w:val="single" w:sz="4" w:space="0" w:color="auto"/>
              <w:right w:val="single" w:sz="4" w:space="0" w:color="auto"/>
            </w:tcBorders>
            <w:shd w:val="clear" w:color="auto" w:fill="C6EFCE"/>
            <w:noWrap/>
          </w:tcPr>
          <w:p w14:paraId="3CDF505C" w14:textId="619A76C1" w:rsidR="00553430" w:rsidRDefault="00212577">
            <w:pPr>
              <w:pStyle w:val="P68B1DB1-Normal70"/>
              <w:spacing w:line="240" w:lineRule="auto"/>
              <w:jc w:val="both"/>
              <w:rPr>
                <w:noProof/>
              </w:rPr>
            </w:pPr>
            <w:r>
              <w:rPr>
                <w:noProof/>
                <w:color w:val="000000"/>
              </w:rPr>
              <w:t>Un cadre stratégique pour la promotion de l’investissement privé est établi, sur</w:t>
            </w:r>
            <w:r>
              <w:rPr>
                <w:noProof/>
                <w:color w:val="000000"/>
              </w:rPr>
              <w:t xml:space="preserve"> la base d’analyses et de recommandations, comprenant l’adoption et la publication du plan national de promotion de l’investissement 2023-2030, du plan d’action visant à stimuler l’investissement 2023-2028 et l’entrée en vigueur d’une nouvelle loi sur la p</w:t>
            </w:r>
            <w:r>
              <w:rPr>
                <w:noProof/>
                <w:color w:val="000000"/>
              </w:rPr>
              <w:t xml:space="preserve">romotion de l’investissement, ainsi que la mise en service d’une plateforme numérique opérationnelle pour la coordination et une promotion et un soutien efficaces de l’investissement aux niveaux international, national et régional. Le jalon comprend trois </w:t>
            </w:r>
            <w:r>
              <w:rPr>
                <w:noProof/>
                <w:color w:val="000000"/>
              </w:rPr>
              <w:t>études analytiques: fournir i) un examen du</w:t>
            </w:r>
            <w:r>
              <w:rPr>
                <w:noProof/>
              </w:rPr>
              <w:t xml:space="preserve"> </w:t>
            </w:r>
            <w:r>
              <w:rPr>
                <w:noProof/>
                <w:color w:val="000000"/>
              </w:rPr>
              <w:t>paysage institutionnel, ii) une évaluation de l’incidence des investissements directs étrangers et iii) des recommandations en vue de changements réglementaires et institutionnels et de la conception d’incitation</w:t>
            </w:r>
            <w:r>
              <w:rPr>
                <w:noProof/>
                <w:color w:val="000000"/>
              </w:rPr>
              <w:t>s fiscales; l’adoption du cadre stratégique comprenant un plan d’action et la mise en place d’une plateforme numérique pour faciliter la mise en œuvre. Le cadre stratégique devrait garantir la cohérence et la coordination des politiques entre les différent</w:t>
            </w:r>
            <w:r>
              <w:rPr>
                <w:noProof/>
                <w:color w:val="000000"/>
              </w:rPr>
              <w:t>s ministères et institutions chargés de la promotion et de la facilitation des investissements, maximiser l’incidence des investissements sur la productivité, la création d’emplois et le développement régional et soutenir la transition numérique et climati</w:t>
            </w:r>
            <w:r>
              <w:rPr>
                <w:noProof/>
                <w:color w:val="000000"/>
              </w:rPr>
              <w:t>que de la Croatie.</w:t>
            </w:r>
            <w:r>
              <w:rPr>
                <w:noProof/>
              </w:rPr>
              <w:t xml:space="preserve"> </w:t>
            </w:r>
          </w:p>
        </w:tc>
      </w:tr>
      <w:tr w:rsidR="00553430" w14:paraId="3EEFD76F"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3E1D2863" w14:textId="77777777" w:rsidR="00553430" w:rsidRDefault="00212577">
            <w:pPr>
              <w:pStyle w:val="P68B1DB1-Normal66"/>
              <w:spacing w:line="240" w:lineRule="auto"/>
              <w:jc w:val="center"/>
              <w:rPr>
                <w:noProof/>
              </w:rPr>
            </w:pPr>
            <w:r>
              <w:rPr>
                <w:noProof/>
              </w:rPr>
              <w:t>14</w:t>
            </w:r>
          </w:p>
        </w:tc>
        <w:tc>
          <w:tcPr>
            <w:tcW w:w="1205" w:type="dxa"/>
            <w:tcBorders>
              <w:top w:val="single" w:sz="4" w:space="0" w:color="auto"/>
              <w:left w:val="nil"/>
              <w:bottom w:val="single" w:sz="4" w:space="0" w:color="auto"/>
              <w:right w:val="single" w:sz="4" w:space="0" w:color="auto"/>
            </w:tcBorders>
            <w:shd w:val="clear" w:color="auto" w:fill="C6EFCE"/>
          </w:tcPr>
          <w:p w14:paraId="7FA33913" w14:textId="77777777" w:rsidR="00553430" w:rsidRDefault="00212577">
            <w:pPr>
              <w:pStyle w:val="P68B1DB1-Normal66"/>
              <w:spacing w:line="240" w:lineRule="auto"/>
              <w:rPr>
                <w:noProof/>
              </w:rPr>
            </w:pPr>
            <w:r>
              <w:rPr>
                <w:noProof/>
              </w:rPr>
              <w:t>C1.1.1. R4-I1</w:t>
            </w:r>
          </w:p>
        </w:tc>
        <w:tc>
          <w:tcPr>
            <w:tcW w:w="1022" w:type="dxa"/>
            <w:tcBorders>
              <w:top w:val="single" w:sz="4" w:space="0" w:color="auto"/>
              <w:left w:val="nil"/>
              <w:bottom w:val="single" w:sz="4" w:space="0" w:color="auto"/>
              <w:right w:val="single" w:sz="4" w:space="0" w:color="auto"/>
            </w:tcBorders>
            <w:shd w:val="clear" w:color="auto" w:fill="C6EFCE"/>
          </w:tcPr>
          <w:p w14:paraId="33D1894F" w14:textId="77777777" w:rsidR="00553430" w:rsidRDefault="00212577">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088D7BD6" w14:textId="77777777" w:rsidR="00553430" w:rsidRDefault="00212577">
            <w:pPr>
              <w:pStyle w:val="P68B1DB1-Normal66"/>
              <w:spacing w:line="240" w:lineRule="auto"/>
              <w:rPr>
                <w:noProof/>
              </w:rPr>
            </w:pPr>
            <w:r>
              <w:rPr>
                <w:noProof/>
              </w:rPr>
              <w:t>Publication d’appels à financement pour des investissements ciblant des activités respectueuses de l’environnement avec des critères d’éligibilité établis pour les demandeurs et les projets (y compris les critères de</w:t>
            </w:r>
            <w:r>
              <w:rPr>
                <w:noProof/>
              </w:rPr>
              <w:t xml:space="preserve"> conformité au principe consistant à «ne pas causer de préjudice important»)</w:t>
            </w:r>
          </w:p>
        </w:tc>
        <w:tc>
          <w:tcPr>
            <w:tcW w:w="1555" w:type="dxa"/>
            <w:tcBorders>
              <w:top w:val="single" w:sz="4" w:space="0" w:color="auto"/>
              <w:left w:val="nil"/>
              <w:bottom w:val="single" w:sz="4" w:space="0" w:color="auto"/>
              <w:right w:val="single" w:sz="4" w:space="0" w:color="auto"/>
            </w:tcBorders>
            <w:shd w:val="clear" w:color="auto" w:fill="C6EFCE"/>
          </w:tcPr>
          <w:p w14:paraId="36D475F1" w14:textId="77777777" w:rsidR="00553430" w:rsidRDefault="00212577">
            <w:pPr>
              <w:pStyle w:val="P68B1DB1-Normal66"/>
              <w:spacing w:line="240" w:lineRule="auto"/>
              <w:rPr>
                <w:noProof/>
              </w:rPr>
            </w:pPr>
            <w:r>
              <w:rPr>
                <w:noProof/>
              </w:rPr>
              <w:t xml:space="preserve">Publication de l'avis d'appel à propositions de subventions </w:t>
            </w:r>
          </w:p>
        </w:tc>
        <w:tc>
          <w:tcPr>
            <w:tcW w:w="1067" w:type="dxa"/>
            <w:tcBorders>
              <w:top w:val="single" w:sz="4" w:space="0" w:color="auto"/>
              <w:left w:val="nil"/>
              <w:bottom w:val="single" w:sz="4" w:space="0" w:color="auto"/>
              <w:right w:val="single" w:sz="4" w:space="0" w:color="auto"/>
            </w:tcBorders>
            <w:shd w:val="clear" w:color="auto" w:fill="C6EFCE"/>
          </w:tcPr>
          <w:p w14:paraId="0FBD770B"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728CA853"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1922755C" w14:textId="77777777" w:rsidR="00553430" w:rsidRDefault="00212577">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tcPr>
          <w:p w14:paraId="59FD11FA" w14:textId="77777777" w:rsidR="00553430" w:rsidRDefault="00212577">
            <w:pPr>
              <w:pStyle w:val="P68B1DB1-Normal66"/>
              <w:spacing w:line="240" w:lineRule="auto"/>
              <w:jc w:val="center"/>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tcPr>
          <w:p w14:paraId="5CA78F91" w14:textId="77777777" w:rsidR="00553430" w:rsidRDefault="00212577">
            <w:pPr>
              <w:pStyle w:val="P68B1DB1-Normal66"/>
              <w:spacing w:line="240" w:lineRule="auto"/>
              <w:jc w:val="center"/>
              <w:rPr>
                <w:noProof/>
              </w:rPr>
            </w:pPr>
            <w:r>
              <w:rPr>
                <w:noProof/>
              </w:rPr>
              <w:t>2022</w:t>
            </w:r>
          </w:p>
        </w:tc>
        <w:tc>
          <w:tcPr>
            <w:tcW w:w="5528" w:type="dxa"/>
            <w:tcBorders>
              <w:top w:val="single" w:sz="4" w:space="0" w:color="auto"/>
              <w:left w:val="nil"/>
              <w:bottom w:val="single" w:sz="4" w:space="0" w:color="auto"/>
              <w:right w:val="single" w:sz="4" w:space="0" w:color="auto"/>
            </w:tcBorders>
            <w:shd w:val="clear" w:color="auto" w:fill="C6EFCE"/>
          </w:tcPr>
          <w:p w14:paraId="233B8F29" w14:textId="77777777" w:rsidR="00553430" w:rsidRDefault="00212577">
            <w:pPr>
              <w:spacing w:line="240" w:lineRule="auto"/>
              <w:rPr>
                <w:rFonts w:ascii="Times New Roman" w:eastAsia="Calibri" w:hAnsi="Times New Roman" w:cs="Times New Roman"/>
                <w:noProof/>
                <w:color w:val="000000"/>
                <w:sz w:val="20"/>
                <w:szCs w:val="20"/>
              </w:rPr>
            </w:pPr>
            <w:r>
              <w:rPr>
                <w:rFonts w:ascii="Times New Roman" w:eastAsia="Calibri" w:hAnsi="Times New Roman" w:cs="Times New Roman"/>
                <w:noProof/>
                <w:color w:val="000000" w:themeColor="text1"/>
                <w:sz w:val="20"/>
                <w:szCs w:val="20"/>
              </w:rPr>
              <w:t xml:space="preserve">Lancement d’appels à propositions de subventions pour soutenir la transition écologique des PME et des </w:t>
            </w:r>
            <w:r>
              <w:rPr>
                <w:rFonts w:ascii="Times New Roman" w:eastAsia="Calibri" w:hAnsi="Times New Roman" w:cs="Times New Roman"/>
                <w:noProof/>
                <w:color w:val="000000" w:themeColor="text1"/>
                <w:sz w:val="20"/>
                <w:szCs w:val="20"/>
              </w:rPr>
              <w:t>entreprises à moyenne capitalisation vers une économie efficace sur le plan énergétique. Les subventions soutiennent le développement et l’application de technologies vertes dans les processus commerciaux des entreprises afin de réduire les incidences néga</w:t>
            </w:r>
            <w:r>
              <w:rPr>
                <w:rFonts w:ascii="Times New Roman" w:eastAsia="Calibri" w:hAnsi="Times New Roman" w:cs="Times New Roman"/>
                <w:noProof/>
                <w:color w:val="000000" w:themeColor="text1"/>
                <w:sz w:val="20"/>
                <w:szCs w:val="20"/>
              </w:rPr>
              <w:t xml:space="preserve">tives sur le climat et l’environnement, de favoriser une production durable, d’accroître l’emploi dans des emplois plus durables et de renforcer la compétitivité locale et régionale (conformément à la taxinomie de l’UE). </w:t>
            </w:r>
            <w:r>
              <w:rPr>
                <w:noProof/>
              </w:rPr>
              <w:br/>
            </w:r>
            <w:r>
              <w:rPr>
                <w:rFonts w:ascii="Times New Roman" w:eastAsia="Calibri" w:hAnsi="Times New Roman" w:cs="Times New Roman"/>
                <w:noProof/>
                <w:color w:val="000000" w:themeColor="text1"/>
                <w:sz w:val="20"/>
                <w:szCs w:val="20"/>
              </w:rPr>
              <w:t>Les critères de sélection/d’éligib</w:t>
            </w:r>
            <w:r>
              <w:rPr>
                <w:rFonts w:ascii="Times New Roman" w:eastAsia="Calibri" w:hAnsi="Times New Roman" w:cs="Times New Roman"/>
                <w:noProof/>
                <w:color w:val="000000" w:themeColor="text1"/>
                <w:sz w:val="20"/>
                <w:szCs w:val="20"/>
              </w:rPr>
              <w:t xml:space="preserve">ilité reflètent les exigences des domaines d’intervention applicables figurant aux annexes VI et VII du règlement FRR et garantissent que les projets soutenus sont conformes aux orientations techniques DNSH (2021/C58/01), grâce à l’utilisation d’une liste </w:t>
            </w:r>
            <w:r>
              <w:rPr>
                <w:rFonts w:ascii="Times New Roman" w:eastAsia="Calibri" w:hAnsi="Times New Roman" w:cs="Times New Roman"/>
                <w:noProof/>
                <w:color w:val="000000" w:themeColor="text1"/>
                <w:sz w:val="20"/>
                <w:szCs w:val="20"/>
              </w:rPr>
              <w:t>d’exclusion et à l’exigence de conformité avec la législation environnementale pertinente de l’UE et nationale.</w:t>
            </w:r>
            <w:r>
              <w:rPr>
                <w:noProof/>
              </w:rPr>
              <w:br/>
            </w:r>
            <w:r>
              <w:rPr>
                <w:rFonts w:ascii="Times New Roman" w:eastAsia="Calibri" w:hAnsi="Times New Roman" w:cs="Times New Roman"/>
                <w:noProof/>
                <w:color w:val="000000" w:themeColor="text1"/>
                <w:sz w:val="20"/>
                <w:szCs w:val="20"/>
              </w:rPr>
              <w:t>Cette mesure ne soutient pas les investissements dans les installations relevant du champ d’application du système d’échange de quotas d’émissio</w:t>
            </w:r>
            <w:r>
              <w:rPr>
                <w:rFonts w:ascii="Times New Roman" w:eastAsia="Calibri" w:hAnsi="Times New Roman" w:cs="Times New Roman"/>
                <w:noProof/>
                <w:color w:val="000000" w:themeColor="text1"/>
                <w:sz w:val="20"/>
                <w:szCs w:val="20"/>
              </w:rPr>
              <w:t>n de l’UE (SEQE).</w:t>
            </w:r>
            <w:r>
              <w:rPr>
                <w:noProof/>
              </w:rPr>
              <w:br/>
            </w:r>
            <w:r>
              <w:rPr>
                <w:rFonts w:ascii="Times New Roman" w:eastAsia="Calibri" w:hAnsi="Times New Roman" w:cs="Times New Roman"/>
                <w:noProof/>
                <w:color w:val="000000" w:themeColor="text1"/>
                <w:sz w:val="20"/>
                <w:szCs w:val="20"/>
              </w:rPr>
              <w:t>Les subventions soutiennent les investissements des entreprises du secteur privé visant à:</w:t>
            </w:r>
            <w:r>
              <w:rPr>
                <w:noProof/>
              </w:rPr>
              <w:br/>
            </w:r>
            <w:r>
              <w:rPr>
                <w:rFonts w:ascii="Times New Roman" w:eastAsia="Calibri" w:hAnsi="Times New Roman" w:cs="Times New Roman"/>
                <w:noProof/>
                <w:color w:val="000000" w:themeColor="text1"/>
                <w:sz w:val="20"/>
                <w:szCs w:val="20"/>
              </w:rPr>
              <w:t>- projets axés sur l’économie circulaire en intégrant les aspects liés à l’utilisation efficace des ressources dans la production et le cycle de vi</w:t>
            </w:r>
            <w:r>
              <w:rPr>
                <w:rFonts w:ascii="Times New Roman" w:eastAsia="Calibri" w:hAnsi="Times New Roman" w:cs="Times New Roman"/>
                <w:noProof/>
                <w:color w:val="000000" w:themeColor="text1"/>
                <w:sz w:val="20"/>
                <w:szCs w:val="20"/>
              </w:rPr>
              <w:t>e des produits, y compris l’approvisionnement durable en matières premières primaires et secondaires, et/ou</w:t>
            </w:r>
            <w:r>
              <w:rPr>
                <w:noProof/>
              </w:rPr>
              <w:br/>
              <w:t xml:space="preserve"> </w:t>
            </w:r>
            <w:r>
              <w:rPr>
                <w:rFonts w:ascii="Times New Roman" w:eastAsia="Calibri" w:hAnsi="Times New Roman" w:cs="Times New Roman"/>
                <w:noProof/>
                <w:color w:val="000000" w:themeColor="text1"/>
                <w:sz w:val="20"/>
                <w:szCs w:val="20"/>
              </w:rPr>
              <w:t>- la décarbonation des industries à forte intensité énergétique et la réduction significative des émissions dans ces industries, y compris par la d</w:t>
            </w:r>
            <w:r>
              <w:rPr>
                <w:rFonts w:ascii="Times New Roman" w:eastAsia="Calibri" w:hAnsi="Times New Roman" w:cs="Times New Roman"/>
                <w:noProof/>
                <w:color w:val="000000" w:themeColor="text1"/>
                <w:sz w:val="20"/>
                <w:szCs w:val="20"/>
              </w:rPr>
              <w:t>émonstration de technologies innovantes à faibles émissions.</w:t>
            </w:r>
          </w:p>
        </w:tc>
      </w:tr>
      <w:tr w:rsidR="00553430" w14:paraId="44CC16DE"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1228985D" w14:textId="77777777" w:rsidR="00553430" w:rsidRDefault="00212577">
            <w:pPr>
              <w:pStyle w:val="P68B1DB1-Normal66"/>
              <w:spacing w:line="240" w:lineRule="auto"/>
              <w:jc w:val="center"/>
              <w:rPr>
                <w:noProof/>
              </w:rPr>
            </w:pPr>
            <w:r>
              <w:rPr>
                <w:noProof/>
              </w:rPr>
              <w:t>15</w:t>
            </w:r>
          </w:p>
        </w:tc>
        <w:tc>
          <w:tcPr>
            <w:tcW w:w="1205" w:type="dxa"/>
            <w:tcBorders>
              <w:top w:val="single" w:sz="4" w:space="0" w:color="auto"/>
              <w:left w:val="nil"/>
              <w:bottom w:val="single" w:sz="4" w:space="0" w:color="auto"/>
              <w:right w:val="single" w:sz="4" w:space="0" w:color="auto"/>
            </w:tcBorders>
            <w:shd w:val="clear" w:color="auto" w:fill="C6EFCE"/>
          </w:tcPr>
          <w:p w14:paraId="3A69F5DC" w14:textId="77777777" w:rsidR="00553430" w:rsidRDefault="00212577">
            <w:pPr>
              <w:pStyle w:val="P68B1DB1-Normal66"/>
              <w:spacing w:line="240" w:lineRule="auto"/>
              <w:rPr>
                <w:noProof/>
              </w:rPr>
            </w:pPr>
            <w:r>
              <w:rPr>
                <w:noProof/>
              </w:rPr>
              <w:t>C1.1.1. R4-I1</w:t>
            </w:r>
          </w:p>
        </w:tc>
        <w:tc>
          <w:tcPr>
            <w:tcW w:w="1022" w:type="dxa"/>
            <w:tcBorders>
              <w:top w:val="single" w:sz="4" w:space="0" w:color="auto"/>
              <w:left w:val="nil"/>
              <w:bottom w:val="single" w:sz="4" w:space="0" w:color="auto"/>
              <w:right w:val="single" w:sz="4" w:space="0" w:color="auto"/>
            </w:tcBorders>
            <w:shd w:val="clear" w:color="auto" w:fill="C6EFCE"/>
          </w:tcPr>
          <w:p w14:paraId="0E09DD1B" w14:textId="77777777" w:rsidR="00553430" w:rsidRDefault="00212577">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2B7402AB" w14:textId="64EBF7B0" w:rsidR="00553430" w:rsidRDefault="00212577">
            <w:pPr>
              <w:pStyle w:val="P68B1DB1-Normal66"/>
              <w:spacing w:line="240" w:lineRule="auto"/>
              <w:rPr>
                <w:noProof/>
              </w:rPr>
            </w:pPr>
            <w:r>
              <w:rPr>
                <w:noProof/>
              </w:rPr>
              <w:t xml:space="preserve">Octroi de fonds aux PME et aux entreprises à moyenne capitalisation pour des investissements ciblant des activités respectueuses de l’environnement </w:t>
            </w:r>
          </w:p>
        </w:tc>
        <w:tc>
          <w:tcPr>
            <w:tcW w:w="1555" w:type="dxa"/>
            <w:tcBorders>
              <w:top w:val="single" w:sz="4" w:space="0" w:color="auto"/>
              <w:left w:val="nil"/>
              <w:bottom w:val="single" w:sz="4" w:space="0" w:color="auto"/>
              <w:right w:val="single" w:sz="4" w:space="0" w:color="auto"/>
            </w:tcBorders>
            <w:shd w:val="clear" w:color="auto" w:fill="C6EFCE"/>
          </w:tcPr>
          <w:p w14:paraId="1C9713E5" w14:textId="77777777" w:rsidR="00553430" w:rsidRDefault="00212577">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6AE2ED63" w14:textId="77777777" w:rsidR="00553430" w:rsidRDefault="00212577">
            <w:pPr>
              <w:pStyle w:val="P68B1DB1-Normal66"/>
              <w:spacing w:line="240" w:lineRule="auto"/>
              <w:jc w:val="center"/>
              <w:rPr>
                <w:noProof/>
              </w:rPr>
            </w:pPr>
            <w:r>
              <w:rPr>
                <w:noProof/>
              </w:rPr>
              <w:t>Numéro</w:t>
            </w:r>
          </w:p>
        </w:tc>
        <w:tc>
          <w:tcPr>
            <w:tcW w:w="1056" w:type="dxa"/>
            <w:tcBorders>
              <w:top w:val="single" w:sz="4" w:space="0" w:color="auto"/>
              <w:left w:val="nil"/>
              <w:bottom w:val="single" w:sz="4" w:space="0" w:color="auto"/>
              <w:right w:val="single" w:sz="4" w:space="0" w:color="auto"/>
            </w:tcBorders>
            <w:shd w:val="clear" w:color="auto" w:fill="C6EFCE"/>
          </w:tcPr>
          <w:p w14:paraId="1EB9EDD2" w14:textId="77777777" w:rsidR="00553430" w:rsidRDefault="00212577">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5DE558B2" w14:textId="77777777" w:rsidR="00553430" w:rsidRDefault="00212577">
            <w:pPr>
              <w:pStyle w:val="P68B1DB1-Normal66"/>
              <w:spacing w:line="240" w:lineRule="auto"/>
              <w:jc w:val="center"/>
              <w:rPr>
                <w:noProof/>
              </w:rPr>
            </w:pPr>
            <w:r>
              <w:rPr>
                <w:noProof/>
              </w:rPr>
              <w:t>290</w:t>
            </w:r>
          </w:p>
        </w:tc>
        <w:tc>
          <w:tcPr>
            <w:tcW w:w="756" w:type="dxa"/>
            <w:tcBorders>
              <w:top w:val="single" w:sz="4" w:space="0" w:color="auto"/>
              <w:left w:val="nil"/>
              <w:bottom w:val="single" w:sz="4" w:space="0" w:color="auto"/>
              <w:right w:val="single" w:sz="4" w:space="0" w:color="auto"/>
            </w:tcBorders>
            <w:shd w:val="clear" w:color="auto" w:fill="C6EFCE"/>
          </w:tcPr>
          <w:p w14:paraId="42888279" w14:textId="77777777" w:rsidR="00553430" w:rsidRDefault="00212577">
            <w:pPr>
              <w:pStyle w:val="P68B1DB1-Normal66"/>
              <w:spacing w:line="240" w:lineRule="auto"/>
              <w:jc w:val="center"/>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tcPr>
          <w:p w14:paraId="0A0245AF" w14:textId="77777777" w:rsidR="00553430" w:rsidRDefault="00212577">
            <w:pPr>
              <w:pStyle w:val="P68B1DB1-Normal66"/>
              <w:spacing w:line="240" w:lineRule="auto"/>
              <w:jc w:val="center"/>
              <w:rPr>
                <w:noProof/>
              </w:rPr>
            </w:pPr>
            <w:r>
              <w:rPr>
                <w:noProof/>
              </w:rPr>
              <w:t>2025</w:t>
            </w:r>
          </w:p>
        </w:tc>
        <w:tc>
          <w:tcPr>
            <w:tcW w:w="5528" w:type="dxa"/>
            <w:tcBorders>
              <w:top w:val="single" w:sz="4" w:space="0" w:color="auto"/>
              <w:left w:val="nil"/>
              <w:bottom w:val="single" w:sz="4" w:space="0" w:color="auto"/>
              <w:right w:val="single" w:sz="4" w:space="0" w:color="auto"/>
            </w:tcBorders>
            <w:shd w:val="clear" w:color="auto" w:fill="C6EFCE"/>
          </w:tcPr>
          <w:p w14:paraId="1438095E" w14:textId="06DC43D5" w:rsidR="00553430" w:rsidRDefault="00212577">
            <w:pPr>
              <w:pStyle w:val="P68B1DB1-Normal66"/>
              <w:spacing w:line="240" w:lineRule="auto"/>
              <w:jc w:val="both"/>
              <w:rPr>
                <w:noProof/>
                <w:color w:val="000000" w:themeColor="text1"/>
              </w:rPr>
            </w:pPr>
            <w:r>
              <w:rPr>
                <w:noProof/>
              </w:rPr>
              <w:t>Contrats signés avec au moins 250 PME et au moins 40 entreprises à moyenne capitalisation en vue de l'octroi de fonds, conformément aux critères d'éligibilité/de sélection énoncés dans l'étape #14.</w:t>
            </w:r>
          </w:p>
        </w:tc>
      </w:tr>
      <w:tr w:rsidR="00553430" w14:paraId="6E27A741"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64961392" w14:textId="77777777" w:rsidR="00553430" w:rsidRDefault="00212577">
            <w:pPr>
              <w:pStyle w:val="P68B1DB1-Normal66"/>
              <w:spacing w:line="240" w:lineRule="auto"/>
              <w:jc w:val="center"/>
              <w:rPr>
                <w:noProof/>
              </w:rPr>
            </w:pPr>
            <w:r>
              <w:rPr>
                <w:noProof/>
              </w:rPr>
              <w:t>16</w:t>
            </w:r>
          </w:p>
        </w:tc>
        <w:tc>
          <w:tcPr>
            <w:tcW w:w="1205" w:type="dxa"/>
            <w:tcBorders>
              <w:top w:val="single" w:sz="4" w:space="0" w:color="auto"/>
              <w:left w:val="nil"/>
              <w:bottom w:val="single" w:sz="4" w:space="0" w:color="auto"/>
              <w:right w:val="single" w:sz="4" w:space="0" w:color="auto"/>
            </w:tcBorders>
            <w:shd w:val="clear" w:color="auto" w:fill="C6EFCE"/>
          </w:tcPr>
          <w:p w14:paraId="6C79A878" w14:textId="77777777" w:rsidR="00553430" w:rsidRDefault="00212577">
            <w:pPr>
              <w:pStyle w:val="P68B1DB1-Normal66"/>
              <w:spacing w:line="240" w:lineRule="auto"/>
              <w:rPr>
                <w:noProof/>
              </w:rPr>
            </w:pPr>
            <w:r>
              <w:rPr>
                <w:noProof/>
              </w:rPr>
              <w:t>C1.1.1. R4-I2</w:t>
            </w:r>
          </w:p>
        </w:tc>
        <w:tc>
          <w:tcPr>
            <w:tcW w:w="1022" w:type="dxa"/>
            <w:tcBorders>
              <w:top w:val="single" w:sz="4" w:space="0" w:color="auto"/>
              <w:left w:val="nil"/>
              <w:bottom w:val="single" w:sz="4" w:space="0" w:color="auto"/>
              <w:right w:val="single" w:sz="4" w:space="0" w:color="auto"/>
            </w:tcBorders>
            <w:shd w:val="clear" w:color="auto" w:fill="C6EFCE"/>
          </w:tcPr>
          <w:p w14:paraId="1240FB08" w14:textId="77777777" w:rsidR="00553430" w:rsidRDefault="00212577">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61EB2A0F" w14:textId="77777777" w:rsidR="00553430" w:rsidRDefault="00212577">
            <w:pPr>
              <w:pStyle w:val="P68B1DB1-Normal66"/>
              <w:spacing w:line="240" w:lineRule="auto"/>
              <w:rPr>
                <w:noProof/>
              </w:rPr>
            </w:pPr>
            <w:r>
              <w:rPr>
                <w:noProof/>
              </w:rPr>
              <w:t xml:space="preserve">Mise en place d'un instrument </w:t>
            </w:r>
            <w:r>
              <w:rPr>
                <w:noProof/>
              </w:rPr>
              <w:t>financier pour soutenir les investissements des micro, petites et moyennes entreprises</w:t>
            </w:r>
          </w:p>
        </w:tc>
        <w:tc>
          <w:tcPr>
            <w:tcW w:w="1555" w:type="dxa"/>
            <w:tcBorders>
              <w:top w:val="single" w:sz="4" w:space="0" w:color="auto"/>
              <w:left w:val="nil"/>
              <w:bottom w:val="single" w:sz="4" w:space="0" w:color="auto"/>
              <w:right w:val="single" w:sz="4" w:space="0" w:color="auto"/>
            </w:tcBorders>
            <w:shd w:val="clear" w:color="auto" w:fill="C6EFCE"/>
          </w:tcPr>
          <w:p w14:paraId="15B97E95" w14:textId="77777777" w:rsidR="00553430" w:rsidRDefault="00212577">
            <w:pPr>
              <w:pStyle w:val="P68B1DB1-Normal66"/>
              <w:spacing w:line="240" w:lineRule="auto"/>
              <w:rPr>
                <w:noProof/>
              </w:rPr>
            </w:pPr>
            <w:r>
              <w:rPr>
                <w:noProof/>
              </w:rPr>
              <w:t>Accords publiés entre i) le ministère compétent (MINGOR ou MINFIN) et HAMAG BICRO, et entre ii) le ministère compétent (MINGOR ou MINFIN) et HBOR afin de fournir des con</w:t>
            </w:r>
            <w:r>
              <w:rPr>
                <w:noProof/>
              </w:rPr>
              <w:t xml:space="preserve">ditions de financement favorables pour les investissements et les fonds de roulement nécessaires à la réalisation des investissements et/ou à l’augmentation de l’ampleur des opérations des opérateurs économiques. </w:t>
            </w:r>
          </w:p>
        </w:tc>
        <w:tc>
          <w:tcPr>
            <w:tcW w:w="1067" w:type="dxa"/>
            <w:tcBorders>
              <w:top w:val="single" w:sz="4" w:space="0" w:color="auto"/>
              <w:left w:val="nil"/>
              <w:bottom w:val="single" w:sz="4" w:space="0" w:color="auto"/>
              <w:right w:val="single" w:sz="4" w:space="0" w:color="auto"/>
            </w:tcBorders>
            <w:shd w:val="clear" w:color="auto" w:fill="C6EFCE"/>
          </w:tcPr>
          <w:p w14:paraId="0839DAA5"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2E85AE7B"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5983638C" w14:textId="77777777" w:rsidR="00553430" w:rsidRDefault="00212577">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tcPr>
          <w:p w14:paraId="208EDAE9" w14:textId="77777777" w:rsidR="00553430" w:rsidRDefault="00212577">
            <w:pPr>
              <w:pStyle w:val="P68B1DB1-Normal66"/>
              <w:spacing w:line="240" w:lineRule="auto"/>
              <w:jc w:val="center"/>
              <w:rPr>
                <w:noProof/>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tcPr>
          <w:p w14:paraId="2370E973" w14:textId="77777777" w:rsidR="00553430" w:rsidRDefault="00212577">
            <w:pPr>
              <w:pStyle w:val="P68B1DB1-Normal66"/>
              <w:spacing w:line="240" w:lineRule="auto"/>
              <w:jc w:val="center"/>
              <w:rPr>
                <w:noProof/>
              </w:rPr>
            </w:pPr>
            <w:r>
              <w:rPr>
                <w:noProof/>
              </w:rPr>
              <w:t>2022</w:t>
            </w:r>
          </w:p>
        </w:tc>
        <w:tc>
          <w:tcPr>
            <w:tcW w:w="5528" w:type="dxa"/>
            <w:tcBorders>
              <w:top w:val="single" w:sz="4" w:space="0" w:color="auto"/>
              <w:left w:val="nil"/>
              <w:bottom w:val="single" w:sz="4" w:space="0" w:color="auto"/>
              <w:right w:val="single" w:sz="4" w:space="0" w:color="auto"/>
            </w:tcBorders>
            <w:shd w:val="clear" w:color="auto" w:fill="C6EFCE"/>
          </w:tcPr>
          <w:p w14:paraId="3DB89B39" w14:textId="4FAED864" w:rsidR="00553430" w:rsidRDefault="00212577">
            <w:pPr>
              <w:pStyle w:val="P68B1DB1-Normal59"/>
              <w:spacing w:line="240" w:lineRule="auto"/>
              <w:rPr>
                <w:rFonts w:ascii="Times New Roman" w:eastAsia="Calibri" w:hAnsi="Times New Roman" w:cs="Times New Roman"/>
                <w:noProof/>
              </w:rPr>
            </w:pPr>
            <w:r>
              <w:rPr>
                <w:rFonts w:ascii="Times New Roman" w:eastAsia="Calibri" w:hAnsi="Times New Roman" w:cs="Times New Roman"/>
                <w:noProof/>
                <w:color w:val="000000" w:themeColor="text1"/>
              </w:rPr>
              <w:t>La mesure encourage les inve</w:t>
            </w:r>
            <w:r>
              <w:rPr>
                <w:rFonts w:ascii="Times New Roman" w:eastAsia="Calibri" w:hAnsi="Times New Roman" w:cs="Times New Roman"/>
                <w:noProof/>
                <w:color w:val="000000" w:themeColor="text1"/>
              </w:rPr>
              <w:t>stissements des micro, petites et moyennes entreprises dans les nouvelles technologies, l’achat de machines et d’équipements modernes et l’augmentation de la capacité de production et de service, ainsi que les mesures de transition écologique (telles que l</w:t>
            </w:r>
            <w:r>
              <w:rPr>
                <w:rFonts w:ascii="Times New Roman" w:eastAsia="Calibri" w:hAnsi="Times New Roman" w:cs="Times New Roman"/>
                <w:noProof/>
                <w:color w:val="000000" w:themeColor="text1"/>
              </w:rPr>
              <w:t>’adoption de technologies vertes, l’introduction de modèles commerciaux fondés sur l’économie circulaire, les sources d’énergie renouvelables et l’efficacité énergétique).</w:t>
            </w:r>
            <w:r>
              <w:rPr>
                <w:rFonts w:ascii="Times New Roman" w:hAnsi="Times New Roman" w:cs="Times New Roman"/>
                <w:noProof/>
              </w:rPr>
              <w:br/>
            </w:r>
            <w:r>
              <w:rPr>
                <w:rFonts w:ascii="Times New Roman" w:eastAsia="Calibri" w:hAnsi="Times New Roman" w:cs="Times New Roman"/>
                <w:noProof/>
                <w:color w:val="000000" w:themeColor="text1"/>
              </w:rPr>
              <w:t xml:space="preserve">Cette mesure ne soutient pas les investissements dans les installations relevant du champ d’application du système d’échange de quotas d’émission de l’UE (SEQE). </w:t>
            </w:r>
            <w:r>
              <w:rPr>
                <w:rFonts w:ascii="Times New Roman" w:hAnsi="Times New Roman" w:cs="Times New Roman"/>
                <w:noProof/>
              </w:rPr>
              <w:br/>
            </w:r>
            <w:r>
              <w:rPr>
                <w:rFonts w:ascii="Times New Roman" w:eastAsia="Calibri" w:hAnsi="Times New Roman" w:cs="Times New Roman"/>
                <w:noProof/>
                <w:color w:val="000000" w:themeColor="text1"/>
              </w:rPr>
              <w:t>La mesure comprend quatre instruments financiers:</w:t>
            </w:r>
            <w:r>
              <w:rPr>
                <w:rFonts w:ascii="Times New Roman" w:hAnsi="Times New Roman" w:cs="Times New Roman"/>
                <w:noProof/>
              </w:rPr>
              <w:br/>
            </w:r>
            <w:r>
              <w:rPr>
                <w:rFonts w:ascii="Times New Roman" w:eastAsia="Calibri" w:hAnsi="Times New Roman" w:cs="Times New Roman"/>
                <w:noProof/>
                <w:color w:val="000000" w:themeColor="text1"/>
              </w:rPr>
              <w:t xml:space="preserve">1) Microcrédits directs de l'Agence croate </w:t>
            </w:r>
            <w:r>
              <w:rPr>
                <w:rFonts w:ascii="Times New Roman" w:eastAsia="Calibri" w:hAnsi="Times New Roman" w:cs="Times New Roman"/>
                <w:noProof/>
                <w:color w:val="000000" w:themeColor="text1"/>
              </w:rPr>
              <w:t xml:space="preserve">pour les PME, l'innovation et les investissements (HAMAG BICRO) jusqu'à 100 000 EUR pour les entreprises qui ont des difficultés à accéder à des prêts bancaires commerciaux, pour une période allant jusqu'à dix ans, avec des taux d'intérêt préférentiels et </w:t>
            </w:r>
            <w:r>
              <w:rPr>
                <w:rFonts w:ascii="Times New Roman" w:eastAsia="Calibri" w:hAnsi="Times New Roman" w:cs="Times New Roman"/>
                <w:noProof/>
                <w:color w:val="000000" w:themeColor="text1"/>
              </w:rPr>
              <w:t>des exigences moindres en matière de garanties de prêts. Cet instrument financier devrait fournir un financement de 49 816 843 EUR (375 744 000 HRK). Un minimum de 9 519 695 EUR (71 726 143 HRK) sera consacré au soutien des processus de production respectu</w:t>
            </w:r>
            <w:r>
              <w:rPr>
                <w:rFonts w:ascii="Times New Roman" w:eastAsia="Calibri" w:hAnsi="Times New Roman" w:cs="Times New Roman"/>
                <w:noProof/>
                <w:color w:val="000000" w:themeColor="text1"/>
              </w:rPr>
              <w:t>eux de l’environnement et à l’amélioration de l’utilisation efficace des ressources dans les PME, 7 916 199 EUR (59 644 601 HRK) seront utilisés pour aider les PME à numériser leurs activités, et les 32 380 949 EUR restants (243 974 260 HRK) seront consacr</w:t>
            </w:r>
            <w:r>
              <w:rPr>
                <w:rFonts w:ascii="Times New Roman" w:eastAsia="Calibri" w:hAnsi="Times New Roman" w:cs="Times New Roman"/>
                <w:noProof/>
                <w:color w:val="000000" w:themeColor="text1"/>
              </w:rPr>
              <w:t>és à des investissements visant à renforcer la compétitivité et la résilience. Cet instrument financier est géré séparément des autres instruments de HAMAG BICRO afin de garantir que les fonds inutilisés ou les remboursements provenant de cet instrument, p</w:t>
            </w:r>
            <w:r>
              <w:rPr>
                <w:rFonts w:ascii="Times New Roman" w:eastAsia="Calibri" w:hAnsi="Times New Roman" w:cs="Times New Roman"/>
                <w:noProof/>
                <w:color w:val="000000" w:themeColor="text1"/>
              </w:rPr>
              <w:t>ar le remboursement du capital, sont utilisés à des fins similaires et dans les mêmes conditions d’éligibilité en ce qui concerne l’incidence sur l’environnement.</w:t>
            </w:r>
            <w:r>
              <w:rPr>
                <w:rFonts w:ascii="Times New Roman" w:hAnsi="Times New Roman" w:cs="Times New Roman"/>
                <w:noProof/>
              </w:rPr>
              <w:br/>
            </w:r>
            <w:r>
              <w:rPr>
                <w:rFonts w:ascii="Times New Roman" w:eastAsia="Calibri" w:hAnsi="Times New Roman" w:cs="Times New Roman"/>
                <w:noProof/>
                <w:color w:val="000000" w:themeColor="text1"/>
              </w:rPr>
              <w:t>2) Prêts directs de la Banque croate pour la reconstruction et le développement (HBOR) supéri</w:t>
            </w:r>
            <w:r>
              <w:rPr>
                <w:rFonts w:ascii="Times New Roman" w:eastAsia="Calibri" w:hAnsi="Times New Roman" w:cs="Times New Roman"/>
                <w:noProof/>
                <w:color w:val="000000" w:themeColor="text1"/>
              </w:rPr>
              <w:t>eurs à 100 000 EUR à des groupes cibles spécifiques tels que les jeunes pousses, les jeunes entrepreneurs, les femmes entrepreneurs, les investissements dans des zones défavorisées et économiquement moins développées et la RDI, qui, en raison d'un degré de</w:t>
            </w:r>
            <w:r>
              <w:rPr>
                <w:rFonts w:ascii="Times New Roman" w:eastAsia="Calibri" w:hAnsi="Times New Roman" w:cs="Times New Roman"/>
                <w:noProof/>
                <w:color w:val="000000" w:themeColor="text1"/>
              </w:rPr>
              <w:t xml:space="preserve"> risque plus élevé, n'ont pas accès au financement bancaire, avec des taux d'intérêt préférentiels et des exigences moins élevées en matière de garanties de prêts. Cet instrument financier devrait fournir un financement de 66 361 404 EUR (500 000 000 HRK).</w:t>
            </w:r>
            <w:r>
              <w:rPr>
                <w:rFonts w:ascii="Times New Roman" w:eastAsia="Calibri" w:hAnsi="Times New Roman" w:cs="Times New Roman"/>
                <w:noProof/>
                <w:color w:val="000000" w:themeColor="text1"/>
              </w:rPr>
              <w:t xml:space="preserve"> Un minimum de 12 681 260 EUR (95 546 955 HRK) sera consacré au soutien des processus de production respectueux de l’environnement et à l’amélioration de l’utilisation efficace des ressources dans les PME, 10 545 231 EUR (79 453 045 HRK) seront utilisés po</w:t>
            </w:r>
            <w:r>
              <w:rPr>
                <w:rFonts w:ascii="Times New Roman" w:eastAsia="Calibri" w:hAnsi="Times New Roman" w:cs="Times New Roman"/>
                <w:noProof/>
                <w:color w:val="000000" w:themeColor="text1"/>
              </w:rPr>
              <w:t xml:space="preserve">ur aider les PME à numériser leurs activités, et les 43 134 913 EUR restants (325 000 000 HRK) seront consacrés à des investissements visant à renforcer la compétitivité et la résilience. Cet instrument financier est géré séparément des autres instruments </w:t>
            </w:r>
            <w:r>
              <w:rPr>
                <w:rFonts w:ascii="Times New Roman" w:eastAsia="Calibri" w:hAnsi="Times New Roman" w:cs="Times New Roman"/>
                <w:noProof/>
                <w:color w:val="000000" w:themeColor="text1"/>
              </w:rPr>
              <w:t>du HBOR afin de garantir que les fonds inutilisés ou les remboursements provenant de cet instrument, par le remboursement du capital, sont utilisés à des fins similaires et avec les mêmes conditions d’éligibilité en ce qui concerne l’incidence environnemen</w:t>
            </w:r>
            <w:r>
              <w:rPr>
                <w:rFonts w:ascii="Times New Roman" w:eastAsia="Calibri" w:hAnsi="Times New Roman" w:cs="Times New Roman"/>
                <w:noProof/>
                <w:color w:val="000000" w:themeColor="text1"/>
              </w:rPr>
              <w:t>tale.</w:t>
            </w:r>
            <w:r>
              <w:rPr>
                <w:rFonts w:ascii="Times New Roman" w:hAnsi="Times New Roman" w:cs="Times New Roman"/>
                <w:noProof/>
              </w:rPr>
              <w:br/>
            </w:r>
            <w:r>
              <w:rPr>
                <w:rFonts w:ascii="Times New Roman" w:hAnsi="Times New Roman" w:cs="Times New Roman"/>
                <w:noProof/>
              </w:rPr>
              <w:br/>
            </w:r>
            <w:r>
              <w:rPr>
                <w:rFonts w:ascii="Times New Roman" w:eastAsia="Calibri" w:hAnsi="Times New Roman" w:cs="Times New Roman"/>
                <w:noProof/>
                <w:color w:val="000000" w:themeColor="text1"/>
              </w:rPr>
              <w:t>3) Mise en place d'une bonification d'intérêt par HAMAG BICRO pour assouplir les conditions de prêt des prêts bancaires accordés aux micro, petites et moyennes entreprises qui utilisent les instruments de garantie existants de HAMAG BICRO. Cet instr</w:t>
            </w:r>
            <w:r>
              <w:rPr>
                <w:rFonts w:ascii="Times New Roman" w:eastAsia="Calibri" w:hAnsi="Times New Roman" w:cs="Times New Roman"/>
                <w:noProof/>
                <w:color w:val="000000" w:themeColor="text1"/>
              </w:rPr>
              <w:t>ument financier devrait fournir un financement de 3 272 281 EUR (24 655 001 HRK). Un minimum de 625 313 EUR (4 711 421 HRK) sera consacré au soutien des processus de production respectueux de l’environnement et à l’amélioration de l’utilisation efficace de</w:t>
            </w:r>
            <w:r>
              <w:rPr>
                <w:rFonts w:ascii="Times New Roman" w:eastAsia="Calibri" w:hAnsi="Times New Roman" w:cs="Times New Roman"/>
                <w:noProof/>
                <w:color w:val="000000" w:themeColor="text1"/>
              </w:rPr>
              <w:t>s ressources dans les PME, 519 985 EUR (3 917 827 HRK) seront utilisés pour aider les PME à numériser leurs activités, et les 2 126 983 EUR restants (16 025 753 HRK) seront consacrés à des investissements visant à renforcer la compétitivité et la résilienc</w:t>
            </w:r>
            <w:r>
              <w:rPr>
                <w:rFonts w:ascii="Times New Roman" w:eastAsia="Calibri" w:hAnsi="Times New Roman" w:cs="Times New Roman"/>
                <w:noProof/>
                <w:color w:val="000000" w:themeColor="text1"/>
              </w:rPr>
              <w:t xml:space="preserve">e. </w:t>
            </w:r>
            <w:r>
              <w:rPr>
                <w:rFonts w:ascii="Times New Roman" w:hAnsi="Times New Roman" w:cs="Times New Roman"/>
                <w:noProof/>
              </w:rPr>
              <w:br/>
            </w:r>
            <w:r>
              <w:rPr>
                <w:rFonts w:ascii="Times New Roman" w:eastAsia="Calibri" w:hAnsi="Times New Roman" w:cs="Times New Roman"/>
                <w:noProof/>
                <w:color w:val="000000" w:themeColor="text1"/>
              </w:rPr>
              <w:t>4) Mettre en place un fonds de bonification d'intérêt par HBOR pour assouplir les conditions de prêt des prêts bancaires accordés aux micro, petites et moyennes entreprises qui utilisent les instruments de crédit HBOR existants. Cet instrument financie</w:t>
            </w:r>
            <w:r>
              <w:rPr>
                <w:rFonts w:ascii="Times New Roman" w:eastAsia="Calibri" w:hAnsi="Times New Roman" w:cs="Times New Roman"/>
                <w:noProof/>
                <w:color w:val="000000" w:themeColor="text1"/>
              </w:rPr>
              <w:t xml:space="preserve">r devrait fournir un financement de 26 544 562 millions d’EUR (200 000 000 HRK). Un minimum de 5 072 504 EUR (38 218 782 HRK) sera consacré au soutien des processus de production respectueux de l’environnement et à l’amélioration de l’utilisation efficace </w:t>
            </w:r>
            <w:r>
              <w:rPr>
                <w:rFonts w:ascii="Times New Roman" w:eastAsia="Calibri" w:hAnsi="Times New Roman" w:cs="Times New Roman"/>
                <w:noProof/>
                <w:color w:val="000000" w:themeColor="text1"/>
              </w:rPr>
              <w:t xml:space="preserve">des ressources dans les PME, 4 218 093 millions d’EUR (31 781 218 HRK) seront utilisés pour aider les PME à numériser leurs activités, et les 17 253 965 millions d’EUR restants (130 000 000 HRK) seront consacrés à des investissements visant à renforcer la </w:t>
            </w:r>
            <w:r>
              <w:rPr>
                <w:rFonts w:ascii="Times New Roman" w:eastAsia="Calibri" w:hAnsi="Times New Roman" w:cs="Times New Roman"/>
                <w:noProof/>
                <w:color w:val="000000" w:themeColor="text1"/>
              </w:rPr>
              <w:t>compétitivité et la résilience.</w:t>
            </w:r>
            <w:r>
              <w:rPr>
                <w:rFonts w:ascii="Times New Roman" w:hAnsi="Times New Roman" w:cs="Times New Roman"/>
                <w:noProof/>
              </w:rPr>
              <w:br/>
            </w:r>
            <w:r>
              <w:rPr>
                <w:rFonts w:ascii="Times New Roman" w:hAnsi="Times New Roman" w:cs="Times New Roman"/>
                <w:noProof/>
              </w:rPr>
              <w:br/>
            </w:r>
            <w:r>
              <w:rPr>
                <w:rFonts w:ascii="Times New Roman" w:eastAsia="Calibri" w:hAnsi="Times New Roman" w:cs="Times New Roman"/>
                <w:noProof/>
                <w:color w:val="000000" w:themeColor="text1"/>
              </w:rPr>
              <w:t>Pour les projets contribuant à la transition écologique, des conditions de prêt plus favorables sont envisagées que pour les projets qui ne se concentrent pas sur la transition écologique.</w:t>
            </w:r>
            <w:r>
              <w:rPr>
                <w:rFonts w:ascii="Times New Roman" w:hAnsi="Times New Roman" w:cs="Times New Roman"/>
                <w:noProof/>
              </w:rPr>
              <w:br/>
            </w:r>
            <w:r>
              <w:rPr>
                <w:rFonts w:ascii="Times New Roman" w:eastAsia="Calibri" w:hAnsi="Times New Roman" w:cs="Times New Roman"/>
                <w:noProof/>
                <w:color w:val="000000" w:themeColor="text1"/>
              </w:rPr>
              <w:t xml:space="preserve">La combinaison de ces instruments </w:t>
            </w:r>
            <w:r>
              <w:rPr>
                <w:rFonts w:ascii="Times New Roman" w:eastAsia="Calibri" w:hAnsi="Times New Roman" w:cs="Times New Roman"/>
                <w:noProof/>
                <w:color w:val="000000" w:themeColor="text1"/>
              </w:rPr>
              <w:t>financiers avec des financements provenant d’autres sources européennes ou nationales est autorisée à condition qu’il n’y ait pas de double financement de l’investissement.</w:t>
            </w:r>
            <w:r>
              <w:rPr>
                <w:rFonts w:ascii="Times New Roman" w:hAnsi="Times New Roman" w:cs="Times New Roman"/>
                <w:noProof/>
              </w:rPr>
              <w:br/>
            </w:r>
            <w:r>
              <w:rPr>
                <w:rFonts w:ascii="Times New Roman" w:eastAsia="Calibri" w:hAnsi="Times New Roman" w:cs="Times New Roman"/>
                <w:noProof/>
                <w:color w:val="000000" w:themeColor="text1"/>
              </w:rPr>
              <w:t>La politique d’investissement des quatre instruments financiers garantit le respect</w:t>
            </w:r>
            <w:r>
              <w:rPr>
                <w:rFonts w:ascii="Times New Roman" w:eastAsia="Calibri" w:hAnsi="Times New Roman" w:cs="Times New Roman"/>
                <w:noProof/>
                <w:color w:val="000000" w:themeColor="text1"/>
              </w:rPr>
              <w:t xml:space="preserve"> des orientations techniques «Ne pas causer de préjudice important» (2021/C58/01) des transactions bénéficiant d’un soutien au titre de la présente mesure grâce à l’utilisation d’une évaluation de la durabilité, d’une liste d’exclusion et de l’exigence de </w:t>
            </w:r>
            <w:r>
              <w:rPr>
                <w:rFonts w:ascii="Times New Roman" w:eastAsia="Calibri" w:hAnsi="Times New Roman" w:cs="Times New Roman"/>
                <w:noProof/>
                <w:color w:val="000000" w:themeColor="text1"/>
              </w:rPr>
              <w:t>conformité avec la législation environnementale pertinente de l’UE et nationale.</w:t>
            </w:r>
            <w:r>
              <w:rPr>
                <w:rFonts w:ascii="Times New Roman" w:hAnsi="Times New Roman" w:cs="Times New Roman"/>
                <w:noProof/>
              </w:rPr>
              <w:br/>
              <w:t xml:space="preserve"> </w:t>
            </w:r>
            <w:r>
              <w:rPr>
                <w:rFonts w:ascii="Times New Roman" w:eastAsia="Calibri" w:hAnsi="Times New Roman" w:cs="Times New Roman"/>
                <w:noProof/>
                <w:color w:val="000000" w:themeColor="text1"/>
              </w:rPr>
              <w:t xml:space="preserve">Sur le montant total de la mesure: </w:t>
            </w:r>
            <w:r>
              <w:rPr>
                <w:rFonts w:ascii="Times New Roman" w:hAnsi="Times New Roman" w:cs="Times New Roman"/>
                <w:noProof/>
              </w:rPr>
              <w:br/>
            </w:r>
            <w:r>
              <w:rPr>
                <w:rFonts w:ascii="Times New Roman" w:eastAsia="Calibri" w:hAnsi="Times New Roman" w:cs="Times New Roman"/>
                <w:noProof/>
                <w:color w:val="000000" w:themeColor="text1"/>
              </w:rPr>
              <w:t>i) un montant minimal de 27 898 772 EUR est alloué au soutien aux processus de production respectueux de l’environnement et à l’utilisatio</w:t>
            </w:r>
            <w:r>
              <w:rPr>
                <w:rFonts w:ascii="Times New Roman" w:eastAsia="Calibri" w:hAnsi="Times New Roman" w:cs="Times New Roman"/>
                <w:noProof/>
                <w:color w:val="000000" w:themeColor="text1"/>
              </w:rPr>
              <w:t xml:space="preserve">n efficace des ressources dans les PME, dans l’espoir qu’au moins 11 128 934 EUR soient consacrés à la réduction des gaz à effet de serre; </w:t>
            </w:r>
            <w:r>
              <w:rPr>
                <w:rFonts w:ascii="Times New Roman" w:hAnsi="Times New Roman" w:cs="Times New Roman"/>
                <w:noProof/>
              </w:rPr>
              <w:br/>
            </w:r>
            <w:r>
              <w:rPr>
                <w:rFonts w:ascii="Times New Roman" w:eastAsia="Calibri" w:hAnsi="Times New Roman" w:cs="Times New Roman"/>
                <w:noProof/>
                <w:color w:val="000000" w:themeColor="text1"/>
              </w:rPr>
              <w:t xml:space="preserve">ii) 23 199 509 EUR sont consacrés à l’aide aux PME dans le cadre de la numérisation des opérations; </w:t>
            </w:r>
            <w:r>
              <w:rPr>
                <w:rFonts w:ascii="Times New Roman" w:hAnsi="Times New Roman" w:cs="Times New Roman"/>
                <w:noProof/>
              </w:rPr>
              <w:br/>
            </w:r>
            <w:r>
              <w:rPr>
                <w:rFonts w:ascii="Times New Roman" w:eastAsia="Calibri" w:hAnsi="Times New Roman" w:cs="Times New Roman"/>
                <w:noProof/>
                <w:color w:val="000000" w:themeColor="text1"/>
              </w:rPr>
              <w:t>iii) 94 896 808</w:t>
            </w:r>
            <w:r>
              <w:rPr>
                <w:rFonts w:ascii="Times New Roman" w:eastAsia="Calibri" w:hAnsi="Times New Roman" w:cs="Times New Roman"/>
                <w:noProof/>
                <w:color w:val="000000" w:themeColor="text1"/>
              </w:rPr>
              <w:t xml:space="preserve"> EUR sont consacrés à des investissements visant à renforcer la compétitivité et la résilience. </w:t>
            </w:r>
          </w:p>
        </w:tc>
      </w:tr>
      <w:tr w:rsidR="00553430" w14:paraId="05C59015"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024868BF" w14:textId="77777777" w:rsidR="00553430" w:rsidRDefault="00212577">
            <w:pPr>
              <w:pStyle w:val="P68B1DB1-Normal66"/>
              <w:spacing w:line="240" w:lineRule="auto"/>
              <w:jc w:val="center"/>
              <w:rPr>
                <w:noProof/>
              </w:rPr>
            </w:pPr>
            <w:r>
              <w:rPr>
                <w:noProof/>
              </w:rPr>
              <w:t>17</w:t>
            </w:r>
          </w:p>
        </w:tc>
        <w:tc>
          <w:tcPr>
            <w:tcW w:w="1205" w:type="dxa"/>
            <w:tcBorders>
              <w:top w:val="single" w:sz="4" w:space="0" w:color="auto"/>
              <w:left w:val="nil"/>
              <w:bottom w:val="single" w:sz="4" w:space="0" w:color="auto"/>
              <w:right w:val="single" w:sz="4" w:space="0" w:color="auto"/>
            </w:tcBorders>
            <w:shd w:val="clear" w:color="auto" w:fill="C6EFCE"/>
          </w:tcPr>
          <w:p w14:paraId="2EE70BE1" w14:textId="77777777" w:rsidR="00553430" w:rsidRDefault="00212577">
            <w:pPr>
              <w:pStyle w:val="P68B1DB1-Normal66"/>
              <w:spacing w:line="240" w:lineRule="auto"/>
              <w:rPr>
                <w:noProof/>
              </w:rPr>
            </w:pPr>
            <w:r>
              <w:rPr>
                <w:noProof/>
              </w:rPr>
              <w:t>C1.1.1. R4-I2</w:t>
            </w:r>
          </w:p>
        </w:tc>
        <w:tc>
          <w:tcPr>
            <w:tcW w:w="1022" w:type="dxa"/>
            <w:tcBorders>
              <w:top w:val="single" w:sz="4" w:space="0" w:color="auto"/>
              <w:left w:val="nil"/>
              <w:bottom w:val="single" w:sz="4" w:space="0" w:color="auto"/>
              <w:right w:val="single" w:sz="4" w:space="0" w:color="auto"/>
            </w:tcBorders>
            <w:shd w:val="clear" w:color="auto" w:fill="C6EFCE"/>
          </w:tcPr>
          <w:p w14:paraId="70BF7BD2" w14:textId="77777777" w:rsidR="00553430" w:rsidRDefault="00212577">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7CFE2A43" w14:textId="77777777" w:rsidR="00553430" w:rsidRDefault="00212577">
            <w:pPr>
              <w:pStyle w:val="P68B1DB1-Normal66"/>
              <w:spacing w:line="240" w:lineRule="auto"/>
              <w:rPr>
                <w:noProof/>
              </w:rPr>
            </w:pPr>
            <w:r>
              <w:rPr>
                <w:noProof/>
              </w:rPr>
              <w:t>Prêts/ bonifications d'intérêts accordés aux micro, petites et moyennes entreprises</w:t>
            </w:r>
          </w:p>
        </w:tc>
        <w:tc>
          <w:tcPr>
            <w:tcW w:w="1555" w:type="dxa"/>
            <w:tcBorders>
              <w:top w:val="single" w:sz="4" w:space="0" w:color="auto"/>
              <w:left w:val="nil"/>
              <w:bottom w:val="single" w:sz="4" w:space="0" w:color="auto"/>
              <w:right w:val="single" w:sz="4" w:space="0" w:color="auto"/>
            </w:tcBorders>
            <w:shd w:val="clear" w:color="auto" w:fill="C6EFCE"/>
          </w:tcPr>
          <w:p w14:paraId="3DA839A9" w14:textId="77777777" w:rsidR="00553430" w:rsidRDefault="00212577">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79B8E2D4" w14:textId="77777777" w:rsidR="00553430" w:rsidRDefault="00212577">
            <w:pPr>
              <w:pStyle w:val="P68B1DB1-Normal66"/>
              <w:spacing w:line="240" w:lineRule="auto"/>
              <w:jc w:val="center"/>
              <w:rPr>
                <w:noProof/>
              </w:rPr>
            </w:pPr>
            <w:r>
              <w:rPr>
                <w:noProof/>
              </w:rPr>
              <w:t>Numéro</w:t>
            </w:r>
          </w:p>
        </w:tc>
        <w:tc>
          <w:tcPr>
            <w:tcW w:w="1056" w:type="dxa"/>
            <w:tcBorders>
              <w:top w:val="single" w:sz="4" w:space="0" w:color="auto"/>
              <w:left w:val="nil"/>
              <w:bottom w:val="single" w:sz="4" w:space="0" w:color="auto"/>
              <w:right w:val="single" w:sz="4" w:space="0" w:color="auto"/>
            </w:tcBorders>
            <w:shd w:val="clear" w:color="auto" w:fill="C6EFCE"/>
          </w:tcPr>
          <w:p w14:paraId="44E2E86F" w14:textId="77777777" w:rsidR="00553430" w:rsidRDefault="00212577">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4FFBC942" w14:textId="77777777" w:rsidR="00553430" w:rsidRDefault="00212577">
            <w:pPr>
              <w:pStyle w:val="P68B1DB1-Normal66"/>
              <w:spacing w:line="240" w:lineRule="auto"/>
              <w:jc w:val="center"/>
              <w:rPr>
                <w:noProof/>
              </w:rPr>
            </w:pPr>
            <w:r>
              <w:rPr>
                <w:noProof/>
              </w:rPr>
              <w:t>750</w:t>
            </w:r>
          </w:p>
        </w:tc>
        <w:tc>
          <w:tcPr>
            <w:tcW w:w="756" w:type="dxa"/>
            <w:tcBorders>
              <w:top w:val="single" w:sz="4" w:space="0" w:color="auto"/>
              <w:left w:val="nil"/>
              <w:bottom w:val="single" w:sz="4" w:space="0" w:color="auto"/>
              <w:right w:val="single" w:sz="4" w:space="0" w:color="auto"/>
            </w:tcBorders>
            <w:shd w:val="clear" w:color="auto" w:fill="C6EFCE"/>
          </w:tcPr>
          <w:p w14:paraId="0964C824" w14:textId="77777777" w:rsidR="00553430" w:rsidRDefault="00212577">
            <w:pPr>
              <w:pStyle w:val="P68B1DB1-Normal66"/>
              <w:spacing w:line="240" w:lineRule="auto"/>
              <w:jc w:val="center"/>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tcPr>
          <w:p w14:paraId="7A5EB46A" w14:textId="77777777" w:rsidR="00553430" w:rsidRDefault="00212577">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1E3C2E36" w14:textId="1CE19DF2" w:rsidR="00553430" w:rsidRDefault="00212577">
            <w:pPr>
              <w:pStyle w:val="P68B1DB1-Normal59"/>
              <w:spacing w:line="240" w:lineRule="auto"/>
              <w:rPr>
                <w:rFonts w:ascii="Times New Roman" w:eastAsia="Calibri" w:hAnsi="Times New Roman" w:cs="Times New Roman"/>
                <w:noProof/>
              </w:rPr>
            </w:pPr>
            <w:r>
              <w:rPr>
                <w:rFonts w:ascii="Times New Roman" w:eastAsia="Calibri" w:hAnsi="Times New Roman" w:cs="Times New Roman"/>
                <w:noProof/>
                <w:color w:val="000000" w:themeColor="text1"/>
              </w:rPr>
              <w:t xml:space="preserve">Accorder 750 prêts/ bonifications d'intérêts par HAMAG BICRO à des micro, petites et moyennes entreprises. </w:t>
            </w:r>
            <w:r>
              <w:rPr>
                <w:rFonts w:ascii="Times New Roman" w:hAnsi="Times New Roman" w:cs="Times New Roman"/>
                <w:noProof/>
              </w:rPr>
              <w:br/>
            </w:r>
          </w:p>
        </w:tc>
      </w:tr>
      <w:tr w:rsidR="00553430" w14:paraId="677E72D7"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07352D87" w14:textId="77777777" w:rsidR="00553430" w:rsidRDefault="00212577">
            <w:pPr>
              <w:pStyle w:val="P68B1DB1-Normal66"/>
              <w:spacing w:line="240" w:lineRule="auto"/>
              <w:jc w:val="center"/>
              <w:rPr>
                <w:noProof/>
              </w:rPr>
            </w:pPr>
            <w:r>
              <w:rPr>
                <w:noProof/>
              </w:rPr>
              <w:t>18</w:t>
            </w:r>
          </w:p>
        </w:tc>
        <w:tc>
          <w:tcPr>
            <w:tcW w:w="1205" w:type="dxa"/>
            <w:tcBorders>
              <w:top w:val="single" w:sz="4" w:space="0" w:color="auto"/>
              <w:left w:val="nil"/>
              <w:bottom w:val="single" w:sz="4" w:space="0" w:color="auto"/>
              <w:right w:val="single" w:sz="4" w:space="0" w:color="auto"/>
            </w:tcBorders>
            <w:shd w:val="clear" w:color="auto" w:fill="C6EFCE"/>
          </w:tcPr>
          <w:p w14:paraId="1E205ADA" w14:textId="77777777" w:rsidR="00553430" w:rsidRDefault="00212577">
            <w:pPr>
              <w:pStyle w:val="P68B1DB1-Normal66"/>
              <w:spacing w:line="240" w:lineRule="auto"/>
              <w:rPr>
                <w:noProof/>
              </w:rPr>
            </w:pPr>
            <w:r>
              <w:rPr>
                <w:noProof/>
              </w:rPr>
              <w:t>C1.1.1. R4-I2</w:t>
            </w:r>
          </w:p>
        </w:tc>
        <w:tc>
          <w:tcPr>
            <w:tcW w:w="1022" w:type="dxa"/>
            <w:tcBorders>
              <w:top w:val="single" w:sz="4" w:space="0" w:color="auto"/>
              <w:left w:val="nil"/>
              <w:bottom w:val="single" w:sz="4" w:space="0" w:color="auto"/>
              <w:right w:val="single" w:sz="4" w:space="0" w:color="auto"/>
            </w:tcBorders>
            <w:shd w:val="clear" w:color="auto" w:fill="C6EFCE"/>
          </w:tcPr>
          <w:p w14:paraId="5A4A299F" w14:textId="77777777" w:rsidR="00553430" w:rsidRDefault="00212577">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6A2B9D17" w14:textId="77777777" w:rsidR="00553430" w:rsidRDefault="00212577">
            <w:pPr>
              <w:pStyle w:val="P68B1DB1-Normal66"/>
              <w:spacing w:line="240" w:lineRule="auto"/>
              <w:rPr>
                <w:noProof/>
              </w:rPr>
            </w:pPr>
            <w:r>
              <w:rPr>
                <w:noProof/>
              </w:rPr>
              <w:t>Prêts/ bonifications d'intérêts accordés aux micro, petites et moyennes entreprises</w:t>
            </w:r>
          </w:p>
        </w:tc>
        <w:tc>
          <w:tcPr>
            <w:tcW w:w="1555" w:type="dxa"/>
            <w:tcBorders>
              <w:top w:val="single" w:sz="4" w:space="0" w:color="auto"/>
              <w:left w:val="nil"/>
              <w:bottom w:val="single" w:sz="4" w:space="0" w:color="auto"/>
              <w:right w:val="single" w:sz="4" w:space="0" w:color="auto"/>
            </w:tcBorders>
            <w:shd w:val="clear" w:color="auto" w:fill="C6EFCE"/>
          </w:tcPr>
          <w:p w14:paraId="26365D83" w14:textId="77777777" w:rsidR="00553430" w:rsidRDefault="00212577">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0EAE427C" w14:textId="77777777" w:rsidR="00553430" w:rsidRDefault="00212577">
            <w:pPr>
              <w:pStyle w:val="P68B1DB1-Normal66"/>
              <w:spacing w:line="240" w:lineRule="auto"/>
              <w:jc w:val="center"/>
              <w:rPr>
                <w:noProof/>
              </w:rPr>
            </w:pPr>
            <w:r>
              <w:rPr>
                <w:noProof/>
              </w:rPr>
              <w:t>Numéro</w:t>
            </w:r>
          </w:p>
        </w:tc>
        <w:tc>
          <w:tcPr>
            <w:tcW w:w="1056" w:type="dxa"/>
            <w:tcBorders>
              <w:top w:val="single" w:sz="4" w:space="0" w:color="auto"/>
              <w:left w:val="nil"/>
              <w:bottom w:val="single" w:sz="4" w:space="0" w:color="auto"/>
              <w:right w:val="single" w:sz="4" w:space="0" w:color="auto"/>
            </w:tcBorders>
            <w:shd w:val="clear" w:color="auto" w:fill="C6EFCE"/>
          </w:tcPr>
          <w:p w14:paraId="4E3944FF" w14:textId="77777777" w:rsidR="00553430" w:rsidRDefault="00212577">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0618BC16" w14:textId="77777777" w:rsidR="00553430" w:rsidRDefault="00212577">
            <w:pPr>
              <w:pStyle w:val="P68B1DB1-Normal66"/>
              <w:spacing w:line="240" w:lineRule="auto"/>
              <w:jc w:val="center"/>
              <w:rPr>
                <w:noProof/>
              </w:rPr>
            </w:pPr>
            <w:r>
              <w:rPr>
                <w:noProof/>
              </w:rPr>
              <w:t>350</w:t>
            </w:r>
          </w:p>
        </w:tc>
        <w:tc>
          <w:tcPr>
            <w:tcW w:w="756" w:type="dxa"/>
            <w:tcBorders>
              <w:top w:val="single" w:sz="4" w:space="0" w:color="auto"/>
              <w:left w:val="nil"/>
              <w:bottom w:val="single" w:sz="4" w:space="0" w:color="auto"/>
              <w:right w:val="single" w:sz="4" w:space="0" w:color="auto"/>
            </w:tcBorders>
            <w:shd w:val="clear" w:color="auto" w:fill="C6EFCE"/>
          </w:tcPr>
          <w:p w14:paraId="7DF45C79" w14:textId="77777777" w:rsidR="00553430" w:rsidRDefault="00212577">
            <w:pPr>
              <w:pStyle w:val="P68B1DB1-Normal66"/>
              <w:spacing w:line="240" w:lineRule="auto"/>
              <w:jc w:val="center"/>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tcPr>
          <w:p w14:paraId="228C8EE9" w14:textId="77777777" w:rsidR="00553430" w:rsidRDefault="00212577">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05534B5A" w14:textId="2112D436" w:rsidR="00553430" w:rsidRDefault="00212577">
            <w:pPr>
              <w:pStyle w:val="P68B1DB1-Normal66"/>
              <w:spacing w:line="240" w:lineRule="auto"/>
              <w:rPr>
                <w:noProof/>
              </w:rPr>
            </w:pPr>
            <w:r>
              <w:rPr>
                <w:noProof/>
              </w:rPr>
              <w:t xml:space="preserve">Octroi de 350 prêts/ bonifications d’intérêts par HBOR à des micro, petites et moyennes entreprises. </w:t>
            </w:r>
          </w:p>
        </w:tc>
      </w:tr>
      <w:tr w:rsidR="00553430" w14:paraId="2A06A0C5"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79089651" w14:textId="77777777" w:rsidR="00553430" w:rsidRDefault="00212577">
            <w:pPr>
              <w:pStyle w:val="P68B1DB1-Normal66"/>
              <w:spacing w:line="240" w:lineRule="auto"/>
              <w:jc w:val="center"/>
              <w:rPr>
                <w:noProof/>
              </w:rPr>
            </w:pPr>
            <w:r>
              <w:rPr>
                <w:noProof/>
              </w:rPr>
              <w:t>19</w:t>
            </w:r>
          </w:p>
        </w:tc>
        <w:tc>
          <w:tcPr>
            <w:tcW w:w="1205" w:type="dxa"/>
            <w:tcBorders>
              <w:top w:val="single" w:sz="4" w:space="0" w:color="auto"/>
              <w:left w:val="nil"/>
              <w:bottom w:val="single" w:sz="4" w:space="0" w:color="auto"/>
              <w:right w:val="single" w:sz="4" w:space="0" w:color="auto"/>
            </w:tcBorders>
            <w:shd w:val="clear" w:color="auto" w:fill="C6EFCE"/>
          </w:tcPr>
          <w:p w14:paraId="597B9710" w14:textId="77777777" w:rsidR="00553430" w:rsidRDefault="00212577">
            <w:pPr>
              <w:pStyle w:val="P68B1DB1-Normal66"/>
              <w:spacing w:line="240" w:lineRule="auto"/>
              <w:rPr>
                <w:noProof/>
              </w:rPr>
            </w:pPr>
            <w:r>
              <w:rPr>
                <w:noProof/>
              </w:rPr>
              <w:t>C1.1.1. R4-I3</w:t>
            </w:r>
          </w:p>
        </w:tc>
        <w:tc>
          <w:tcPr>
            <w:tcW w:w="1022" w:type="dxa"/>
            <w:tcBorders>
              <w:top w:val="single" w:sz="4" w:space="0" w:color="auto"/>
              <w:left w:val="nil"/>
              <w:bottom w:val="single" w:sz="4" w:space="0" w:color="auto"/>
              <w:right w:val="single" w:sz="4" w:space="0" w:color="auto"/>
            </w:tcBorders>
            <w:shd w:val="clear" w:color="auto" w:fill="C6EFCE"/>
          </w:tcPr>
          <w:p w14:paraId="755F218B" w14:textId="77777777" w:rsidR="00553430" w:rsidRDefault="00212577">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5D96BE71" w14:textId="77777777" w:rsidR="00553430" w:rsidRDefault="00212577">
            <w:pPr>
              <w:pStyle w:val="P68B1DB1-Normal66"/>
              <w:spacing w:line="240" w:lineRule="auto"/>
              <w:rPr>
                <w:noProof/>
              </w:rPr>
            </w:pPr>
            <w:r>
              <w:rPr>
                <w:noProof/>
              </w:rPr>
              <w:t xml:space="preserve">Mise en place d'un instrument financier pour soutenir les investissements des entreprises à moyenne capitalisation et des grandes </w:t>
            </w:r>
            <w:r>
              <w:rPr>
                <w:noProof/>
              </w:rPr>
              <w:t>entreprises</w:t>
            </w:r>
          </w:p>
        </w:tc>
        <w:tc>
          <w:tcPr>
            <w:tcW w:w="1555" w:type="dxa"/>
            <w:tcBorders>
              <w:top w:val="single" w:sz="4" w:space="0" w:color="auto"/>
              <w:left w:val="nil"/>
              <w:bottom w:val="single" w:sz="4" w:space="0" w:color="auto"/>
              <w:right w:val="single" w:sz="4" w:space="0" w:color="auto"/>
            </w:tcBorders>
            <w:shd w:val="clear" w:color="auto" w:fill="C6EFCE"/>
          </w:tcPr>
          <w:p w14:paraId="7B14D315" w14:textId="77777777" w:rsidR="00553430" w:rsidRDefault="00212577">
            <w:pPr>
              <w:pStyle w:val="P68B1DB1-Normal66"/>
              <w:spacing w:line="240" w:lineRule="auto"/>
              <w:rPr>
                <w:noProof/>
              </w:rPr>
            </w:pPr>
            <w:r>
              <w:rPr>
                <w:noProof/>
              </w:rPr>
              <w:t>Accord entre le ministère compétent (MINGOR ou MINFIN) et HBOR pour fournir des conditions de financement et des garanties favorables (intensifiantes) pour les investissements et le fonds de roulement nécessaires à la publication des investisse</w:t>
            </w:r>
            <w:r>
              <w:rPr>
                <w:noProof/>
              </w:rPr>
              <w:t xml:space="preserve">ments et/ou à l’augmentation de l’ampleur de l’activité économique. </w:t>
            </w:r>
          </w:p>
        </w:tc>
        <w:tc>
          <w:tcPr>
            <w:tcW w:w="1067" w:type="dxa"/>
            <w:tcBorders>
              <w:top w:val="single" w:sz="4" w:space="0" w:color="auto"/>
              <w:left w:val="nil"/>
              <w:bottom w:val="single" w:sz="4" w:space="0" w:color="auto"/>
              <w:right w:val="single" w:sz="4" w:space="0" w:color="auto"/>
            </w:tcBorders>
            <w:shd w:val="clear" w:color="auto" w:fill="C6EFCE"/>
          </w:tcPr>
          <w:p w14:paraId="68F2CB41"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456C7BEB"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6DDAB126" w14:textId="77777777" w:rsidR="00553430" w:rsidRDefault="00212577">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tcPr>
          <w:p w14:paraId="79CAE348" w14:textId="77777777" w:rsidR="00553430" w:rsidRDefault="00212577">
            <w:pPr>
              <w:pStyle w:val="P68B1DB1-Normal66"/>
              <w:spacing w:line="240" w:lineRule="auto"/>
              <w:jc w:val="center"/>
              <w:rPr>
                <w:noProof/>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tcPr>
          <w:p w14:paraId="777E3152" w14:textId="77777777" w:rsidR="00553430" w:rsidRDefault="00212577">
            <w:pPr>
              <w:pStyle w:val="P68B1DB1-Normal66"/>
              <w:spacing w:line="240" w:lineRule="auto"/>
              <w:jc w:val="center"/>
              <w:rPr>
                <w:noProof/>
              </w:rPr>
            </w:pPr>
            <w:r>
              <w:rPr>
                <w:noProof/>
              </w:rPr>
              <w:t>2022</w:t>
            </w:r>
          </w:p>
        </w:tc>
        <w:tc>
          <w:tcPr>
            <w:tcW w:w="5528" w:type="dxa"/>
            <w:tcBorders>
              <w:top w:val="single" w:sz="4" w:space="0" w:color="auto"/>
              <w:left w:val="nil"/>
              <w:bottom w:val="single" w:sz="4" w:space="0" w:color="auto"/>
              <w:right w:val="single" w:sz="4" w:space="0" w:color="auto"/>
            </w:tcBorders>
            <w:shd w:val="clear" w:color="auto" w:fill="C6EFCE"/>
          </w:tcPr>
          <w:p w14:paraId="3F3713D8" w14:textId="0548613A" w:rsidR="00553430" w:rsidRDefault="00212577">
            <w:pPr>
              <w:pStyle w:val="P68B1DB1-Normal59"/>
              <w:spacing w:line="240" w:lineRule="auto"/>
              <w:rPr>
                <w:rFonts w:ascii="Times New Roman" w:eastAsia="Calibri" w:hAnsi="Times New Roman" w:cs="Times New Roman"/>
                <w:noProof/>
                <w:color w:val="000000" w:themeColor="text1"/>
              </w:rPr>
            </w:pPr>
            <w:r>
              <w:rPr>
                <w:rFonts w:ascii="Times New Roman" w:eastAsia="Calibri" w:hAnsi="Times New Roman" w:cs="Times New Roman"/>
                <w:noProof/>
                <w:color w:val="000000" w:themeColor="text1"/>
              </w:rPr>
              <w:t>Un nouveau fonds de garantie «parapluie» est créé, ciblant les entreprises à moyenne capitalisation et les grandes entreprises, afin d’émettre des garanties individuelles ou</w:t>
            </w:r>
            <w:r>
              <w:rPr>
                <w:rFonts w:ascii="Times New Roman" w:eastAsia="Calibri" w:hAnsi="Times New Roman" w:cs="Times New Roman"/>
                <w:noProof/>
                <w:color w:val="000000" w:themeColor="text1"/>
              </w:rPr>
              <w:t xml:space="preserve"> de portefeuille pour les prêts à l’investissement et les prêts de fonds de roulement nécessaires à la mise en œuvre des investissements et à la croissance des entreprises à moyenne capitalisation et des grandes entités. La dotation totale du fonds de gara</w:t>
            </w:r>
            <w:r>
              <w:rPr>
                <w:rFonts w:ascii="Times New Roman" w:eastAsia="Calibri" w:hAnsi="Times New Roman" w:cs="Times New Roman"/>
                <w:noProof/>
                <w:color w:val="000000" w:themeColor="text1"/>
              </w:rPr>
              <w:t>ntie global s’élève à 59 633 685 EUR.</w:t>
            </w:r>
            <w:r>
              <w:rPr>
                <w:rFonts w:ascii="Times New Roman" w:hAnsi="Times New Roman" w:cs="Times New Roman"/>
                <w:noProof/>
              </w:rPr>
              <w:br/>
            </w:r>
            <w:r>
              <w:rPr>
                <w:rFonts w:ascii="Times New Roman" w:eastAsia="Calibri" w:hAnsi="Times New Roman" w:cs="Times New Roman"/>
                <w:noProof/>
                <w:color w:val="000000" w:themeColor="text1"/>
              </w:rPr>
              <w:t>Tout fonds inutilisé ou tout remboursement provenant de cet instrument, par le biais du remboursement du capital, est utilisé à des fins similaires et dans les mêmes conditions d’éligibilité en ce qui concerne l’incide</w:t>
            </w:r>
            <w:r>
              <w:rPr>
                <w:rFonts w:ascii="Times New Roman" w:eastAsia="Calibri" w:hAnsi="Times New Roman" w:cs="Times New Roman"/>
                <w:noProof/>
                <w:color w:val="000000" w:themeColor="text1"/>
              </w:rPr>
              <w:t>nce sur l’environnement.</w:t>
            </w:r>
            <w:r>
              <w:rPr>
                <w:rFonts w:ascii="Times New Roman" w:hAnsi="Times New Roman" w:cs="Times New Roman"/>
                <w:noProof/>
              </w:rPr>
              <w:br/>
            </w:r>
            <w:r>
              <w:rPr>
                <w:rFonts w:ascii="Times New Roman" w:eastAsia="Calibri" w:hAnsi="Times New Roman" w:cs="Times New Roman"/>
                <w:noProof/>
                <w:color w:val="000000" w:themeColor="text1"/>
              </w:rPr>
              <w:t>Un fonds de bonifications d’intérêts sur les prêts accordés et de commissions/primes émises sur les entreprises à moyenne capitalisation et les grandes entités est créé, doté d’une dotation totale de 46 544 562 EUR, afin de stimule</w:t>
            </w:r>
            <w:r>
              <w:rPr>
                <w:rFonts w:ascii="Times New Roman" w:eastAsia="Calibri" w:hAnsi="Times New Roman" w:cs="Times New Roman"/>
                <w:noProof/>
                <w:color w:val="000000" w:themeColor="text1"/>
              </w:rPr>
              <w:t>r les nouveaux investissements et la croissance des entreprises.</w:t>
            </w:r>
            <w:r>
              <w:rPr>
                <w:rFonts w:ascii="Times New Roman" w:hAnsi="Times New Roman" w:cs="Times New Roman"/>
                <w:noProof/>
              </w:rPr>
              <w:br/>
            </w:r>
            <w:r>
              <w:rPr>
                <w:rFonts w:ascii="Times New Roman" w:hAnsi="Times New Roman" w:cs="Times New Roman"/>
                <w:noProof/>
              </w:rPr>
              <w:br/>
            </w:r>
            <w:r>
              <w:rPr>
                <w:rFonts w:ascii="Times New Roman" w:eastAsia="Calibri" w:hAnsi="Times New Roman" w:cs="Times New Roman"/>
                <w:noProof/>
                <w:color w:val="000000" w:themeColor="text1"/>
              </w:rPr>
              <w:t xml:space="preserve">Les mesures proposées comprennent une coopération avec les intermédiaires financiers (banques et sociétés de crédit-bail) afin d’obtenir un effet de «population dans le secteur privé». </w:t>
            </w:r>
            <w:r>
              <w:rPr>
                <w:rFonts w:ascii="Times New Roman" w:hAnsi="Times New Roman" w:cs="Times New Roman"/>
                <w:noProof/>
              </w:rPr>
              <w:br/>
            </w:r>
            <w:r>
              <w:rPr>
                <w:rFonts w:ascii="Times New Roman" w:eastAsia="Calibri" w:hAnsi="Times New Roman" w:cs="Times New Roman"/>
                <w:noProof/>
                <w:color w:val="000000" w:themeColor="text1"/>
              </w:rPr>
              <w:t xml:space="preserve">Les </w:t>
            </w:r>
            <w:r>
              <w:rPr>
                <w:rFonts w:ascii="Times New Roman" w:eastAsia="Calibri" w:hAnsi="Times New Roman" w:cs="Times New Roman"/>
                <w:noProof/>
                <w:color w:val="000000" w:themeColor="text1"/>
              </w:rPr>
              <w:t>deux instruments financiers garantissent le respect des orientations techniques «Ne pas causer de préjudice important» (2021/C58/01) des opérations bénéficiant d’un soutien au titre de la présente mesure par l’utilisation d’une évaluation de la durabilité,</w:t>
            </w:r>
            <w:r>
              <w:rPr>
                <w:rFonts w:ascii="Times New Roman" w:eastAsia="Calibri" w:hAnsi="Times New Roman" w:cs="Times New Roman"/>
                <w:noProof/>
                <w:color w:val="000000" w:themeColor="text1"/>
              </w:rPr>
              <w:t xml:space="preserve"> d’une liste d’exclusion et de l’exigence de conformité avec la législation environnementale pertinente de l’UE et nationale.</w:t>
            </w:r>
            <w:r>
              <w:rPr>
                <w:rFonts w:ascii="Times New Roman" w:hAnsi="Times New Roman" w:cs="Times New Roman"/>
                <w:noProof/>
              </w:rPr>
              <w:br/>
            </w:r>
            <w:r>
              <w:rPr>
                <w:rFonts w:ascii="Times New Roman" w:eastAsia="Calibri" w:hAnsi="Times New Roman" w:cs="Times New Roman"/>
                <w:noProof/>
                <w:color w:val="000000" w:themeColor="text1"/>
              </w:rPr>
              <w:t>Cette mesure ne soutient pas les investissements dans les installations relevant du champ d’application du système d’échange de qu</w:t>
            </w:r>
            <w:r>
              <w:rPr>
                <w:rFonts w:ascii="Times New Roman" w:eastAsia="Calibri" w:hAnsi="Times New Roman" w:cs="Times New Roman"/>
                <w:noProof/>
                <w:color w:val="000000" w:themeColor="text1"/>
              </w:rPr>
              <w:t>otas d’émission de l’UE (SEQE).</w:t>
            </w:r>
            <w:r>
              <w:rPr>
                <w:rFonts w:ascii="Times New Roman" w:hAnsi="Times New Roman" w:cs="Times New Roman"/>
                <w:noProof/>
              </w:rPr>
              <w:br/>
            </w:r>
            <w:r>
              <w:rPr>
                <w:rFonts w:ascii="Times New Roman" w:eastAsia="Calibri" w:hAnsi="Times New Roman" w:cs="Times New Roman"/>
                <w:noProof/>
                <w:color w:val="000000" w:themeColor="text1"/>
              </w:rPr>
              <w:t xml:space="preserve">Les bénéficiaires qui ont tiré plus de 10 % de leurs recettes au cours de l’exercice précédent d’activités ou d’actifs figurant sur la liste d’exclusion adoptent et publient des plans de transition écologique. </w:t>
            </w:r>
            <w:r>
              <w:rPr>
                <w:rFonts w:ascii="Times New Roman" w:hAnsi="Times New Roman" w:cs="Times New Roman"/>
                <w:noProof/>
              </w:rPr>
              <w:br/>
            </w:r>
            <w:r>
              <w:rPr>
                <w:rFonts w:ascii="Times New Roman" w:eastAsia="Calibri" w:hAnsi="Times New Roman" w:cs="Times New Roman"/>
                <w:noProof/>
                <w:color w:val="000000" w:themeColor="text1"/>
              </w:rPr>
              <w:t>Sur le montan</w:t>
            </w:r>
            <w:r>
              <w:rPr>
                <w:rFonts w:ascii="Times New Roman" w:eastAsia="Calibri" w:hAnsi="Times New Roman" w:cs="Times New Roman"/>
                <w:noProof/>
                <w:color w:val="000000" w:themeColor="text1"/>
              </w:rPr>
              <w:t xml:space="preserve">t total de la mesure: </w:t>
            </w:r>
            <w:r>
              <w:rPr>
                <w:rFonts w:ascii="Times New Roman" w:hAnsi="Times New Roman" w:cs="Times New Roman"/>
                <w:noProof/>
              </w:rPr>
              <w:br/>
            </w:r>
            <w:r>
              <w:rPr>
                <w:rFonts w:ascii="Times New Roman" w:eastAsia="Calibri" w:hAnsi="Times New Roman" w:cs="Times New Roman"/>
                <w:noProof/>
                <w:color w:val="000000" w:themeColor="text1"/>
              </w:rPr>
              <w:t>i) un montant minimal de 26 544 562 EUR est alloué au soutien des processus de production respectueux de l’environnement et de l’utilisation efficace des ressources dans les entreprises à moyenne capitalisation et les grandes entrepr</w:t>
            </w:r>
            <w:r>
              <w:rPr>
                <w:rFonts w:ascii="Times New Roman" w:eastAsia="Calibri" w:hAnsi="Times New Roman" w:cs="Times New Roman"/>
                <w:noProof/>
                <w:color w:val="000000" w:themeColor="text1"/>
              </w:rPr>
              <w:t xml:space="preserve">ises, dans l’espoir qu’au moins 10 617 824 EUR soient consacrés à la réduction des gaz à effet de serre; </w:t>
            </w:r>
            <w:r>
              <w:rPr>
                <w:rFonts w:ascii="Times New Roman" w:hAnsi="Times New Roman" w:cs="Times New Roman"/>
                <w:noProof/>
              </w:rPr>
              <w:br/>
            </w:r>
            <w:r>
              <w:rPr>
                <w:rFonts w:ascii="Times New Roman" w:eastAsia="Calibri" w:hAnsi="Times New Roman" w:cs="Times New Roman"/>
                <w:noProof/>
                <w:color w:val="000000" w:themeColor="text1"/>
              </w:rPr>
              <w:t>ii) 79 633 685 EUR sont consacrés à des investissements visant à renforcer la compétitivité et la résilience.</w:t>
            </w:r>
          </w:p>
          <w:p w14:paraId="3F012574" w14:textId="77777777" w:rsidR="00553430" w:rsidRDefault="00212577">
            <w:pPr>
              <w:pStyle w:val="P68B1DB1-Normal66"/>
              <w:spacing w:line="240" w:lineRule="auto"/>
              <w:jc w:val="both"/>
              <w:rPr>
                <w:noProof/>
              </w:rPr>
            </w:pPr>
            <w:r>
              <w:rPr>
                <w:noProof/>
              </w:rPr>
              <w:t>Les instruments financiers sont utilisés</w:t>
            </w:r>
            <w:r>
              <w:rPr>
                <w:noProof/>
              </w:rPr>
              <w:t xml:space="preserve"> pour des investissements dans des technologies nouvelles, modernes et avancées (machines et équipements), dans l’expansion et le renforcement des capacités des entreprises (expansion des installations et des capacités de fabrication et de service), avec u</w:t>
            </w:r>
            <w:r>
              <w:rPr>
                <w:noProof/>
              </w:rPr>
              <w:t>ne préférence pour les projets dans les domaines des énergies renouvelables, de l’efficacité énergétique, de l’économie circulaire, de la protection de l’environnement, de la numérisation des processus de production, de passation de marchés et de vente.</w:t>
            </w:r>
          </w:p>
        </w:tc>
      </w:tr>
      <w:tr w:rsidR="00553430" w14:paraId="4A1225C4"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5B525FEF" w14:textId="77777777" w:rsidR="00553430" w:rsidRDefault="00212577">
            <w:pPr>
              <w:pStyle w:val="P68B1DB1-Normal66"/>
              <w:spacing w:line="240" w:lineRule="auto"/>
              <w:jc w:val="center"/>
              <w:rPr>
                <w:noProof/>
              </w:rPr>
            </w:pPr>
            <w:r>
              <w:rPr>
                <w:noProof/>
              </w:rPr>
              <w:t>20</w:t>
            </w:r>
          </w:p>
        </w:tc>
        <w:tc>
          <w:tcPr>
            <w:tcW w:w="1205" w:type="dxa"/>
            <w:tcBorders>
              <w:top w:val="single" w:sz="4" w:space="0" w:color="auto"/>
              <w:left w:val="nil"/>
              <w:bottom w:val="single" w:sz="4" w:space="0" w:color="auto"/>
              <w:right w:val="single" w:sz="4" w:space="0" w:color="auto"/>
            </w:tcBorders>
            <w:shd w:val="clear" w:color="auto" w:fill="C6EFCE"/>
          </w:tcPr>
          <w:p w14:paraId="023740C6" w14:textId="77777777" w:rsidR="00553430" w:rsidRDefault="00212577">
            <w:pPr>
              <w:pStyle w:val="P68B1DB1-Normal66"/>
              <w:spacing w:line="240" w:lineRule="auto"/>
              <w:rPr>
                <w:noProof/>
              </w:rPr>
            </w:pPr>
            <w:r>
              <w:rPr>
                <w:noProof/>
              </w:rPr>
              <w:t>C1.1.1. R4-I3</w:t>
            </w:r>
          </w:p>
        </w:tc>
        <w:tc>
          <w:tcPr>
            <w:tcW w:w="1022" w:type="dxa"/>
            <w:tcBorders>
              <w:top w:val="single" w:sz="4" w:space="0" w:color="auto"/>
              <w:left w:val="nil"/>
              <w:bottom w:val="single" w:sz="4" w:space="0" w:color="auto"/>
              <w:right w:val="single" w:sz="4" w:space="0" w:color="auto"/>
            </w:tcBorders>
            <w:shd w:val="clear" w:color="auto" w:fill="C6EFCE"/>
          </w:tcPr>
          <w:p w14:paraId="1CBCA374" w14:textId="77777777" w:rsidR="00553430" w:rsidRDefault="00212577">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0BD7637A" w14:textId="77777777" w:rsidR="00553430" w:rsidRDefault="00212577">
            <w:pPr>
              <w:pStyle w:val="P68B1DB1-Normal66"/>
              <w:spacing w:line="240" w:lineRule="auto"/>
              <w:rPr>
                <w:noProof/>
              </w:rPr>
            </w:pPr>
            <w:r>
              <w:rPr>
                <w:noProof/>
              </w:rPr>
              <w:t>Nombre de projets octroyés pour les entreprises à moyenne capitalisation et les grandes entreprises</w:t>
            </w:r>
          </w:p>
        </w:tc>
        <w:tc>
          <w:tcPr>
            <w:tcW w:w="1555" w:type="dxa"/>
            <w:tcBorders>
              <w:top w:val="single" w:sz="4" w:space="0" w:color="auto"/>
              <w:left w:val="nil"/>
              <w:bottom w:val="single" w:sz="4" w:space="0" w:color="auto"/>
              <w:right w:val="single" w:sz="4" w:space="0" w:color="auto"/>
            </w:tcBorders>
            <w:shd w:val="clear" w:color="auto" w:fill="C6EFCE"/>
          </w:tcPr>
          <w:p w14:paraId="610FEAA1" w14:textId="77777777" w:rsidR="00553430" w:rsidRDefault="00212577">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3AA8FBE1" w14:textId="77777777" w:rsidR="00553430" w:rsidRDefault="00212577">
            <w:pPr>
              <w:pStyle w:val="P68B1DB1-Normal66"/>
              <w:spacing w:line="240" w:lineRule="auto"/>
              <w:jc w:val="center"/>
              <w:rPr>
                <w:noProof/>
              </w:rPr>
            </w:pPr>
            <w:r>
              <w:rPr>
                <w:noProof/>
              </w:rPr>
              <w:t>Numéro</w:t>
            </w:r>
          </w:p>
        </w:tc>
        <w:tc>
          <w:tcPr>
            <w:tcW w:w="1056" w:type="dxa"/>
            <w:tcBorders>
              <w:top w:val="single" w:sz="4" w:space="0" w:color="auto"/>
              <w:left w:val="nil"/>
              <w:bottom w:val="single" w:sz="4" w:space="0" w:color="auto"/>
              <w:right w:val="single" w:sz="4" w:space="0" w:color="auto"/>
            </w:tcBorders>
            <w:shd w:val="clear" w:color="auto" w:fill="C6EFCE"/>
          </w:tcPr>
          <w:p w14:paraId="7FD3B4F6" w14:textId="77777777" w:rsidR="00553430" w:rsidRDefault="00212577">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77D2337B" w14:textId="77777777" w:rsidR="00553430" w:rsidRDefault="00212577">
            <w:pPr>
              <w:pStyle w:val="P68B1DB1-Normal66"/>
              <w:spacing w:line="240" w:lineRule="auto"/>
              <w:jc w:val="center"/>
              <w:rPr>
                <w:noProof/>
              </w:rPr>
            </w:pPr>
            <w:r>
              <w:rPr>
                <w:noProof/>
              </w:rPr>
              <w:t>75</w:t>
            </w:r>
          </w:p>
        </w:tc>
        <w:tc>
          <w:tcPr>
            <w:tcW w:w="756" w:type="dxa"/>
            <w:tcBorders>
              <w:top w:val="single" w:sz="4" w:space="0" w:color="auto"/>
              <w:left w:val="nil"/>
              <w:bottom w:val="single" w:sz="4" w:space="0" w:color="auto"/>
              <w:right w:val="single" w:sz="4" w:space="0" w:color="auto"/>
            </w:tcBorders>
            <w:shd w:val="clear" w:color="auto" w:fill="C6EFCE"/>
          </w:tcPr>
          <w:p w14:paraId="560DE819" w14:textId="77777777" w:rsidR="00553430" w:rsidRDefault="00212577">
            <w:pPr>
              <w:pStyle w:val="P68B1DB1-Normal66"/>
              <w:spacing w:line="240" w:lineRule="auto"/>
              <w:jc w:val="center"/>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tcPr>
          <w:p w14:paraId="6E8DEF01" w14:textId="77777777" w:rsidR="00553430" w:rsidRDefault="00212577">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5616F718" w14:textId="11B1FABC" w:rsidR="00553430" w:rsidRDefault="00212577">
            <w:pPr>
              <w:pStyle w:val="P68B1DB1-Normal66"/>
              <w:spacing w:line="240" w:lineRule="auto"/>
              <w:jc w:val="both"/>
              <w:rPr>
                <w:noProof/>
              </w:rPr>
            </w:pPr>
            <w:r>
              <w:rPr>
                <w:noProof/>
              </w:rPr>
              <w:t xml:space="preserve">Au moins 75 projets (d’un montant total d’au moins 331 807 021 EUR) d’entreprises à moyenne capitalisation et de </w:t>
            </w:r>
            <w:r>
              <w:rPr>
                <w:noProof/>
              </w:rPr>
              <w:t>grandes entités bénéficiant de garanties/subventions de la FRR du fonds de garantie pour les investissements et des fonds de fonctionnement pour les projets.</w:t>
            </w:r>
          </w:p>
        </w:tc>
      </w:tr>
      <w:tr w:rsidR="00553430" w14:paraId="54737220"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353FA612" w14:textId="77777777" w:rsidR="00553430" w:rsidRDefault="00212577">
            <w:pPr>
              <w:pStyle w:val="P68B1DB1-Normal66"/>
              <w:spacing w:line="240" w:lineRule="auto"/>
              <w:jc w:val="center"/>
              <w:rPr>
                <w:noProof/>
              </w:rPr>
            </w:pPr>
            <w:r>
              <w:rPr>
                <w:noProof/>
              </w:rPr>
              <w:t>21</w:t>
            </w:r>
          </w:p>
        </w:tc>
        <w:tc>
          <w:tcPr>
            <w:tcW w:w="1205" w:type="dxa"/>
            <w:tcBorders>
              <w:top w:val="single" w:sz="4" w:space="0" w:color="auto"/>
              <w:left w:val="nil"/>
              <w:bottom w:val="single" w:sz="4" w:space="0" w:color="auto"/>
              <w:right w:val="single" w:sz="4" w:space="0" w:color="auto"/>
            </w:tcBorders>
            <w:shd w:val="clear" w:color="auto" w:fill="C6EFCE"/>
          </w:tcPr>
          <w:p w14:paraId="65D2E085" w14:textId="77777777" w:rsidR="00553430" w:rsidRDefault="00212577">
            <w:pPr>
              <w:pStyle w:val="P68B1DB1-Normal66"/>
              <w:spacing w:line="240" w:lineRule="auto"/>
              <w:rPr>
                <w:noProof/>
              </w:rPr>
            </w:pPr>
            <w:r>
              <w:rPr>
                <w:noProof/>
              </w:rPr>
              <w:t>C1.1.1. R4-I4</w:t>
            </w:r>
          </w:p>
        </w:tc>
        <w:tc>
          <w:tcPr>
            <w:tcW w:w="1022" w:type="dxa"/>
            <w:tcBorders>
              <w:top w:val="single" w:sz="4" w:space="0" w:color="auto"/>
              <w:left w:val="nil"/>
              <w:bottom w:val="single" w:sz="4" w:space="0" w:color="auto"/>
              <w:right w:val="single" w:sz="4" w:space="0" w:color="auto"/>
            </w:tcBorders>
            <w:shd w:val="clear" w:color="auto" w:fill="C6EFCE"/>
          </w:tcPr>
          <w:p w14:paraId="65FC424E" w14:textId="77777777" w:rsidR="00553430" w:rsidRDefault="00212577">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19888B12" w14:textId="14A981FA" w:rsidR="00553430" w:rsidRDefault="00212577">
            <w:pPr>
              <w:pStyle w:val="P68B1DB1-Normal66"/>
              <w:spacing w:line="240" w:lineRule="auto"/>
              <w:rPr>
                <w:noProof/>
              </w:rPr>
            </w:pPr>
            <w:r>
              <w:rPr>
                <w:noProof/>
              </w:rPr>
              <w:t>Mise en place d'un instrument financier pour un financement plus favorable des</w:t>
            </w:r>
            <w:r>
              <w:rPr>
                <w:noProof/>
              </w:rPr>
              <w:t xml:space="preserve"> entités publiques</w:t>
            </w:r>
          </w:p>
        </w:tc>
        <w:tc>
          <w:tcPr>
            <w:tcW w:w="1555" w:type="dxa"/>
            <w:tcBorders>
              <w:top w:val="single" w:sz="4" w:space="0" w:color="auto"/>
              <w:left w:val="nil"/>
              <w:bottom w:val="single" w:sz="4" w:space="0" w:color="auto"/>
              <w:right w:val="single" w:sz="4" w:space="0" w:color="auto"/>
            </w:tcBorders>
            <w:shd w:val="clear" w:color="auto" w:fill="C6EFCE"/>
          </w:tcPr>
          <w:p w14:paraId="264BF820" w14:textId="77777777" w:rsidR="00553430" w:rsidRDefault="00212577">
            <w:pPr>
              <w:pStyle w:val="P68B1DB1-Normal66"/>
              <w:spacing w:line="240" w:lineRule="auto"/>
              <w:rPr>
                <w:noProof/>
              </w:rPr>
            </w:pPr>
            <w:r>
              <w:rPr>
                <w:noProof/>
              </w:rPr>
              <w:t xml:space="preserve">Accord entre le ministère compétent (MINGOR ou MINFIN) et HBOR contenant des critères d'éligibilité et de compatibilité pour les activités et les bénéficiaires des mesures </w:t>
            </w:r>
          </w:p>
        </w:tc>
        <w:tc>
          <w:tcPr>
            <w:tcW w:w="1067" w:type="dxa"/>
            <w:tcBorders>
              <w:top w:val="single" w:sz="4" w:space="0" w:color="auto"/>
              <w:left w:val="nil"/>
              <w:bottom w:val="single" w:sz="4" w:space="0" w:color="auto"/>
              <w:right w:val="single" w:sz="4" w:space="0" w:color="auto"/>
            </w:tcBorders>
            <w:shd w:val="clear" w:color="auto" w:fill="C6EFCE"/>
          </w:tcPr>
          <w:p w14:paraId="4B7A9B26"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399ECB22"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1BE3B863" w14:textId="77777777" w:rsidR="00553430" w:rsidRDefault="00212577">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tcPr>
          <w:p w14:paraId="0A256A10" w14:textId="77777777" w:rsidR="00553430" w:rsidRDefault="00212577">
            <w:pPr>
              <w:pStyle w:val="P68B1DB1-Normal66"/>
              <w:spacing w:line="240" w:lineRule="auto"/>
              <w:jc w:val="center"/>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tcPr>
          <w:p w14:paraId="58628ED9" w14:textId="77777777" w:rsidR="00553430" w:rsidRDefault="00212577">
            <w:pPr>
              <w:pStyle w:val="P68B1DB1-Normal66"/>
              <w:spacing w:line="240" w:lineRule="auto"/>
              <w:jc w:val="center"/>
              <w:rPr>
                <w:noProof/>
              </w:rPr>
            </w:pPr>
            <w:r>
              <w:rPr>
                <w:noProof/>
              </w:rPr>
              <w:t>2022</w:t>
            </w:r>
          </w:p>
        </w:tc>
        <w:tc>
          <w:tcPr>
            <w:tcW w:w="5528" w:type="dxa"/>
            <w:tcBorders>
              <w:top w:val="single" w:sz="4" w:space="0" w:color="auto"/>
              <w:left w:val="nil"/>
              <w:bottom w:val="single" w:sz="4" w:space="0" w:color="auto"/>
              <w:right w:val="single" w:sz="4" w:space="0" w:color="auto"/>
            </w:tcBorders>
            <w:shd w:val="clear" w:color="auto" w:fill="C6EFCE"/>
          </w:tcPr>
          <w:p w14:paraId="580F0D06" w14:textId="0C5300E4" w:rsidR="00553430" w:rsidRDefault="00212577">
            <w:pPr>
              <w:pStyle w:val="P68B1DB1-Normal66"/>
              <w:spacing w:line="240" w:lineRule="auto"/>
              <w:rPr>
                <w:noProof/>
              </w:rPr>
            </w:pPr>
            <w:r>
              <w:rPr>
                <w:noProof/>
              </w:rPr>
              <w:t xml:space="preserve">Soutien financier aux entreprises et aux </w:t>
            </w:r>
            <w:r>
              <w:rPr>
                <w:noProof/>
              </w:rPr>
              <w:t xml:space="preserve">institutions appartenant à l’État ou aux collectivités locales, régionales et régionales dans des conditions favorables pour stimuler les investissements dans i) les infrastructures économiques, municipales, de transport et sociales nécessaires et ii) les </w:t>
            </w:r>
            <w:r>
              <w:rPr>
                <w:noProof/>
              </w:rPr>
              <w:t xml:space="preserve">investissements dans les nouvelles technologies et les nouveaux systèmes nécessaires pour accroître l’efficacité des entités du secteur public, en vue d’améliorer la qualité des services publics et de réduire le coût du financement du secteur public. </w:t>
            </w:r>
            <w:r>
              <w:rPr>
                <w:noProof/>
              </w:rPr>
              <w:br/>
              <w:t>La m</w:t>
            </w:r>
            <w:r>
              <w:rPr>
                <w:noProof/>
              </w:rPr>
              <w:t>esure comprend également des investissements dans des projets de transition écologique du secteur public, tels que l’adoption de technologies vertes, l’introduction de modèles économiques d’économie circulaire, les sources d’énergie renouvelables et l’effi</w:t>
            </w:r>
            <w:r>
              <w:rPr>
                <w:noProof/>
              </w:rPr>
              <w:t>cacité énergétique.</w:t>
            </w:r>
            <w:r>
              <w:rPr>
                <w:noProof/>
              </w:rPr>
              <w:br/>
              <w:t>Les instruments financiers garantissent le respect des orientations techniques «Ne pas causer de préjudice important» (2021/C58/01) des bénéficiaires bénéficiant d’un soutien au titre de la présente mesure grâce à l’utilisation d’une év</w:t>
            </w:r>
            <w:r>
              <w:rPr>
                <w:noProof/>
              </w:rPr>
              <w:t xml:space="preserve">aluation de la durabilité, à l’exigence de conformité avec la législation environnementale pertinente de l’UE et nationale et à l’obligation pour les bénéficiaires qui ont tiré plus de 10 % de leurs recettes au cours de l’exercice précédent d’activités ou </w:t>
            </w:r>
            <w:r>
              <w:rPr>
                <w:noProof/>
              </w:rPr>
              <w:t>d’actifs figurant sur la liste d’exclusion d’adopter et de publier des plans de transition écologique.</w:t>
            </w:r>
            <w:r>
              <w:rPr>
                <w:noProof/>
              </w:rPr>
              <w:br/>
              <w:t>Cette mesure ne soutient pas les investissements dans les installations relevant du champ d’application du système d’échange de quotas d’émission de l’UE</w:t>
            </w:r>
            <w:r>
              <w:rPr>
                <w:noProof/>
              </w:rPr>
              <w:t xml:space="preserve"> (SEQE).</w:t>
            </w:r>
            <w:r>
              <w:rPr>
                <w:noProof/>
              </w:rPr>
              <w:br/>
              <w:t xml:space="preserve">Sur le montant total de 26 544 562 EUR (200 000 000 HRK) alloué à la mesure: </w:t>
            </w:r>
            <w:r>
              <w:rPr>
                <w:noProof/>
              </w:rPr>
              <w:br/>
              <w:t>i) un minimum de 7 963 368 EUR, soit 30 %, est destiné à soutenir des processus de production respectueux de l’environnement et l’utilisation efficace des ressources dan</w:t>
            </w:r>
            <w:r>
              <w:rPr>
                <w:noProof/>
              </w:rPr>
              <w:t>s le secteur public, dans l’espoir qu’au moins 3 185 347 EUR soient consacrés à la réduction des gaz à effet de serre; ii) 18 581 193 EUR sont consacrés à des investissements visant à améliorer la durabilité et la qualité des infrastructures. Cette réparti</w:t>
            </w:r>
            <w:r>
              <w:rPr>
                <w:noProof/>
              </w:rPr>
              <w:t xml:space="preserve">tion des fonds est définie tant dans le contrat HBOR que dans les contrats avec les intermédiaires financiers (banques et sociétés de crédit-bail). </w:t>
            </w:r>
          </w:p>
        </w:tc>
      </w:tr>
      <w:tr w:rsidR="00553430" w14:paraId="576C6466"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6BEE1262" w14:textId="77777777" w:rsidR="00553430" w:rsidRDefault="00212577">
            <w:pPr>
              <w:pStyle w:val="P68B1DB1-Normal66"/>
              <w:spacing w:line="240" w:lineRule="auto"/>
              <w:jc w:val="center"/>
              <w:rPr>
                <w:noProof/>
              </w:rPr>
            </w:pPr>
            <w:r>
              <w:rPr>
                <w:noProof/>
              </w:rPr>
              <w:t>22</w:t>
            </w:r>
          </w:p>
        </w:tc>
        <w:tc>
          <w:tcPr>
            <w:tcW w:w="1205" w:type="dxa"/>
            <w:tcBorders>
              <w:top w:val="single" w:sz="4" w:space="0" w:color="auto"/>
              <w:left w:val="nil"/>
              <w:bottom w:val="single" w:sz="4" w:space="0" w:color="auto"/>
              <w:right w:val="single" w:sz="4" w:space="0" w:color="auto"/>
            </w:tcBorders>
            <w:shd w:val="clear" w:color="auto" w:fill="C6EFCE"/>
          </w:tcPr>
          <w:p w14:paraId="274434DC" w14:textId="77777777" w:rsidR="00553430" w:rsidRDefault="00212577">
            <w:pPr>
              <w:pStyle w:val="P68B1DB1-Normal66"/>
              <w:spacing w:line="240" w:lineRule="auto"/>
              <w:rPr>
                <w:noProof/>
              </w:rPr>
            </w:pPr>
            <w:r>
              <w:rPr>
                <w:noProof/>
              </w:rPr>
              <w:t>C1.1.1. R4-I4</w:t>
            </w:r>
          </w:p>
        </w:tc>
        <w:tc>
          <w:tcPr>
            <w:tcW w:w="1022" w:type="dxa"/>
            <w:tcBorders>
              <w:top w:val="single" w:sz="4" w:space="0" w:color="auto"/>
              <w:left w:val="nil"/>
              <w:bottom w:val="single" w:sz="4" w:space="0" w:color="auto"/>
              <w:right w:val="single" w:sz="4" w:space="0" w:color="auto"/>
            </w:tcBorders>
            <w:shd w:val="clear" w:color="auto" w:fill="C6EFCE"/>
          </w:tcPr>
          <w:p w14:paraId="7EACAE1D" w14:textId="77777777" w:rsidR="00553430" w:rsidRDefault="00212577">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41A098B4" w14:textId="77777777" w:rsidR="00553430" w:rsidRDefault="00212577">
            <w:pPr>
              <w:pStyle w:val="P68B1DB1-Normal66"/>
              <w:spacing w:line="240" w:lineRule="auto"/>
              <w:rPr>
                <w:noProof/>
              </w:rPr>
            </w:pPr>
            <w:r>
              <w:rPr>
                <w:noProof/>
              </w:rPr>
              <w:t>Crédits accordés pour des projets du secteur public</w:t>
            </w:r>
          </w:p>
        </w:tc>
        <w:tc>
          <w:tcPr>
            <w:tcW w:w="1555" w:type="dxa"/>
            <w:tcBorders>
              <w:top w:val="single" w:sz="4" w:space="0" w:color="auto"/>
              <w:left w:val="nil"/>
              <w:bottom w:val="single" w:sz="4" w:space="0" w:color="auto"/>
              <w:right w:val="single" w:sz="4" w:space="0" w:color="auto"/>
            </w:tcBorders>
            <w:shd w:val="clear" w:color="auto" w:fill="C6EFCE"/>
          </w:tcPr>
          <w:p w14:paraId="490F0922" w14:textId="77777777" w:rsidR="00553430" w:rsidRDefault="00212577">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60DE2BBA" w14:textId="77777777" w:rsidR="00553430" w:rsidRDefault="00212577">
            <w:pPr>
              <w:pStyle w:val="P68B1DB1-Normal66"/>
              <w:spacing w:line="240" w:lineRule="auto"/>
              <w:jc w:val="center"/>
              <w:rPr>
                <w:noProof/>
              </w:rPr>
            </w:pPr>
            <w:r>
              <w:rPr>
                <w:noProof/>
              </w:rPr>
              <w:t>Numéro</w:t>
            </w:r>
          </w:p>
        </w:tc>
        <w:tc>
          <w:tcPr>
            <w:tcW w:w="1056" w:type="dxa"/>
            <w:tcBorders>
              <w:top w:val="single" w:sz="4" w:space="0" w:color="auto"/>
              <w:left w:val="nil"/>
              <w:bottom w:val="single" w:sz="4" w:space="0" w:color="auto"/>
              <w:right w:val="single" w:sz="4" w:space="0" w:color="auto"/>
            </w:tcBorders>
            <w:shd w:val="clear" w:color="auto" w:fill="C6EFCE"/>
          </w:tcPr>
          <w:p w14:paraId="46405842" w14:textId="77777777" w:rsidR="00553430" w:rsidRDefault="00212577">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2D86C614" w14:textId="77777777" w:rsidR="00553430" w:rsidRDefault="00212577">
            <w:pPr>
              <w:pStyle w:val="P68B1DB1-Normal66"/>
              <w:spacing w:line="240" w:lineRule="auto"/>
              <w:jc w:val="center"/>
              <w:rPr>
                <w:noProof/>
              </w:rPr>
            </w:pPr>
            <w:r>
              <w:rPr>
                <w:noProof/>
              </w:rPr>
              <w:t>132 722 808</w:t>
            </w:r>
          </w:p>
        </w:tc>
        <w:tc>
          <w:tcPr>
            <w:tcW w:w="756" w:type="dxa"/>
            <w:tcBorders>
              <w:top w:val="single" w:sz="4" w:space="0" w:color="auto"/>
              <w:left w:val="nil"/>
              <w:bottom w:val="single" w:sz="4" w:space="0" w:color="auto"/>
              <w:right w:val="single" w:sz="4" w:space="0" w:color="auto"/>
            </w:tcBorders>
            <w:shd w:val="clear" w:color="auto" w:fill="C6EFCE"/>
          </w:tcPr>
          <w:p w14:paraId="2669A889" w14:textId="77777777" w:rsidR="00553430" w:rsidRDefault="00212577">
            <w:pPr>
              <w:pStyle w:val="P68B1DB1-Normal66"/>
              <w:spacing w:line="240" w:lineRule="auto"/>
              <w:jc w:val="center"/>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tcPr>
          <w:p w14:paraId="3E735D3F" w14:textId="77777777" w:rsidR="00553430" w:rsidRDefault="00212577">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6ACD0CAE" w14:textId="0EE0123F" w:rsidR="00553430" w:rsidRDefault="00212577">
            <w:pPr>
              <w:pStyle w:val="P68B1DB1-Normal66"/>
              <w:spacing w:line="240" w:lineRule="auto"/>
              <w:rPr>
                <w:noProof/>
              </w:rPr>
            </w:pPr>
            <w:r>
              <w:rPr>
                <w:noProof/>
              </w:rPr>
              <w:t xml:space="preserve">Octroi d’au moins 132 722 808 EUR de prêts bonifiés par HBOR pour des projets du secteur public. </w:t>
            </w:r>
          </w:p>
        </w:tc>
      </w:tr>
      <w:tr w:rsidR="00553430" w14:paraId="6AE2D911"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74547A30" w14:textId="77777777" w:rsidR="00553430" w:rsidRDefault="00212577">
            <w:pPr>
              <w:pStyle w:val="P68B1DB1-Normal66"/>
              <w:spacing w:line="240" w:lineRule="auto"/>
              <w:jc w:val="center"/>
              <w:rPr>
                <w:noProof/>
              </w:rPr>
            </w:pPr>
            <w:r>
              <w:rPr>
                <w:noProof/>
              </w:rPr>
              <w:t>444</w:t>
            </w:r>
          </w:p>
        </w:tc>
        <w:tc>
          <w:tcPr>
            <w:tcW w:w="1205" w:type="dxa"/>
            <w:tcBorders>
              <w:top w:val="single" w:sz="4" w:space="0" w:color="auto"/>
              <w:left w:val="nil"/>
              <w:bottom w:val="single" w:sz="4" w:space="0" w:color="auto"/>
              <w:right w:val="single" w:sz="4" w:space="0" w:color="auto"/>
            </w:tcBorders>
            <w:shd w:val="clear" w:color="auto" w:fill="C6EFCE"/>
          </w:tcPr>
          <w:p w14:paraId="67E07B2C" w14:textId="77777777" w:rsidR="00553430" w:rsidRDefault="00212577">
            <w:pPr>
              <w:pStyle w:val="P68B1DB1-Normal66"/>
              <w:spacing w:line="240" w:lineRule="auto"/>
              <w:rPr>
                <w:noProof/>
              </w:rPr>
            </w:pPr>
            <w:r>
              <w:rPr>
                <w:noProof/>
              </w:rPr>
              <w:t>C1.1.1. R4-I5</w:t>
            </w:r>
          </w:p>
        </w:tc>
        <w:tc>
          <w:tcPr>
            <w:tcW w:w="1022" w:type="dxa"/>
            <w:tcBorders>
              <w:top w:val="single" w:sz="4" w:space="0" w:color="auto"/>
              <w:left w:val="nil"/>
              <w:bottom w:val="single" w:sz="4" w:space="0" w:color="auto"/>
              <w:right w:val="single" w:sz="4" w:space="0" w:color="auto"/>
            </w:tcBorders>
            <w:shd w:val="clear" w:color="auto" w:fill="C6EFCE"/>
          </w:tcPr>
          <w:p w14:paraId="29E22B04" w14:textId="77777777" w:rsidR="00553430" w:rsidRDefault="00212577">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6498FEBC" w14:textId="77777777" w:rsidR="00553430" w:rsidRDefault="00212577">
            <w:pPr>
              <w:pStyle w:val="P68B1DB1-Normal66"/>
              <w:spacing w:line="240" w:lineRule="auto"/>
              <w:rPr>
                <w:noProof/>
              </w:rPr>
            </w:pPr>
            <w:r>
              <w:rPr>
                <w:noProof/>
              </w:rPr>
              <w:t>Politique d’investissement pour les investissements numériques stratégiques et les investissements verts stratégiques</w:t>
            </w:r>
          </w:p>
        </w:tc>
        <w:tc>
          <w:tcPr>
            <w:tcW w:w="1555" w:type="dxa"/>
            <w:tcBorders>
              <w:top w:val="single" w:sz="4" w:space="0" w:color="auto"/>
              <w:left w:val="nil"/>
              <w:bottom w:val="single" w:sz="4" w:space="0" w:color="auto"/>
              <w:right w:val="single" w:sz="4" w:space="0" w:color="auto"/>
            </w:tcBorders>
            <w:shd w:val="clear" w:color="auto" w:fill="C6EFCE"/>
          </w:tcPr>
          <w:p w14:paraId="5C715AAC" w14:textId="77777777" w:rsidR="00553430" w:rsidRDefault="00212577">
            <w:pPr>
              <w:pStyle w:val="P68B1DB1-Normal66"/>
              <w:spacing w:line="240" w:lineRule="auto"/>
              <w:rPr>
                <w:noProof/>
              </w:rPr>
            </w:pPr>
            <w:r>
              <w:rPr>
                <w:noProof/>
              </w:rPr>
              <w:t xml:space="preserve">Adoption d'une </w:t>
            </w:r>
            <w:r>
              <w:rPr>
                <w:noProof/>
              </w:rPr>
              <w:t>politique d'investissement</w:t>
            </w:r>
          </w:p>
        </w:tc>
        <w:tc>
          <w:tcPr>
            <w:tcW w:w="1067" w:type="dxa"/>
            <w:tcBorders>
              <w:top w:val="single" w:sz="4" w:space="0" w:color="auto"/>
              <w:left w:val="nil"/>
              <w:bottom w:val="single" w:sz="4" w:space="0" w:color="auto"/>
              <w:right w:val="single" w:sz="4" w:space="0" w:color="auto"/>
            </w:tcBorders>
            <w:shd w:val="clear" w:color="auto" w:fill="C6EFCE"/>
          </w:tcPr>
          <w:p w14:paraId="03B0534D" w14:textId="77777777" w:rsidR="00553430" w:rsidRDefault="00553430">
            <w:pPr>
              <w:spacing w:line="240" w:lineRule="auto"/>
              <w:jc w:val="center"/>
              <w:rPr>
                <w:rFonts w:ascii="Times New Roman" w:eastAsia="Calibri" w:hAnsi="Times New Roman" w:cs="Times New Roman"/>
                <w:noProof/>
                <w:color w:val="000000"/>
                <w:sz w:val="20"/>
                <w:szCs w:val="20"/>
              </w:rPr>
            </w:pPr>
          </w:p>
        </w:tc>
        <w:tc>
          <w:tcPr>
            <w:tcW w:w="1056" w:type="dxa"/>
            <w:tcBorders>
              <w:top w:val="single" w:sz="4" w:space="0" w:color="auto"/>
              <w:left w:val="nil"/>
              <w:bottom w:val="single" w:sz="4" w:space="0" w:color="auto"/>
              <w:right w:val="single" w:sz="4" w:space="0" w:color="auto"/>
            </w:tcBorders>
            <w:shd w:val="clear" w:color="auto" w:fill="C6EFCE"/>
          </w:tcPr>
          <w:p w14:paraId="1E786A25" w14:textId="77777777" w:rsidR="00553430" w:rsidRDefault="00553430">
            <w:pPr>
              <w:spacing w:line="240" w:lineRule="auto"/>
              <w:jc w:val="center"/>
              <w:rPr>
                <w:rFonts w:ascii="Times New Roman" w:eastAsia="Calibri" w:hAnsi="Times New Roman" w:cs="Times New Roman"/>
                <w:noProof/>
                <w:color w:val="000000"/>
                <w:sz w:val="20"/>
                <w:szCs w:val="20"/>
              </w:rPr>
            </w:pPr>
          </w:p>
        </w:tc>
        <w:tc>
          <w:tcPr>
            <w:tcW w:w="1056" w:type="dxa"/>
            <w:tcBorders>
              <w:top w:val="single" w:sz="4" w:space="0" w:color="auto"/>
              <w:left w:val="nil"/>
              <w:bottom w:val="single" w:sz="4" w:space="0" w:color="auto"/>
              <w:right w:val="single" w:sz="4" w:space="0" w:color="auto"/>
            </w:tcBorders>
            <w:shd w:val="clear" w:color="auto" w:fill="C6EFCE"/>
          </w:tcPr>
          <w:p w14:paraId="0C8CD7A0" w14:textId="77777777" w:rsidR="00553430" w:rsidRDefault="00553430">
            <w:pPr>
              <w:spacing w:line="240" w:lineRule="auto"/>
              <w:jc w:val="center"/>
              <w:rPr>
                <w:rFonts w:ascii="Times New Roman" w:eastAsia="Calibri" w:hAnsi="Times New Roman" w:cs="Times New Roman"/>
                <w:noProof/>
                <w:color w:val="000000"/>
                <w:sz w:val="20"/>
                <w:szCs w:val="20"/>
              </w:rPr>
            </w:pPr>
          </w:p>
        </w:tc>
        <w:tc>
          <w:tcPr>
            <w:tcW w:w="756" w:type="dxa"/>
            <w:tcBorders>
              <w:top w:val="single" w:sz="4" w:space="0" w:color="auto"/>
              <w:left w:val="nil"/>
              <w:bottom w:val="single" w:sz="4" w:space="0" w:color="auto"/>
              <w:right w:val="single" w:sz="4" w:space="0" w:color="auto"/>
            </w:tcBorders>
            <w:shd w:val="clear" w:color="auto" w:fill="C6EFCE"/>
          </w:tcPr>
          <w:p w14:paraId="1238C1DC" w14:textId="77777777" w:rsidR="00553430" w:rsidRDefault="00212577">
            <w:pPr>
              <w:pStyle w:val="P68B1DB1-Normal66"/>
              <w:spacing w:line="240"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tcPr>
          <w:p w14:paraId="2671D942" w14:textId="77777777" w:rsidR="00553430" w:rsidRDefault="00212577">
            <w:pPr>
              <w:pStyle w:val="P68B1DB1-Normal66"/>
              <w:spacing w:line="240" w:lineRule="auto"/>
              <w:jc w:val="center"/>
              <w:rPr>
                <w:noProof/>
              </w:rPr>
            </w:pPr>
            <w:r>
              <w:rPr>
                <w:noProof/>
              </w:rPr>
              <w:t>2025</w:t>
            </w:r>
          </w:p>
        </w:tc>
        <w:tc>
          <w:tcPr>
            <w:tcW w:w="5528" w:type="dxa"/>
            <w:tcBorders>
              <w:top w:val="single" w:sz="4" w:space="0" w:color="auto"/>
              <w:left w:val="nil"/>
              <w:bottom w:val="single" w:sz="4" w:space="0" w:color="auto"/>
              <w:right w:val="single" w:sz="4" w:space="0" w:color="auto"/>
            </w:tcBorders>
            <w:shd w:val="clear" w:color="auto" w:fill="C6EFCE"/>
          </w:tcPr>
          <w:p w14:paraId="78A885A0" w14:textId="77777777" w:rsidR="00553430" w:rsidRDefault="00212577">
            <w:pPr>
              <w:pStyle w:val="P68B1DB1-Normal76"/>
              <w:spacing w:after="0" w:line="240" w:lineRule="auto"/>
              <w:jc w:val="both"/>
              <w:rPr>
                <w:noProof/>
              </w:rPr>
            </w:pPr>
            <w:r>
              <w:rPr>
                <w:noProof/>
              </w:rPr>
              <w:t>Adoption d'une nouvelle politique d'investissement pour HBOR pour l'utilisation des fonds propres supplémentaires.</w:t>
            </w:r>
          </w:p>
          <w:p w14:paraId="741B445B" w14:textId="77777777" w:rsidR="00553430" w:rsidRDefault="00553430">
            <w:pPr>
              <w:spacing w:after="0" w:line="240" w:lineRule="auto"/>
              <w:jc w:val="both"/>
              <w:rPr>
                <w:rFonts w:ascii="Times New Roman" w:eastAsia="Times New Roman" w:hAnsi="Times New Roman" w:cs="Times New Roman"/>
                <w:noProof/>
                <w:sz w:val="20"/>
                <w:szCs w:val="20"/>
              </w:rPr>
            </w:pPr>
          </w:p>
          <w:p w14:paraId="551A535D" w14:textId="77777777" w:rsidR="00553430" w:rsidRDefault="00212577">
            <w:pPr>
              <w:pStyle w:val="P68B1DB1-Normal76"/>
              <w:spacing w:after="0" w:line="240" w:lineRule="auto"/>
              <w:jc w:val="both"/>
              <w:rPr>
                <w:noProof/>
              </w:rPr>
            </w:pPr>
            <w:r>
              <w:rPr>
                <w:noProof/>
              </w:rPr>
              <w:t xml:space="preserve">La politique d’investissement veille à ce que 74 303 410 EUR des fonds propres supplémentaires soient </w:t>
            </w:r>
            <w:r>
              <w:rPr>
                <w:noProof/>
              </w:rPr>
              <w:t xml:space="preserve">consacrés au soutien des investissements verts stratégiques, alignés sur les domaines d’intervention auxquels est attribué un coefficient climatique de 100 % en vertu de l’annexe VI du règlement (UE) 2021/241, </w:t>
            </w:r>
            <w:bookmarkStart w:id="4" w:name="_Hlk211363584"/>
            <w:r>
              <w:rPr>
                <w:noProof/>
              </w:rPr>
              <w:t>ce qui peut inclure, sans s’y limiter,</w:t>
            </w:r>
            <w:bookmarkEnd w:id="4"/>
            <w:r>
              <w:rPr>
                <w:noProof/>
              </w:rPr>
              <w:t xml:space="preserve"> un sout</w:t>
            </w:r>
            <w:r>
              <w:rPr>
                <w:noProof/>
              </w:rPr>
              <w:t>ien aux nouvelles capacités de:</w:t>
            </w:r>
          </w:p>
          <w:p w14:paraId="6DFCFDCF" w14:textId="77777777" w:rsidR="00553430" w:rsidRDefault="00212577">
            <w:pPr>
              <w:pStyle w:val="P68B1DB1-ListParagraph77"/>
              <w:numPr>
                <w:ilvl w:val="0"/>
                <w:numId w:val="45"/>
              </w:numPr>
              <w:spacing w:after="0" w:line="240" w:lineRule="auto"/>
              <w:ind w:left="335" w:hanging="320"/>
              <w:jc w:val="both"/>
              <w:rPr>
                <w:noProof/>
              </w:rPr>
            </w:pPr>
            <w:r>
              <w:rPr>
                <w:noProof/>
              </w:rPr>
              <w:t>les sources d’énergie éolienne renouvelable installées et connectées au réseau. Les projets hybrides avec stockage d’énergie sont également éligibles.</w:t>
            </w:r>
          </w:p>
          <w:p w14:paraId="1DA1E50A" w14:textId="77777777" w:rsidR="00553430" w:rsidRDefault="00212577">
            <w:pPr>
              <w:pStyle w:val="P68B1DB1-ListParagraph77"/>
              <w:numPr>
                <w:ilvl w:val="0"/>
                <w:numId w:val="45"/>
              </w:numPr>
              <w:spacing w:after="0" w:line="240" w:lineRule="auto"/>
              <w:ind w:left="335" w:hanging="320"/>
              <w:jc w:val="both"/>
              <w:rPr>
                <w:noProof/>
              </w:rPr>
            </w:pPr>
            <w:r>
              <w:rPr>
                <w:noProof/>
              </w:rPr>
              <w:t>les sources d'énergie renouvelables photovoltaïques installées et connect</w:t>
            </w:r>
            <w:r>
              <w:rPr>
                <w:noProof/>
              </w:rPr>
              <w:t>ées au réseau. Les projets hybrides avec stockage d’énergie sont également éligibles.</w:t>
            </w:r>
          </w:p>
          <w:p w14:paraId="66DC6767" w14:textId="77777777" w:rsidR="00553430" w:rsidRDefault="00212577">
            <w:pPr>
              <w:pStyle w:val="P68B1DB1-ListParagraph77"/>
              <w:numPr>
                <w:ilvl w:val="0"/>
                <w:numId w:val="45"/>
              </w:numPr>
              <w:spacing w:after="0" w:line="240" w:lineRule="auto"/>
              <w:ind w:left="335" w:hanging="320"/>
              <w:jc w:val="both"/>
              <w:rPr>
                <w:noProof/>
              </w:rPr>
            </w:pPr>
            <w:r>
              <w:rPr>
                <w:noProof/>
              </w:rPr>
              <w:t>les sources d’énergie renouvelables installées et raccordées au réseau (à l’exclusion de l’énergie éolienne photovoltaïque, mais y compris l’énergie géothermique). Dans l</w:t>
            </w:r>
            <w:r>
              <w:rPr>
                <w:noProof/>
              </w:rPr>
              <w:t>e cas de l'énergie géothermique, le forage n'inclut pas l'exploration ou l'extraction de pétrole ou de gaz. Aucun équipement n'est acheté ou utilisé à de telles fins. Il convient de veiller à ce que les rejets de méthane soient réduits au minimum et resten</w:t>
            </w:r>
            <w:r>
              <w:rPr>
                <w:noProof/>
              </w:rPr>
              <w:t>t bien en deçà du seuil de 20 000 tonnes équivalent CO2/an. Il convient également de veiller à ce que le forage géothermique n’ait pas d’incidence néfaste sur la rareté et la qualité de l’eau.</w:t>
            </w:r>
          </w:p>
          <w:p w14:paraId="3077D228" w14:textId="77777777" w:rsidR="00553430" w:rsidRDefault="00553430">
            <w:pPr>
              <w:spacing w:after="0" w:line="240" w:lineRule="auto"/>
              <w:jc w:val="both"/>
              <w:rPr>
                <w:rFonts w:ascii="Times New Roman" w:eastAsia="Times New Roman" w:hAnsi="Times New Roman" w:cs="Times New Roman"/>
                <w:noProof/>
                <w:sz w:val="20"/>
                <w:szCs w:val="20"/>
              </w:rPr>
            </w:pPr>
          </w:p>
          <w:p w14:paraId="7FC6060B" w14:textId="43404845" w:rsidR="00553430" w:rsidRDefault="00212577">
            <w:pPr>
              <w:pStyle w:val="P68B1DB1-Normal76"/>
              <w:spacing w:after="0" w:line="240" w:lineRule="auto"/>
              <w:jc w:val="both"/>
              <w:rPr>
                <w:rFonts w:eastAsia="Calibri"/>
                <w:noProof/>
                <w:color w:val="000000"/>
              </w:rPr>
            </w:pPr>
            <w:r>
              <w:rPr>
                <w:noProof/>
              </w:rPr>
              <w:t xml:space="preserve">La politique d’investissement veille à ce que 203 094 958 EUR </w:t>
            </w:r>
            <w:r>
              <w:rPr>
                <w:noProof/>
              </w:rPr>
              <w:t>des fonds propres supplémentaires soient consacrés au soutien des investissements numériques stratégiques, alignés sur les domaines d’intervention auxquels un coefficient numérique de 100 % a été attribué en vertu de l’annexe VI du règlement (UE) 2021/241,</w:t>
            </w:r>
            <w:r>
              <w:rPr>
                <w:noProof/>
              </w:rPr>
              <w:t xml:space="preserve"> ce qui peut inclure, sans s’y limiter, un soutien à la numérisation des entreprises, y compris le commerce électronique, les affaires électroniques et les processus d’entreprise en réseau, les pôles d’innovation numérique, les laboratoires vivants, les en</w:t>
            </w:r>
            <w:r>
              <w:rPr>
                <w:noProof/>
              </w:rPr>
              <w:t>trepreneurs web et les jeunes entreprises du secteur des TIC, B2B.</w:t>
            </w:r>
          </w:p>
        </w:tc>
      </w:tr>
      <w:tr w:rsidR="00553430" w14:paraId="4E5078A2"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1BAE51CC" w14:textId="77777777" w:rsidR="00553430" w:rsidRDefault="00212577">
            <w:pPr>
              <w:pStyle w:val="P68B1DB1-Normal66"/>
              <w:spacing w:line="240" w:lineRule="auto"/>
              <w:rPr>
                <w:noProof/>
              </w:rPr>
            </w:pPr>
            <w:r>
              <w:rPr>
                <w:noProof/>
              </w:rPr>
              <w:t>445</w:t>
            </w:r>
          </w:p>
        </w:tc>
        <w:tc>
          <w:tcPr>
            <w:tcW w:w="1205" w:type="dxa"/>
            <w:tcBorders>
              <w:top w:val="single" w:sz="4" w:space="0" w:color="auto"/>
              <w:left w:val="nil"/>
              <w:bottom w:val="single" w:sz="4" w:space="0" w:color="auto"/>
              <w:right w:val="single" w:sz="4" w:space="0" w:color="auto"/>
            </w:tcBorders>
            <w:shd w:val="clear" w:color="auto" w:fill="C6EFCE"/>
          </w:tcPr>
          <w:p w14:paraId="0984B2E3" w14:textId="77777777" w:rsidR="00553430" w:rsidRDefault="00212577">
            <w:pPr>
              <w:pStyle w:val="P68B1DB1-Normal66"/>
              <w:spacing w:line="240" w:lineRule="auto"/>
              <w:rPr>
                <w:noProof/>
              </w:rPr>
            </w:pPr>
            <w:r>
              <w:rPr>
                <w:noProof/>
              </w:rPr>
              <w:t>C1.1.1. R4-I5</w:t>
            </w:r>
          </w:p>
        </w:tc>
        <w:tc>
          <w:tcPr>
            <w:tcW w:w="1022" w:type="dxa"/>
            <w:tcBorders>
              <w:top w:val="single" w:sz="4" w:space="0" w:color="auto"/>
              <w:left w:val="nil"/>
              <w:bottom w:val="single" w:sz="4" w:space="0" w:color="auto"/>
              <w:right w:val="single" w:sz="4" w:space="0" w:color="auto"/>
            </w:tcBorders>
            <w:shd w:val="clear" w:color="auto" w:fill="C6EFCE"/>
          </w:tcPr>
          <w:p w14:paraId="42CF75A6" w14:textId="77777777" w:rsidR="00553430" w:rsidRDefault="00212577">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2BE12A36" w14:textId="77777777" w:rsidR="00553430" w:rsidRDefault="00212577">
            <w:pPr>
              <w:pStyle w:val="P68B1DB1-Normal66"/>
              <w:spacing w:line="240" w:lineRule="auto"/>
              <w:rPr>
                <w:noProof/>
              </w:rPr>
            </w:pPr>
            <w:r>
              <w:rPr>
                <w:noProof/>
              </w:rPr>
              <w:t>Injection de fonds propres pour les investissements numériques stratégiques et les investissements verts stratégiques</w:t>
            </w:r>
          </w:p>
        </w:tc>
        <w:tc>
          <w:tcPr>
            <w:tcW w:w="1555" w:type="dxa"/>
            <w:tcBorders>
              <w:top w:val="single" w:sz="4" w:space="0" w:color="auto"/>
              <w:left w:val="nil"/>
              <w:bottom w:val="single" w:sz="4" w:space="0" w:color="auto"/>
              <w:right w:val="single" w:sz="4" w:space="0" w:color="auto"/>
            </w:tcBorders>
            <w:shd w:val="clear" w:color="auto" w:fill="C6EFCE"/>
          </w:tcPr>
          <w:p w14:paraId="781D2956" w14:textId="77777777" w:rsidR="00553430" w:rsidRDefault="00212577">
            <w:pPr>
              <w:pStyle w:val="P68B1DB1-Normal66"/>
              <w:spacing w:line="240" w:lineRule="auto"/>
              <w:rPr>
                <w:noProof/>
              </w:rPr>
            </w:pPr>
            <w:r>
              <w:rPr>
                <w:noProof/>
              </w:rPr>
              <w:t xml:space="preserve">Certificat de transfert </w:t>
            </w:r>
          </w:p>
        </w:tc>
        <w:tc>
          <w:tcPr>
            <w:tcW w:w="1067" w:type="dxa"/>
            <w:tcBorders>
              <w:top w:val="single" w:sz="4" w:space="0" w:color="auto"/>
              <w:left w:val="nil"/>
              <w:bottom w:val="single" w:sz="4" w:space="0" w:color="auto"/>
              <w:right w:val="single" w:sz="4" w:space="0" w:color="auto"/>
            </w:tcBorders>
            <w:shd w:val="clear" w:color="auto" w:fill="C6EFCE"/>
          </w:tcPr>
          <w:p w14:paraId="11C7D2A3" w14:textId="77777777" w:rsidR="00553430" w:rsidRDefault="00553430">
            <w:pPr>
              <w:spacing w:line="240" w:lineRule="auto"/>
              <w:jc w:val="center"/>
              <w:rPr>
                <w:rFonts w:ascii="Times New Roman" w:eastAsia="Calibri" w:hAnsi="Times New Roman" w:cs="Times New Roman"/>
                <w:noProof/>
                <w:color w:val="000000"/>
                <w:sz w:val="20"/>
                <w:szCs w:val="20"/>
              </w:rPr>
            </w:pPr>
          </w:p>
        </w:tc>
        <w:tc>
          <w:tcPr>
            <w:tcW w:w="1056" w:type="dxa"/>
            <w:tcBorders>
              <w:top w:val="single" w:sz="4" w:space="0" w:color="auto"/>
              <w:left w:val="nil"/>
              <w:bottom w:val="single" w:sz="4" w:space="0" w:color="auto"/>
              <w:right w:val="single" w:sz="4" w:space="0" w:color="auto"/>
            </w:tcBorders>
            <w:shd w:val="clear" w:color="auto" w:fill="C6EFCE"/>
          </w:tcPr>
          <w:p w14:paraId="39E87D93" w14:textId="77777777" w:rsidR="00553430" w:rsidRDefault="00553430">
            <w:pPr>
              <w:spacing w:line="240" w:lineRule="auto"/>
              <w:jc w:val="center"/>
              <w:rPr>
                <w:rFonts w:ascii="Times New Roman" w:eastAsia="Calibri" w:hAnsi="Times New Roman" w:cs="Times New Roman"/>
                <w:noProof/>
                <w:color w:val="000000"/>
                <w:sz w:val="20"/>
                <w:szCs w:val="20"/>
              </w:rPr>
            </w:pPr>
          </w:p>
        </w:tc>
        <w:tc>
          <w:tcPr>
            <w:tcW w:w="1056" w:type="dxa"/>
            <w:tcBorders>
              <w:top w:val="single" w:sz="4" w:space="0" w:color="auto"/>
              <w:left w:val="nil"/>
              <w:bottom w:val="single" w:sz="4" w:space="0" w:color="auto"/>
              <w:right w:val="single" w:sz="4" w:space="0" w:color="auto"/>
            </w:tcBorders>
            <w:shd w:val="clear" w:color="auto" w:fill="C6EFCE"/>
          </w:tcPr>
          <w:p w14:paraId="27263962" w14:textId="77777777" w:rsidR="00553430" w:rsidRDefault="00553430">
            <w:pPr>
              <w:spacing w:line="240" w:lineRule="auto"/>
              <w:jc w:val="center"/>
              <w:rPr>
                <w:rFonts w:ascii="Times New Roman" w:eastAsia="Calibri" w:hAnsi="Times New Roman" w:cs="Times New Roman"/>
                <w:noProof/>
                <w:color w:val="000000"/>
                <w:sz w:val="20"/>
                <w:szCs w:val="20"/>
              </w:rPr>
            </w:pPr>
          </w:p>
        </w:tc>
        <w:tc>
          <w:tcPr>
            <w:tcW w:w="756" w:type="dxa"/>
            <w:tcBorders>
              <w:top w:val="single" w:sz="4" w:space="0" w:color="auto"/>
              <w:left w:val="nil"/>
              <w:bottom w:val="single" w:sz="4" w:space="0" w:color="auto"/>
              <w:right w:val="single" w:sz="4" w:space="0" w:color="auto"/>
            </w:tcBorders>
            <w:shd w:val="clear" w:color="auto" w:fill="C6EFCE"/>
          </w:tcPr>
          <w:p w14:paraId="00743B4C" w14:textId="77777777" w:rsidR="00553430" w:rsidRDefault="00212577">
            <w:pPr>
              <w:pStyle w:val="P68B1DB1-Normal66"/>
              <w:spacing w:line="240" w:lineRule="auto"/>
              <w:jc w:val="center"/>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tcPr>
          <w:p w14:paraId="06138C28" w14:textId="77777777" w:rsidR="00553430" w:rsidRDefault="00212577">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36F4A131" w14:textId="23EC70EE" w:rsidR="00553430" w:rsidRDefault="00212577">
            <w:pPr>
              <w:pStyle w:val="P68B1DB1-Normal66"/>
              <w:spacing w:line="240" w:lineRule="auto"/>
              <w:rPr>
                <w:noProof/>
              </w:rPr>
            </w:pPr>
            <w:r>
              <w:rPr>
                <w:noProof/>
              </w:rPr>
              <w:t xml:space="preserve">La Croatie </w:t>
            </w:r>
            <w:r>
              <w:rPr>
                <w:noProof/>
              </w:rPr>
              <w:t>transfère 277 398 368 EUR au HBOR pour augmenter ses fonds propres.</w:t>
            </w:r>
          </w:p>
          <w:p w14:paraId="61D89EC9" w14:textId="77777777" w:rsidR="00553430" w:rsidRDefault="00212577">
            <w:pPr>
              <w:pStyle w:val="P68B1DB1-Normal66"/>
              <w:spacing w:line="240" w:lineRule="auto"/>
              <w:rPr>
                <w:noProof/>
              </w:rPr>
            </w:pPr>
            <w:r>
              <w:rPr>
                <w:noProof/>
              </w:rPr>
              <w:t>Au-delà de l’injection de fonds propres dans le HBOR qui constitue l’investissement au titre de la FRR, la Croatie transmet un rapport décrivant les mesures prises par le HBOR au plus tard</w:t>
            </w:r>
            <w:r>
              <w:rPr>
                <w:noProof/>
              </w:rPr>
              <w:t xml:space="preserve"> le 31 août 2026 pour mettre en œuvre la politique d’investissement, y compris les mesures prises pour la mise en œuvre des produits financiers que les fonds propres supplémentaires devraient initialement soutenir, ainsi que les mesures attendues pour la p</w:t>
            </w:r>
            <w:r>
              <w:rPr>
                <w:noProof/>
              </w:rPr>
              <w:t>oursuite de la mise en œuvre de ces produits.</w:t>
            </w:r>
          </w:p>
        </w:tc>
      </w:tr>
      <w:tr w:rsidR="00553430" w14:paraId="3BBBD837"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0030C31C" w14:textId="77777777" w:rsidR="00553430" w:rsidRDefault="00212577">
            <w:pPr>
              <w:pStyle w:val="P68B1DB1-Normal66"/>
              <w:spacing w:line="240" w:lineRule="auto"/>
              <w:jc w:val="center"/>
              <w:rPr>
                <w:noProof/>
              </w:rPr>
            </w:pPr>
            <w:r>
              <w:rPr>
                <w:noProof/>
              </w:rPr>
              <w:t>23</w:t>
            </w:r>
          </w:p>
        </w:tc>
        <w:tc>
          <w:tcPr>
            <w:tcW w:w="1205" w:type="dxa"/>
            <w:tcBorders>
              <w:top w:val="single" w:sz="4" w:space="0" w:color="auto"/>
              <w:left w:val="nil"/>
              <w:bottom w:val="single" w:sz="4" w:space="0" w:color="auto"/>
              <w:right w:val="single" w:sz="4" w:space="0" w:color="auto"/>
            </w:tcBorders>
            <w:shd w:val="clear" w:color="auto" w:fill="C6EFCE"/>
          </w:tcPr>
          <w:p w14:paraId="69B9BDFE" w14:textId="77777777" w:rsidR="00553430" w:rsidRDefault="00212577">
            <w:pPr>
              <w:pStyle w:val="P68B1DB1-Normal66"/>
              <w:spacing w:line="240" w:lineRule="auto"/>
              <w:rPr>
                <w:noProof/>
              </w:rPr>
            </w:pPr>
            <w:r>
              <w:rPr>
                <w:noProof/>
              </w:rPr>
              <w:t>C1.1.1. R5-I1</w:t>
            </w:r>
          </w:p>
        </w:tc>
        <w:tc>
          <w:tcPr>
            <w:tcW w:w="1022" w:type="dxa"/>
            <w:tcBorders>
              <w:top w:val="single" w:sz="4" w:space="0" w:color="auto"/>
              <w:left w:val="nil"/>
              <w:bottom w:val="single" w:sz="4" w:space="0" w:color="auto"/>
              <w:right w:val="single" w:sz="4" w:space="0" w:color="auto"/>
            </w:tcBorders>
            <w:shd w:val="clear" w:color="auto" w:fill="C6EFCE"/>
          </w:tcPr>
          <w:p w14:paraId="15BABBA7" w14:textId="77777777" w:rsidR="00553430" w:rsidRDefault="00212577">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37BDB9A1" w14:textId="77777777" w:rsidR="00553430" w:rsidRDefault="00212577">
            <w:pPr>
              <w:pStyle w:val="P68B1DB1-Normal66"/>
              <w:spacing w:line="240" w:lineRule="auto"/>
              <w:rPr>
                <w:noProof/>
              </w:rPr>
            </w:pPr>
            <w:r>
              <w:rPr>
                <w:noProof/>
              </w:rPr>
              <w:t xml:space="preserve">Création d'un instrument de financement en fonds propres et quasi-fonds propres (PE) </w:t>
            </w:r>
          </w:p>
        </w:tc>
        <w:tc>
          <w:tcPr>
            <w:tcW w:w="1555" w:type="dxa"/>
            <w:tcBorders>
              <w:top w:val="single" w:sz="4" w:space="0" w:color="auto"/>
              <w:left w:val="nil"/>
              <w:bottom w:val="single" w:sz="4" w:space="0" w:color="auto"/>
              <w:right w:val="single" w:sz="4" w:space="0" w:color="auto"/>
            </w:tcBorders>
            <w:shd w:val="clear" w:color="auto" w:fill="C6EFCE"/>
          </w:tcPr>
          <w:p w14:paraId="048725AA" w14:textId="77777777" w:rsidR="00553430" w:rsidRDefault="00212577">
            <w:pPr>
              <w:pStyle w:val="P68B1DB1-Normal66"/>
              <w:spacing w:line="240" w:lineRule="auto"/>
              <w:rPr>
                <w:noProof/>
              </w:rPr>
            </w:pPr>
            <w:r>
              <w:rPr>
                <w:noProof/>
              </w:rPr>
              <w:t xml:space="preserve">l’accord publié entre le ministère compétent (MINGOR ou MINFIN) et HBOR pour les investissements dans les fonds de capital-risque, l’augmentation des fonds de capital-investissement existants développés en coopération avec le FEI et/ou le développement de </w:t>
            </w:r>
            <w:r>
              <w:rPr>
                <w:noProof/>
              </w:rPr>
              <w:t>nouveaux fonds et/ou co-investissements;</w:t>
            </w:r>
          </w:p>
        </w:tc>
        <w:tc>
          <w:tcPr>
            <w:tcW w:w="1067" w:type="dxa"/>
            <w:tcBorders>
              <w:top w:val="single" w:sz="4" w:space="0" w:color="auto"/>
              <w:left w:val="nil"/>
              <w:bottom w:val="single" w:sz="4" w:space="0" w:color="auto"/>
              <w:right w:val="single" w:sz="4" w:space="0" w:color="auto"/>
            </w:tcBorders>
            <w:shd w:val="clear" w:color="auto" w:fill="C6EFCE"/>
          </w:tcPr>
          <w:p w14:paraId="4FBCABDF"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141A5DEF"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52925E15" w14:textId="77777777" w:rsidR="00553430" w:rsidRDefault="00212577">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tcPr>
          <w:p w14:paraId="543037AD" w14:textId="77777777" w:rsidR="00553430" w:rsidRDefault="00212577">
            <w:pPr>
              <w:pStyle w:val="P68B1DB1-Normal66"/>
              <w:spacing w:line="240"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tcPr>
          <w:p w14:paraId="58D4BED7" w14:textId="77777777" w:rsidR="00553430" w:rsidRDefault="00212577">
            <w:pPr>
              <w:pStyle w:val="P68B1DB1-Normal66"/>
              <w:spacing w:line="240" w:lineRule="auto"/>
              <w:jc w:val="center"/>
              <w:rPr>
                <w:noProof/>
              </w:rPr>
            </w:pPr>
            <w:r>
              <w:rPr>
                <w:noProof/>
              </w:rPr>
              <w:t>2022</w:t>
            </w:r>
          </w:p>
        </w:tc>
        <w:tc>
          <w:tcPr>
            <w:tcW w:w="5528" w:type="dxa"/>
            <w:tcBorders>
              <w:top w:val="single" w:sz="4" w:space="0" w:color="auto"/>
              <w:left w:val="nil"/>
              <w:bottom w:val="single" w:sz="4" w:space="0" w:color="auto"/>
              <w:right w:val="single" w:sz="4" w:space="0" w:color="auto"/>
            </w:tcBorders>
            <w:shd w:val="clear" w:color="auto" w:fill="C6EFCE"/>
          </w:tcPr>
          <w:p w14:paraId="74AA1385" w14:textId="77777777" w:rsidR="00553430" w:rsidRDefault="00212577">
            <w:pPr>
              <w:pStyle w:val="P68B1DB1-Normal66"/>
              <w:spacing w:line="240" w:lineRule="auto"/>
              <w:rPr>
                <w:noProof/>
              </w:rPr>
            </w:pPr>
            <w:r>
              <w:rPr>
                <w:noProof/>
              </w:rPr>
              <w:t>Dans le cadre de la coopération existante avec le Fonds européen d'investissement (FEI), HBOR met en place un instrument financier visant à augmenter ou à atteindre la taille maximale des fonds de capi</w:t>
            </w:r>
            <w:r>
              <w:rPr>
                <w:noProof/>
              </w:rPr>
              <w:t xml:space="preserve">tal-investissement et de capital-risque actifs sur le marché croate et à créer de nouveaux fonds et/ou co-investissements. </w:t>
            </w:r>
            <w:r>
              <w:rPr>
                <w:noProof/>
              </w:rPr>
              <w:br/>
              <w:t>Les fonds de capital-investissement et de capital-risque sont constitués avec la participation de 30 % d'investisseurs privés par ra</w:t>
            </w:r>
            <w:r>
              <w:rPr>
                <w:noProof/>
              </w:rPr>
              <w:t xml:space="preserve">pport à la taille cible du fonds individuel. </w:t>
            </w:r>
            <w:r>
              <w:rPr>
                <w:noProof/>
              </w:rPr>
              <w:br/>
              <w:t>Les instruments financiers garantissent le respect des orientations techniques «Ne pas causer de préjudice important» (2021/C58/01) des bénéficiaires bénéficiant d’un soutien au titre de la présente mesure grâc</w:t>
            </w:r>
            <w:r>
              <w:rPr>
                <w:noProof/>
              </w:rPr>
              <w:t>e à l’utilisation d’une évaluation de la durabilité, à l’exigence de conformité avec la législation environnementale pertinente de l’UE et nationale et à l’obligation pour les bénéficiaires qui ont tiré plus de 10 % de leurs recettes au cours de l’exercice</w:t>
            </w:r>
            <w:r>
              <w:rPr>
                <w:noProof/>
              </w:rPr>
              <w:t xml:space="preserve"> précédent d’activités ou d’actifs figurant sur la liste d’exclusion d’adopter et de publier un plan de transition écologique.</w:t>
            </w:r>
            <w:r>
              <w:rPr>
                <w:noProof/>
              </w:rPr>
              <w:br/>
              <w:t>Cette mesure ne soutient pas les investissements dans les installations relevant du champ d’application du système d’échange de q</w:t>
            </w:r>
            <w:r>
              <w:rPr>
                <w:noProof/>
              </w:rPr>
              <w:t>uotas d’émission de l’UE (SEQE).</w:t>
            </w:r>
            <w:r>
              <w:rPr>
                <w:noProof/>
              </w:rPr>
              <w:br/>
              <w:t>Toutes les activités sont orientées vers des projets «financièrement viables», dont la viabilité financière est déterminée par les sociétés de gestion de fonds conformément aux politiques d’investissement définies par le FE</w:t>
            </w:r>
            <w:r>
              <w:rPr>
                <w:noProof/>
              </w:rPr>
              <w:t>I et HBOR. Lors de la mise en œuvre de l’investissement, HBOR veille à ce que les ressources soient utilisées conformément aux limites décrites dans la description de la mesure ainsi qu’à la liste d’«exclusion» décrite dans l’IF pour les PME, les entrepris</w:t>
            </w:r>
            <w:r>
              <w:rPr>
                <w:noProof/>
              </w:rPr>
              <w:t>es à moyenne capitalisation et les grandes entités.</w:t>
            </w:r>
          </w:p>
        </w:tc>
      </w:tr>
      <w:tr w:rsidR="00553430" w14:paraId="42DA2FBF"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30629C69" w14:textId="77777777" w:rsidR="00553430" w:rsidRDefault="00212577">
            <w:pPr>
              <w:pStyle w:val="P68B1DB1-Normal66"/>
              <w:spacing w:line="240" w:lineRule="auto"/>
              <w:jc w:val="center"/>
              <w:rPr>
                <w:noProof/>
              </w:rPr>
            </w:pPr>
            <w:r>
              <w:rPr>
                <w:noProof/>
              </w:rPr>
              <w:t>24</w:t>
            </w:r>
          </w:p>
        </w:tc>
        <w:tc>
          <w:tcPr>
            <w:tcW w:w="1205" w:type="dxa"/>
            <w:tcBorders>
              <w:top w:val="single" w:sz="4" w:space="0" w:color="auto"/>
              <w:left w:val="nil"/>
              <w:bottom w:val="single" w:sz="4" w:space="0" w:color="auto"/>
              <w:right w:val="single" w:sz="4" w:space="0" w:color="auto"/>
            </w:tcBorders>
            <w:shd w:val="clear" w:color="auto" w:fill="C6EFCE"/>
          </w:tcPr>
          <w:p w14:paraId="5217273C" w14:textId="77777777" w:rsidR="00553430" w:rsidRDefault="00212577">
            <w:pPr>
              <w:pStyle w:val="P68B1DB1-Normal66"/>
              <w:spacing w:line="240" w:lineRule="auto"/>
              <w:rPr>
                <w:noProof/>
              </w:rPr>
            </w:pPr>
            <w:r>
              <w:rPr>
                <w:noProof/>
              </w:rPr>
              <w:t>C1.1.1. R5-I1</w:t>
            </w:r>
          </w:p>
        </w:tc>
        <w:tc>
          <w:tcPr>
            <w:tcW w:w="1022" w:type="dxa"/>
            <w:tcBorders>
              <w:top w:val="single" w:sz="4" w:space="0" w:color="auto"/>
              <w:left w:val="nil"/>
              <w:bottom w:val="single" w:sz="4" w:space="0" w:color="auto"/>
              <w:right w:val="single" w:sz="4" w:space="0" w:color="auto"/>
            </w:tcBorders>
            <w:shd w:val="clear" w:color="auto" w:fill="C6EFCE"/>
          </w:tcPr>
          <w:p w14:paraId="5D490063" w14:textId="77777777" w:rsidR="00553430" w:rsidRDefault="00212577">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54A0BCC4" w14:textId="77777777" w:rsidR="00553430" w:rsidRDefault="00212577">
            <w:pPr>
              <w:pStyle w:val="P68B1DB1-Normal66"/>
              <w:spacing w:line="240" w:lineRule="auto"/>
              <w:rPr>
                <w:noProof/>
              </w:rPr>
            </w:pPr>
            <w:r>
              <w:rPr>
                <w:noProof/>
              </w:rPr>
              <w:t>Investissements dans des instruments de capitaux propres et de quasi-fonds propres</w:t>
            </w:r>
          </w:p>
        </w:tc>
        <w:tc>
          <w:tcPr>
            <w:tcW w:w="1555" w:type="dxa"/>
            <w:tcBorders>
              <w:top w:val="single" w:sz="4" w:space="0" w:color="auto"/>
              <w:left w:val="nil"/>
              <w:bottom w:val="single" w:sz="4" w:space="0" w:color="auto"/>
              <w:right w:val="single" w:sz="4" w:space="0" w:color="auto"/>
            </w:tcBorders>
            <w:shd w:val="clear" w:color="auto" w:fill="C6EFCE"/>
          </w:tcPr>
          <w:p w14:paraId="35768D23" w14:textId="77777777" w:rsidR="00553430" w:rsidRDefault="00212577">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20113AB4" w14:textId="77777777" w:rsidR="00553430" w:rsidRDefault="00212577">
            <w:pPr>
              <w:pStyle w:val="P68B1DB1-Normal66"/>
              <w:spacing w:line="240" w:lineRule="auto"/>
              <w:jc w:val="center"/>
              <w:rPr>
                <w:noProof/>
              </w:rPr>
            </w:pPr>
            <w:r>
              <w:rPr>
                <w:noProof/>
              </w:rPr>
              <w:t>Numéro</w:t>
            </w:r>
          </w:p>
        </w:tc>
        <w:tc>
          <w:tcPr>
            <w:tcW w:w="1056" w:type="dxa"/>
            <w:tcBorders>
              <w:top w:val="single" w:sz="4" w:space="0" w:color="auto"/>
              <w:left w:val="nil"/>
              <w:bottom w:val="single" w:sz="4" w:space="0" w:color="auto"/>
              <w:right w:val="single" w:sz="4" w:space="0" w:color="auto"/>
            </w:tcBorders>
            <w:shd w:val="clear" w:color="auto" w:fill="C6EFCE"/>
          </w:tcPr>
          <w:p w14:paraId="5005CDB4" w14:textId="77777777" w:rsidR="00553430" w:rsidRDefault="00212577">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09B142B8" w14:textId="77777777" w:rsidR="00553430" w:rsidRDefault="00212577">
            <w:pPr>
              <w:pStyle w:val="P68B1DB1-Normal66"/>
              <w:spacing w:line="240" w:lineRule="auto"/>
              <w:jc w:val="center"/>
              <w:rPr>
                <w:noProof/>
              </w:rPr>
            </w:pPr>
            <w:r>
              <w:rPr>
                <w:noProof/>
              </w:rPr>
              <w:t xml:space="preserve">29 862 632 </w:t>
            </w:r>
          </w:p>
        </w:tc>
        <w:tc>
          <w:tcPr>
            <w:tcW w:w="756" w:type="dxa"/>
            <w:tcBorders>
              <w:top w:val="single" w:sz="4" w:space="0" w:color="auto"/>
              <w:left w:val="nil"/>
              <w:bottom w:val="single" w:sz="4" w:space="0" w:color="auto"/>
              <w:right w:val="single" w:sz="4" w:space="0" w:color="auto"/>
            </w:tcBorders>
            <w:shd w:val="clear" w:color="auto" w:fill="C6EFCE"/>
          </w:tcPr>
          <w:p w14:paraId="70593587" w14:textId="77777777" w:rsidR="00553430" w:rsidRDefault="00212577">
            <w:pPr>
              <w:pStyle w:val="P68B1DB1-Normal66"/>
              <w:spacing w:line="240" w:lineRule="auto"/>
              <w:jc w:val="center"/>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tcPr>
          <w:p w14:paraId="29676E16" w14:textId="77777777" w:rsidR="00553430" w:rsidRDefault="00212577">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7FF70726" w14:textId="203F5DB7" w:rsidR="00553430" w:rsidRDefault="00212577">
            <w:pPr>
              <w:pStyle w:val="P68B1DB1-Normal66"/>
              <w:spacing w:line="240" w:lineRule="auto"/>
              <w:rPr>
                <w:noProof/>
              </w:rPr>
            </w:pPr>
            <w:r>
              <w:rPr>
                <w:noProof/>
              </w:rPr>
              <w:t xml:space="preserve">HBOR (en co-investissement avec le FEI) a conclu des conventions </w:t>
            </w:r>
            <w:r>
              <w:rPr>
                <w:noProof/>
              </w:rPr>
              <w:t>juridiques de financement avec des fonds de capital-investissement/fonds de capital-risque pour un montant nécessaire à l’utilisation de 100 % de l’investissement de la FRR dans la facilité (en tenant compte des frais de gestion). La Croatie transfère 29 8</w:t>
            </w:r>
            <w:r>
              <w:rPr>
                <w:noProof/>
              </w:rPr>
              <w:t>62 632 EUR à HBOR pour la facilité. </w:t>
            </w:r>
          </w:p>
        </w:tc>
      </w:tr>
      <w:tr w:rsidR="00553430" w14:paraId="72D1D92B"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47667E70" w14:textId="77777777" w:rsidR="00553430" w:rsidRDefault="00212577">
            <w:pPr>
              <w:pStyle w:val="P68B1DB1-Normal66"/>
              <w:spacing w:line="240" w:lineRule="auto"/>
              <w:jc w:val="center"/>
              <w:rPr>
                <w:noProof/>
              </w:rPr>
            </w:pPr>
            <w:r>
              <w:rPr>
                <w:noProof/>
              </w:rPr>
              <w:t>25</w:t>
            </w:r>
          </w:p>
        </w:tc>
        <w:tc>
          <w:tcPr>
            <w:tcW w:w="1205" w:type="dxa"/>
            <w:tcBorders>
              <w:top w:val="single" w:sz="4" w:space="0" w:color="auto"/>
              <w:left w:val="nil"/>
              <w:bottom w:val="single" w:sz="4" w:space="0" w:color="auto"/>
              <w:right w:val="single" w:sz="4" w:space="0" w:color="auto"/>
            </w:tcBorders>
            <w:shd w:val="clear" w:color="auto" w:fill="C6EFCE"/>
          </w:tcPr>
          <w:p w14:paraId="420D768A" w14:textId="77777777" w:rsidR="00553430" w:rsidRDefault="00212577">
            <w:pPr>
              <w:pStyle w:val="P68B1DB1-Normal66"/>
              <w:spacing w:line="240" w:lineRule="auto"/>
              <w:rPr>
                <w:noProof/>
              </w:rPr>
            </w:pPr>
            <w:r>
              <w:rPr>
                <w:noProof/>
              </w:rPr>
              <w:t>C1.1.1. R6</w:t>
            </w:r>
          </w:p>
        </w:tc>
        <w:tc>
          <w:tcPr>
            <w:tcW w:w="1022" w:type="dxa"/>
            <w:tcBorders>
              <w:top w:val="single" w:sz="4" w:space="0" w:color="auto"/>
              <w:left w:val="nil"/>
              <w:bottom w:val="single" w:sz="4" w:space="0" w:color="auto"/>
              <w:right w:val="single" w:sz="4" w:space="0" w:color="auto"/>
            </w:tcBorders>
            <w:shd w:val="clear" w:color="auto" w:fill="C6EFCE"/>
          </w:tcPr>
          <w:p w14:paraId="19895C89" w14:textId="77777777" w:rsidR="00553430" w:rsidRDefault="00212577">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45AFA36D" w14:textId="77777777" w:rsidR="00553430" w:rsidRDefault="00212577">
            <w:pPr>
              <w:pStyle w:val="P68B1DB1-Normal66"/>
              <w:spacing w:line="240" w:lineRule="auto"/>
              <w:rPr>
                <w:noProof/>
              </w:rPr>
            </w:pPr>
            <w:r>
              <w:rPr>
                <w:noProof/>
              </w:rPr>
              <w:t>Modifications du cadre juridique</w:t>
            </w:r>
          </w:p>
        </w:tc>
        <w:tc>
          <w:tcPr>
            <w:tcW w:w="1555" w:type="dxa"/>
            <w:tcBorders>
              <w:top w:val="single" w:sz="4" w:space="0" w:color="auto"/>
              <w:left w:val="nil"/>
              <w:bottom w:val="single" w:sz="4" w:space="0" w:color="auto"/>
              <w:right w:val="single" w:sz="4" w:space="0" w:color="auto"/>
            </w:tcBorders>
            <w:shd w:val="clear" w:color="auto" w:fill="C6EFCE"/>
          </w:tcPr>
          <w:p w14:paraId="7E1D5427" w14:textId="3952405D" w:rsidR="00553430" w:rsidRDefault="00212577">
            <w:pPr>
              <w:pStyle w:val="P68B1DB1-Normal66"/>
              <w:spacing w:line="240" w:lineRule="auto"/>
              <w:rPr>
                <w:noProof/>
              </w:rPr>
            </w:pPr>
            <w:r>
              <w:rPr>
                <w:noProof/>
              </w:rPr>
              <w:t xml:space="preserve">Entrée en vigueur de la loi sur les médias électroniques et de la loi sur le droit d’auteur et les droits voisins                      </w:t>
            </w:r>
          </w:p>
        </w:tc>
        <w:tc>
          <w:tcPr>
            <w:tcW w:w="1067" w:type="dxa"/>
            <w:tcBorders>
              <w:top w:val="single" w:sz="4" w:space="0" w:color="auto"/>
              <w:left w:val="nil"/>
              <w:bottom w:val="single" w:sz="4" w:space="0" w:color="auto"/>
              <w:right w:val="single" w:sz="4" w:space="0" w:color="auto"/>
            </w:tcBorders>
            <w:shd w:val="clear" w:color="auto" w:fill="C6EFCE"/>
          </w:tcPr>
          <w:p w14:paraId="463247EA"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11FDBDA4"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4E610A0E" w14:textId="77777777" w:rsidR="00553430" w:rsidRDefault="00212577">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tcPr>
          <w:p w14:paraId="7BCB8DE1" w14:textId="77777777" w:rsidR="00553430" w:rsidRDefault="00212577">
            <w:pPr>
              <w:pStyle w:val="P68B1DB1-Normal66"/>
              <w:spacing w:line="240" w:lineRule="auto"/>
              <w:jc w:val="center"/>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tcPr>
          <w:p w14:paraId="4B0EE5ED" w14:textId="77777777" w:rsidR="00553430" w:rsidRDefault="00212577">
            <w:pPr>
              <w:pStyle w:val="P68B1DB1-Normal66"/>
              <w:spacing w:line="240" w:lineRule="auto"/>
              <w:jc w:val="center"/>
              <w:rPr>
                <w:noProof/>
              </w:rPr>
            </w:pPr>
            <w:r>
              <w:rPr>
                <w:noProof/>
              </w:rPr>
              <w:t>2022</w:t>
            </w:r>
          </w:p>
        </w:tc>
        <w:tc>
          <w:tcPr>
            <w:tcW w:w="5528" w:type="dxa"/>
            <w:tcBorders>
              <w:top w:val="single" w:sz="4" w:space="0" w:color="auto"/>
              <w:left w:val="nil"/>
              <w:bottom w:val="single" w:sz="4" w:space="0" w:color="auto"/>
              <w:right w:val="single" w:sz="4" w:space="0" w:color="auto"/>
            </w:tcBorders>
            <w:shd w:val="clear" w:color="auto" w:fill="C6EFCE"/>
          </w:tcPr>
          <w:p w14:paraId="1597923D" w14:textId="77777777" w:rsidR="00553430" w:rsidRDefault="00212577">
            <w:pPr>
              <w:pStyle w:val="P68B1DB1-Normal66"/>
              <w:spacing w:line="240" w:lineRule="auto"/>
              <w:rPr>
                <w:noProof/>
              </w:rPr>
            </w:pPr>
            <w:r>
              <w:rPr>
                <w:noProof/>
              </w:rPr>
              <w:t xml:space="preserve">Les modifications </w:t>
            </w:r>
            <w:r>
              <w:rPr>
                <w:noProof/>
              </w:rPr>
              <w:t>apportées à la loi sur les médias électroniques et à la loi sur le droit d’auteur et les droits connexes aideront les entreprises des secteurs de la culture et de la création à adapter leurs activités au marché unique numérique et au nouveau cadre réglemen</w:t>
            </w:r>
            <w:r>
              <w:rPr>
                <w:noProof/>
              </w:rPr>
              <w:t xml:space="preserve">taire de l’UE et de la Croatie, à renforcer la capacité d’adaptation et de transformation rapide en de nouvelles conditions commerciales, à atteindre la compétitivité et à exploiter le potentiel du marché. </w:t>
            </w:r>
          </w:p>
        </w:tc>
      </w:tr>
      <w:tr w:rsidR="00553430" w14:paraId="4075864B"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77852A7F" w14:textId="77777777" w:rsidR="00553430" w:rsidRDefault="00212577">
            <w:pPr>
              <w:pStyle w:val="P68B1DB1-Normal66"/>
              <w:spacing w:line="240" w:lineRule="auto"/>
              <w:jc w:val="center"/>
              <w:rPr>
                <w:noProof/>
              </w:rPr>
            </w:pPr>
            <w:r>
              <w:rPr>
                <w:noProof/>
              </w:rPr>
              <w:t>26</w:t>
            </w:r>
          </w:p>
        </w:tc>
        <w:tc>
          <w:tcPr>
            <w:tcW w:w="1205" w:type="dxa"/>
            <w:tcBorders>
              <w:top w:val="single" w:sz="4" w:space="0" w:color="auto"/>
              <w:left w:val="nil"/>
              <w:bottom w:val="single" w:sz="4" w:space="0" w:color="auto"/>
              <w:right w:val="single" w:sz="4" w:space="0" w:color="auto"/>
            </w:tcBorders>
            <w:shd w:val="clear" w:color="auto" w:fill="C6EFCE"/>
          </w:tcPr>
          <w:p w14:paraId="4ABC4F49" w14:textId="77777777" w:rsidR="00553430" w:rsidRDefault="00212577">
            <w:pPr>
              <w:pStyle w:val="P68B1DB1-Normal66"/>
              <w:spacing w:line="240" w:lineRule="auto"/>
              <w:rPr>
                <w:noProof/>
              </w:rPr>
            </w:pPr>
            <w:r>
              <w:rPr>
                <w:noProof/>
              </w:rPr>
              <w:t>C1.1.1. R6-I1</w:t>
            </w:r>
          </w:p>
        </w:tc>
        <w:tc>
          <w:tcPr>
            <w:tcW w:w="1022" w:type="dxa"/>
            <w:tcBorders>
              <w:top w:val="single" w:sz="4" w:space="0" w:color="auto"/>
              <w:left w:val="nil"/>
              <w:bottom w:val="single" w:sz="4" w:space="0" w:color="auto"/>
              <w:right w:val="single" w:sz="4" w:space="0" w:color="auto"/>
            </w:tcBorders>
            <w:shd w:val="clear" w:color="auto" w:fill="C6EFCE"/>
          </w:tcPr>
          <w:p w14:paraId="353A74D1" w14:textId="77777777" w:rsidR="00553430" w:rsidRDefault="00212577">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1EA052D7" w14:textId="77777777" w:rsidR="00553430" w:rsidRDefault="00212577">
            <w:pPr>
              <w:pStyle w:val="P68B1DB1-Normal66"/>
              <w:spacing w:line="240" w:lineRule="auto"/>
              <w:rPr>
                <w:noProof/>
              </w:rPr>
            </w:pPr>
            <w:r>
              <w:rPr>
                <w:noProof/>
              </w:rPr>
              <w:t xml:space="preserve">Investissements dans la transformation et la compétitivité des industries culturelles et créatives </w:t>
            </w:r>
          </w:p>
        </w:tc>
        <w:tc>
          <w:tcPr>
            <w:tcW w:w="1555" w:type="dxa"/>
            <w:tcBorders>
              <w:top w:val="single" w:sz="4" w:space="0" w:color="auto"/>
              <w:left w:val="nil"/>
              <w:bottom w:val="single" w:sz="4" w:space="0" w:color="auto"/>
              <w:right w:val="single" w:sz="4" w:space="0" w:color="auto"/>
            </w:tcBorders>
            <w:shd w:val="clear" w:color="auto" w:fill="C6EFCE"/>
          </w:tcPr>
          <w:p w14:paraId="0796BE94" w14:textId="77777777" w:rsidR="00553430" w:rsidRDefault="00212577">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3D19D748" w14:textId="77777777" w:rsidR="00553430" w:rsidRDefault="00212577">
            <w:pPr>
              <w:pStyle w:val="P68B1DB1-Normal66"/>
              <w:spacing w:line="240" w:lineRule="auto"/>
              <w:jc w:val="center"/>
              <w:rPr>
                <w:noProof/>
              </w:rPr>
            </w:pPr>
            <w:r>
              <w:rPr>
                <w:noProof/>
              </w:rPr>
              <w:t>Numéro</w:t>
            </w:r>
          </w:p>
        </w:tc>
        <w:tc>
          <w:tcPr>
            <w:tcW w:w="1056" w:type="dxa"/>
            <w:tcBorders>
              <w:top w:val="single" w:sz="4" w:space="0" w:color="auto"/>
              <w:left w:val="nil"/>
              <w:bottom w:val="single" w:sz="4" w:space="0" w:color="auto"/>
              <w:right w:val="single" w:sz="4" w:space="0" w:color="auto"/>
            </w:tcBorders>
            <w:shd w:val="clear" w:color="auto" w:fill="C6EFCE"/>
          </w:tcPr>
          <w:p w14:paraId="2364C2BE" w14:textId="77777777" w:rsidR="00553430" w:rsidRDefault="00212577">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6B8FC7D7" w14:textId="77777777" w:rsidR="00553430" w:rsidRDefault="00212577">
            <w:pPr>
              <w:pStyle w:val="P68B1DB1-Normal66"/>
              <w:spacing w:line="240" w:lineRule="auto"/>
              <w:jc w:val="center"/>
              <w:rPr>
                <w:noProof/>
              </w:rPr>
            </w:pPr>
            <w:r>
              <w:rPr>
                <w:noProof/>
              </w:rPr>
              <w:t>100</w:t>
            </w:r>
          </w:p>
        </w:tc>
        <w:tc>
          <w:tcPr>
            <w:tcW w:w="756" w:type="dxa"/>
            <w:tcBorders>
              <w:top w:val="single" w:sz="4" w:space="0" w:color="auto"/>
              <w:left w:val="nil"/>
              <w:bottom w:val="single" w:sz="4" w:space="0" w:color="auto"/>
              <w:right w:val="single" w:sz="4" w:space="0" w:color="auto"/>
            </w:tcBorders>
            <w:shd w:val="clear" w:color="auto" w:fill="C6EFCE"/>
          </w:tcPr>
          <w:p w14:paraId="05F274A0" w14:textId="77777777" w:rsidR="00553430" w:rsidRDefault="00212577">
            <w:pPr>
              <w:pStyle w:val="P68B1DB1-Normal66"/>
              <w:spacing w:line="240" w:lineRule="auto"/>
              <w:jc w:val="center"/>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tcPr>
          <w:p w14:paraId="4170D8CB" w14:textId="77777777" w:rsidR="00553430" w:rsidRDefault="00212577">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2139C634" w14:textId="77777777" w:rsidR="00553430" w:rsidRDefault="00212577">
            <w:pPr>
              <w:pStyle w:val="P68B1DB1-Normal66"/>
              <w:spacing w:line="240" w:lineRule="auto"/>
              <w:rPr>
                <w:noProof/>
              </w:rPr>
            </w:pPr>
            <w:r>
              <w:rPr>
                <w:noProof/>
              </w:rPr>
              <w:t>Au moins 100 mesures de soutien accordées aux micro, petites et moyennes entreprises et à d’autres personnes physiques et morales dan</w:t>
            </w:r>
            <w:r>
              <w:rPr>
                <w:noProof/>
              </w:rPr>
              <w:t>s le domaine des industries culturelles et créatives afin de renforcer leur capacité à s’adapter au nouveau cadre réglementaire et législatif du marché unique numérique et à créer, promouvoir et distribuer de nouveaux produits et services innovants.</w:t>
            </w:r>
          </w:p>
        </w:tc>
      </w:tr>
      <w:tr w:rsidR="00553430" w14:paraId="2356F4B1"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77ADB712" w14:textId="77777777" w:rsidR="00553430" w:rsidRDefault="00212577">
            <w:pPr>
              <w:pStyle w:val="P68B1DB1-Normal66"/>
              <w:spacing w:line="240" w:lineRule="auto"/>
              <w:jc w:val="center"/>
              <w:rPr>
                <w:noProof/>
              </w:rPr>
            </w:pPr>
            <w:r>
              <w:rPr>
                <w:noProof/>
              </w:rPr>
              <w:t>27</w:t>
            </w:r>
          </w:p>
        </w:tc>
        <w:tc>
          <w:tcPr>
            <w:tcW w:w="1205" w:type="dxa"/>
            <w:tcBorders>
              <w:top w:val="single" w:sz="4" w:space="0" w:color="auto"/>
              <w:left w:val="nil"/>
              <w:bottom w:val="single" w:sz="4" w:space="0" w:color="auto"/>
              <w:right w:val="single" w:sz="4" w:space="0" w:color="auto"/>
            </w:tcBorders>
            <w:shd w:val="clear" w:color="auto" w:fill="C6EFCE"/>
          </w:tcPr>
          <w:p w14:paraId="5E5526D9" w14:textId="77777777" w:rsidR="00553430" w:rsidRDefault="00212577">
            <w:pPr>
              <w:pStyle w:val="P68B1DB1-Normal66"/>
              <w:spacing w:line="240" w:lineRule="auto"/>
              <w:rPr>
                <w:noProof/>
              </w:rPr>
            </w:pPr>
            <w:r>
              <w:rPr>
                <w:noProof/>
              </w:rPr>
              <w:t>C1.1.1. R6-I2</w:t>
            </w:r>
          </w:p>
        </w:tc>
        <w:tc>
          <w:tcPr>
            <w:tcW w:w="1022" w:type="dxa"/>
            <w:tcBorders>
              <w:top w:val="single" w:sz="4" w:space="0" w:color="auto"/>
              <w:left w:val="nil"/>
              <w:bottom w:val="single" w:sz="4" w:space="0" w:color="auto"/>
              <w:right w:val="single" w:sz="4" w:space="0" w:color="auto"/>
            </w:tcBorders>
            <w:shd w:val="clear" w:color="auto" w:fill="C6EFCE"/>
          </w:tcPr>
          <w:p w14:paraId="03C02FAC" w14:textId="77777777" w:rsidR="00553430" w:rsidRDefault="00212577">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7EF18EFB" w14:textId="77777777" w:rsidR="00553430" w:rsidRDefault="00212577">
            <w:pPr>
              <w:pStyle w:val="P68B1DB1-Normal66"/>
              <w:spacing w:line="240" w:lineRule="auto"/>
              <w:rPr>
                <w:noProof/>
              </w:rPr>
            </w:pPr>
            <w:r>
              <w:rPr>
                <w:noProof/>
              </w:rPr>
              <w:t>Mise en place d'un système de vérification des faits</w:t>
            </w:r>
          </w:p>
        </w:tc>
        <w:tc>
          <w:tcPr>
            <w:tcW w:w="1555" w:type="dxa"/>
            <w:tcBorders>
              <w:top w:val="single" w:sz="4" w:space="0" w:color="auto"/>
              <w:left w:val="nil"/>
              <w:bottom w:val="single" w:sz="4" w:space="0" w:color="auto"/>
              <w:right w:val="single" w:sz="4" w:space="0" w:color="auto"/>
            </w:tcBorders>
            <w:shd w:val="clear" w:color="auto" w:fill="C6EFCE"/>
          </w:tcPr>
          <w:p w14:paraId="1407278D" w14:textId="77777777" w:rsidR="00553430" w:rsidRDefault="00212577">
            <w:pPr>
              <w:pStyle w:val="P68B1DB1-Normal66"/>
              <w:spacing w:line="240" w:lineRule="auto"/>
              <w:rPr>
                <w:noProof/>
              </w:rPr>
            </w:pPr>
            <w:r>
              <w:rPr>
                <w:noProof/>
              </w:rPr>
              <w:t>Système de vérification des faits en place</w:t>
            </w:r>
          </w:p>
        </w:tc>
        <w:tc>
          <w:tcPr>
            <w:tcW w:w="1067" w:type="dxa"/>
            <w:tcBorders>
              <w:top w:val="single" w:sz="4" w:space="0" w:color="auto"/>
              <w:left w:val="nil"/>
              <w:bottom w:val="single" w:sz="4" w:space="0" w:color="auto"/>
              <w:right w:val="single" w:sz="4" w:space="0" w:color="auto"/>
            </w:tcBorders>
            <w:shd w:val="clear" w:color="auto" w:fill="C6EFCE"/>
          </w:tcPr>
          <w:p w14:paraId="71850324"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16D681C1"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3E3C7E63" w14:textId="77777777" w:rsidR="00553430" w:rsidRDefault="00212577">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tcPr>
          <w:p w14:paraId="31C97B6D" w14:textId="77777777" w:rsidR="00553430" w:rsidRDefault="00212577">
            <w:pPr>
              <w:pStyle w:val="P68B1DB1-Normal66"/>
              <w:spacing w:line="240" w:lineRule="auto"/>
              <w:jc w:val="center"/>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tcPr>
          <w:p w14:paraId="1990C7D0" w14:textId="77777777" w:rsidR="00553430" w:rsidRDefault="00212577">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624E276A" w14:textId="0CFAC79E" w:rsidR="00553430" w:rsidRDefault="00212577">
            <w:pPr>
              <w:pStyle w:val="P68B1DB1-Normal66"/>
              <w:spacing w:line="240" w:lineRule="auto"/>
              <w:rPr>
                <w:noProof/>
              </w:rPr>
            </w:pPr>
            <w:r>
              <w:rPr>
                <w:noProof/>
              </w:rPr>
              <w:t xml:space="preserve">L’investissement mis en œuvre par l’Agence des médias électroniques comprend: </w:t>
            </w:r>
          </w:p>
          <w:p w14:paraId="6B4AF7D4" w14:textId="302CD1F6" w:rsidR="00553430" w:rsidRDefault="00212577">
            <w:pPr>
              <w:pStyle w:val="P68B1DB1-ListParagraph78"/>
              <w:numPr>
                <w:ilvl w:val="0"/>
                <w:numId w:val="44"/>
              </w:numPr>
              <w:spacing w:before="120" w:after="120" w:line="240" w:lineRule="auto"/>
              <w:rPr>
                <w:noProof/>
              </w:rPr>
            </w:pPr>
            <w:r>
              <w:rPr>
                <w:noProof/>
              </w:rPr>
              <w:t xml:space="preserve">développer une plateforme centrale de collaboration sur les organismes de vérification des faits, </w:t>
            </w:r>
          </w:p>
          <w:p w14:paraId="3612768E" w14:textId="24A8997C" w:rsidR="00553430" w:rsidRDefault="00212577">
            <w:pPr>
              <w:pStyle w:val="P68B1DB1-ListParagraph78"/>
              <w:numPr>
                <w:ilvl w:val="0"/>
                <w:numId w:val="44"/>
              </w:numPr>
              <w:spacing w:before="120" w:after="120" w:line="240" w:lineRule="auto"/>
              <w:rPr>
                <w:noProof/>
              </w:rPr>
            </w:pPr>
            <w:r>
              <w:rPr>
                <w:noProof/>
              </w:rPr>
              <w:t>la signature de contrats avec des organisations sélectionnées dans le cadre d’un appel public à propositions octroyant des subventions pour des projets de vé</w:t>
            </w:r>
            <w:r>
              <w:rPr>
                <w:noProof/>
              </w:rPr>
              <w:t>rification des faits, et</w:t>
            </w:r>
          </w:p>
          <w:p w14:paraId="7D5AE6D8" w14:textId="69422350" w:rsidR="00553430" w:rsidRDefault="00212577">
            <w:pPr>
              <w:pStyle w:val="P68B1DB1-ListParagraph79"/>
              <w:numPr>
                <w:ilvl w:val="0"/>
                <w:numId w:val="44"/>
              </w:numPr>
              <w:spacing w:before="120" w:after="120" w:line="240" w:lineRule="auto"/>
              <w:rPr>
                <w:rFonts w:ascii="Times New Roman" w:eastAsia="Calibri" w:hAnsi="Times New Roman" w:cs="Times New Roman"/>
                <w:noProof/>
                <w:color w:val="000000"/>
              </w:rPr>
            </w:pPr>
            <w:r>
              <w:rPr>
                <w:rFonts w:ascii="Times New Roman" w:eastAsia="Calibri" w:hAnsi="Times New Roman" w:cs="Times New Roman"/>
                <w:noProof/>
                <w:color w:val="000000" w:themeColor="text1"/>
              </w:rPr>
              <w:t>développer une base de données pour la publication de données exclusives et les sources de financement des entreprises de médias.</w:t>
            </w:r>
            <w:r>
              <w:rPr>
                <w:rFonts w:ascii="Times New Roman" w:hAnsi="Times New Roman" w:cs="Times New Roman"/>
                <w:noProof/>
              </w:rPr>
              <w:br/>
            </w:r>
          </w:p>
        </w:tc>
      </w:tr>
      <w:tr w:rsidR="00553430" w14:paraId="4A86263C"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59F5E678" w14:textId="77777777" w:rsidR="00553430" w:rsidRDefault="00212577">
            <w:pPr>
              <w:pStyle w:val="P68B1DB1-Normal66"/>
              <w:spacing w:line="240" w:lineRule="auto"/>
              <w:jc w:val="center"/>
              <w:rPr>
                <w:noProof/>
              </w:rPr>
            </w:pPr>
            <w:r>
              <w:rPr>
                <w:noProof/>
              </w:rPr>
              <w:t>28</w:t>
            </w:r>
          </w:p>
        </w:tc>
        <w:tc>
          <w:tcPr>
            <w:tcW w:w="1205" w:type="dxa"/>
            <w:tcBorders>
              <w:top w:val="single" w:sz="4" w:space="0" w:color="auto"/>
              <w:left w:val="nil"/>
              <w:bottom w:val="single" w:sz="4" w:space="0" w:color="auto"/>
              <w:right w:val="single" w:sz="4" w:space="0" w:color="auto"/>
            </w:tcBorders>
            <w:shd w:val="clear" w:color="auto" w:fill="C6EFCE"/>
          </w:tcPr>
          <w:p w14:paraId="49975DF6" w14:textId="77777777" w:rsidR="00553430" w:rsidRDefault="00212577">
            <w:pPr>
              <w:pStyle w:val="P68B1DB1-Normal66"/>
              <w:spacing w:line="240" w:lineRule="auto"/>
              <w:rPr>
                <w:noProof/>
              </w:rPr>
            </w:pPr>
            <w:r>
              <w:rPr>
                <w:noProof/>
              </w:rPr>
              <w:t>C1.1.2. R1</w:t>
            </w:r>
          </w:p>
        </w:tc>
        <w:tc>
          <w:tcPr>
            <w:tcW w:w="1022" w:type="dxa"/>
            <w:tcBorders>
              <w:top w:val="single" w:sz="4" w:space="0" w:color="auto"/>
              <w:left w:val="nil"/>
              <w:bottom w:val="single" w:sz="4" w:space="0" w:color="auto"/>
              <w:right w:val="single" w:sz="4" w:space="0" w:color="auto"/>
            </w:tcBorders>
            <w:shd w:val="clear" w:color="auto" w:fill="C6EFCE"/>
          </w:tcPr>
          <w:p w14:paraId="4EFC9470" w14:textId="77777777" w:rsidR="00553430" w:rsidRDefault="00212577">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4AD76002" w14:textId="77777777" w:rsidR="00553430" w:rsidRDefault="00212577">
            <w:pPr>
              <w:pStyle w:val="P68B1DB1-Normal66"/>
              <w:spacing w:line="240" w:lineRule="auto"/>
              <w:rPr>
                <w:noProof/>
              </w:rPr>
            </w:pPr>
            <w:r>
              <w:rPr>
                <w:noProof/>
              </w:rPr>
              <w:t xml:space="preserve">Modification et complément du cadre juridique relatif à l'incitation fiscale en </w:t>
            </w:r>
            <w:r>
              <w:rPr>
                <w:noProof/>
              </w:rPr>
              <w:t>faveur de la R &amp; D</w:t>
            </w:r>
          </w:p>
        </w:tc>
        <w:tc>
          <w:tcPr>
            <w:tcW w:w="1555" w:type="dxa"/>
            <w:tcBorders>
              <w:top w:val="single" w:sz="4" w:space="0" w:color="auto"/>
              <w:left w:val="nil"/>
              <w:bottom w:val="single" w:sz="4" w:space="0" w:color="auto"/>
              <w:right w:val="single" w:sz="4" w:space="0" w:color="auto"/>
            </w:tcBorders>
            <w:shd w:val="clear" w:color="auto" w:fill="C6EFCE"/>
          </w:tcPr>
          <w:p w14:paraId="438B05F7" w14:textId="77777777" w:rsidR="00553430" w:rsidRDefault="00212577">
            <w:pPr>
              <w:pStyle w:val="P68B1DB1-Normal66"/>
              <w:spacing w:line="240" w:lineRule="auto"/>
              <w:rPr>
                <w:noProof/>
              </w:rPr>
            </w:pPr>
            <w:r>
              <w:rPr>
                <w:noProof/>
              </w:rPr>
              <w:t xml:space="preserve">Entrée en vigueur de la loi modifiant la loi sur les aides d'État aux projets de recherche et de développement </w:t>
            </w:r>
          </w:p>
        </w:tc>
        <w:tc>
          <w:tcPr>
            <w:tcW w:w="1067" w:type="dxa"/>
            <w:tcBorders>
              <w:top w:val="single" w:sz="4" w:space="0" w:color="auto"/>
              <w:left w:val="nil"/>
              <w:bottom w:val="single" w:sz="4" w:space="0" w:color="auto"/>
              <w:right w:val="single" w:sz="4" w:space="0" w:color="auto"/>
            </w:tcBorders>
            <w:shd w:val="clear" w:color="auto" w:fill="C6EFCE"/>
          </w:tcPr>
          <w:p w14:paraId="4770BB62"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4AD17299" w14:textId="77777777" w:rsidR="00553430" w:rsidRDefault="00212577">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602622CF" w14:textId="77777777" w:rsidR="00553430" w:rsidRDefault="00212577">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tcPr>
          <w:p w14:paraId="32124720" w14:textId="77777777" w:rsidR="00553430" w:rsidRDefault="00212577">
            <w:pPr>
              <w:pStyle w:val="P68B1DB1-Normal66"/>
              <w:spacing w:line="240"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tcPr>
          <w:p w14:paraId="023F6DFF" w14:textId="77777777" w:rsidR="00553430" w:rsidRDefault="00212577">
            <w:pPr>
              <w:pStyle w:val="P68B1DB1-Normal66"/>
              <w:spacing w:line="240" w:lineRule="auto"/>
              <w:jc w:val="center"/>
              <w:rPr>
                <w:noProof/>
              </w:rPr>
            </w:pPr>
            <w:r>
              <w:rPr>
                <w:noProof/>
              </w:rPr>
              <w:t>2024</w:t>
            </w:r>
          </w:p>
        </w:tc>
        <w:tc>
          <w:tcPr>
            <w:tcW w:w="5528" w:type="dxa"/>
            <w:tcBorders>
              <w:top w:val="single" w:sz="4" w:space="0" w:color="auto"/>
              <w:left w:val="nil"/>
              <w:bottom w:val="single" w:sz="4" w:space="0" w:color="auto"/>
              <w:right w:val="single" w:sz="4" w:space="0" w:color="auto"/>
            </w:tcBorders>
            <w:shd w:val="clear" w:color="auto" w:fill="C6EFCE"/>
          </w:tcPr>
          <w:p w14:paraId="566B7B2B" w14:textId="77777777" w:rsidR="00553430" w:rsidRDefault="00212577">
            <w:pPr>
              <w:pStyle w:val="P68B1DB1-Normal66"/>
              <w:spacing w:line="240" w:lineRule="auto"/>
              <w:rPr>
                <w:noProof/>
              </w:rPr>
            </w:pPr>
            <w:r>
              <w:rPr>
                <w:noProof/>
              </w:rPr>
              <w:t>En vue d'accroître le nombre d'entreprises investissant dans la R&amp;D et d'accroître les investissements privés d</w:t>
            </w:r>
            <w:r>
              <w:rPr>
                <w:noProof/>
              </w:rPr>
              <w:t>ans la R&amp;D, il convient d'analyser le régime d'incitation fiscale existant en faveur de la R&amp;D. Les modifications du cadre juridique relatif aux incitations fiscales en faveur de la R&amp;D visant à encourager le secteur privé à accroître l’intensité de ses in</w:t>
            </w:r>
            <w:r>
              <w:rPr>
                <w:noProof/>
              </w:rPr>
              <w:t xml:space="preserve">vestissements en R&amp;D, à accroître le nombre de bénéficiaires des incitations fiscales en faveur de la R&amp;D, à simplifier les procédures et à réduire les charges administratives, tout en améliorant la transparence et l’accessibilité, entrent en vigueur. </w:t>
            </w:r>
          </w:p>
          <w:p w14:paraId="74610EEA" w14:textId="77777777" w:rsidR="00553430" w:rsidRDefault="00212577">
            <w:pPr>
              <w:pStyle w:val="P68B1DB1-Normal66"/>
              <w:spacing w:line="240" w:lineRule="auto"/>
              <w:rPr>
                <w:noProof/>
              </w:rPr>
            </w:pPr>
            <w:r>
              <w:rPr>
                <w:noProof/>
              </w:rPr>
              <w:t>Les</w:t>
            </w:r>
            <w:r>
              <w:rPr>
                <w:noProof/>
              </w:rPr>
              <w:t xml:space="preserve"> modifications de la loi sur les aides d’État sont apportées sur la base des résultats de l’analyse effectuée sur le caractère approprié et l’efficacité du système actuel d’incitations fiscales et associent les parties prenantes concernées, en particulier </w:t>
            </w:r>
            <w:r>
              <w:rPr>
                <w:noProof/>
              </w:rPr>
              <w:t>le ministère des finances et l’administration fiscale. MINGOR prépare les amendements juridiques et les soumet à la procédure parlementaire.</w:t>
            </w:r>
          </w:p>
        </w:tc>
      </w:tr>
      <w:tr w:rsidR="00553430" w14:paraId="339E0702"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1775B61F" w14:textId="77777777" w:rsidR="00553430" w:rsidRDefault="00212577">
            <w:pPr>
              <w:pStyle w:val="P68B1DB1-Normal66"/>
              <w:spacing w:line="240" w:lineRule="auto"/>
              <w:jc w:val="center"/>
              <w:rPr>
                <w:noProof/>
              </w:rPr>
            </w:pPr>
            <w:r>
              <w:rPr>
                <w:noProof/>
              </w:rPr>
              <w:t>29</w:t>
            </w:r>
          </w:p>
        </w:tc>
        <w:tc>
          <w:tcPr>
            <w:tcW w:w="1205" w:type="dxa"/>
            <w:tcBorders>
              <w:top w:val="single" w:sz="4" w:space="0" w:color="auto"/>
              <w:left w:val="nil"/>
              <w:bottom w:val="single" w:sz="4" w:space="0" w:color="auto"/>
              <w:right w:val="single" w:sz="4" w:space="0" w:color="auto"/>
            </w:tcBorders>
            <w:shd w:val="clear" w:color="auto" w:fill="C6EFCE"/>
          </w:tcPr>
          <w:p w14:paraId="19D89370" w14:textId="77777777" w:rsidR="00553430" w:rsidRDefault="00212577">
            <w:pPr>
              <w:pStyle w:val="P68B1DB1-Normal66"/>
              <w:spacing w:line="240" w:lineRule="auto"/>
              <w:rPr>
                <w:noProof/>
              </w:rPr>
            </w:pPr>
            <w:r>
              <w:rPr>
                <w:noProof/>
              </w:rPr>
              <w:t>C1.1.2. R2-I2</w:t>
            </w:r>
          </w:p>
        </w:tc>
        <w:tc>
          <w:tcPr>
            <w:tcW w:w="1022" w:type="dxa"/>
            <w:tcBorders>
              <w:top w:val="single" w:sz="4" w:space="0" w:color="auto"/>
              <w:left w:val="nil"/>
              <w:bottom w:val="single" w:sz="4" w:space="0" w:color="auto"/>
              <w:right w:val="single" w:sz="4" w:space="0" w:color="auto"/>
            </w:tcBorders>
            <w:shd w:val="clear" w:color="auto" w:fill="C6EFCE"/>
          </w:tcPr>
          <w:p w14:paraId="249CF0CD" w14:textId="77777777" w:rsidR="00553430" w:rsidRDefault="00212577">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33CEBC65" w14:textId="77777777" w:rsidR="00553430" w:rsidRDefault="00212577">
            <w:pPr>
              <w:pStyle w:val="P68B1DB1-Normal66"/>
              <w:spacing w:line="240" w:lineRule="auto"/>
              <w:rPr>
                <w:noProof/>
              </w:rPr>
            </w:pPr>
            <w:r>
              <w:rPr>
                <w:noProof/>
              </w:rPr>
              <w:t xml:space="preserve">Aider les PME à améliorer leurs capacités de gestion </w:t>
            </w:r>
          </w:p>
        </w:tc>
        <w:tc>
          <w:tcPr>
            <w:tcW w:w="1555" w:type="dxa"/>
            <w:tcBorders>
              <w:top w:val="single" w:sz="4" w:space="0" w:color="auto"/>
              <w:left w:val="nil"/>
              <w:bottom w:val="single" w:sz="4" w:space="0" w:color="auto"/>
              <w:right w:val="single" w:sz="4" w:space="0" w:color="auto"/>
            </w:tcBorders>
            <w:shd w:val="clear" w:color="auto" w:fill="C6EFCE"/>
          </w:tcPr>
          <w:p w14:paraId="1D1E32F4" w14:textId="77777777" w:rsidR="00553430" w:rsidRDefault="00212577">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2A958053" w14:textId="77777777" w:rsidR="00553430" w:rsidRDefault="00212577">
            <w:pPr>
              <w:pStyle w:val="P68B1DB1-Normal66"/>
              <w:spacing w:line="240" w:lineRule="auto"/>
              <w:jc w:val="center"/>
              <w:rPr>
                <w:noProof/>
              </w:rPr>
            </w:pPr>
            <w:r>
              <w:rPr>
                <w:noProof/>
              </w:rPr>
              <w:t>Numéro</w:t>
            </w:r>
          </w:p>
        </w:tc>
        <w:tc>
          <w:tcPr>
            <w:tcW w:w="1056" w:type="dxa"/>
            <w:tcBorders>
              <w:top w:val="single" w:sz="4" w:space="0" w:color="auto"/>
              <w:left w:val="nil"/>
              <w:bottom w:val="single" w:sz="4" w:space="0" w:color="auto"/>
              <w:right w:val="single" w:sz="4" w:space="0" w:color="auto"/>
            </w:tcBorders>
            <w:shd w:val="clear" w:color="auto" w:fill="C6EFCE"/>
          </w:tcPr>
          <w:p w14:paraId="4468C725" w14:textId="77777777" w:rsidR="00553430" w:rsidRDefault="00212577">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02ACABDD" w14:textId="77777777" w:rsidR="00553430" w:rsidRDefault="00212577">
            <w:pPr>
              <w:pStyle w:val="P68B1DB1-Normal66"/>
              <w:spacing w:line="240" w:lineRule="auto"/>
              <w:jc w:val="center"/>
              <w:rPr>
                <w:noProof/>
              </w:rPr>
            </w:pPr>
            <w:r>
              <w:rPr>
                <w:noProof/>
              </w:rPr>
              <w:t>150</w:t>
            </w:r>
          </w:p>
        </w:tc>
        <w:tc>
          <w:tcPr>
            <w:tcW w:w="756" w:type="dxa"/>
            <w:tcBorders>
              <w:top w:val="single" w:sz="4" w:space="0" w:color="auto"/>
              <w:left w:val="nil"/>
              <w:bottom w:val="single" w:sz="4" w:space="0" w:color="auto"/>
              <w:right w:val="single" w:sz="4" w:space="0" w:color="auto"/>
            </w:tcBorders>
            <w:shd w:val="clear" w:color="auto" w:fill="C6EFCE"/>
          </w:tcPr>
          <w:p w14:paraId="3549F376" w14:textId="77777777" w:rsidR="00553430" w:rsidRDefault="00212577">
            <w:pPr>
              <w:pStyle w:val="P68B1DB1-Normal66"/>
              <w:spacing w:line="240"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tcPr>
          <w:p w14:paraId="710DB5DB" w14:textId="77777777" w:rsidR="00553430" w:rsidRDefault="00212577">
            <w:pPr>
              <w:pStyle w:val="P68B1DB1-Normal66"/>
              <w:spacing w:line="240" w:lineRule="auto"/>
              <w:jc w:val="center"/>
              <w:rPr>
                <w:noProof/>
              </w:rPr>
            </w:pPr>
            <w:r>
              <w:rPr>
                <w:noProof/>
              </w:rPr>
              <w:t>2025</w:t>
            </w:r>
          </w:p>
        </w:tc>
        <w:tc>
          <w:tcPr>
            <w:tcW w:w="5528" w:type="dxa"/>
            <w:tcBorders>
              <w:top w:val="single" w:sz="4" w:space="0" w:color="auto"/>
              <w:left w:val="nil"/>
              <w:bottom w:val="single" w:sz="4" w:space="0" w:color="auto"/>
              <w:right w:val="single" w:sz="4" w:space="0" w:color="auto"/>
            </w:tcBorders>
            <w:shd w:val="clear" w:color="auto" w:fill="C6EFCE"/>
          </w:tcPr>
          <w:p w14:paraId="3606880C" w14:textId="1B90C4BE" w:rsidR="00553430" w:rsidRDefault="00212577">
            <w:pPr>
              <w:pStyle w:val="P68B1DB1-Normal66"/>
              <w:spacing w:line="240" w:lineRule="auto"/>
              <w:rPr>
                <w:noProof/>
              </w:rPr>
            </w:pPr>
            <w:r>
              <w:rPr>
                <w:noProof/>
              </w:rPr>
              <w:t xml:space="preserve">Au moins 150 </w:t>
            </w:r>
            <w:r>
              <w:rPr>
                <w:noProof/>
              </w:rPr>
              <w:t>petites et moyennes entreprises bénéficient d’un soutien consultatif aux entreprises afin d’améliorer leur capacité de gestion, par exemple sous la forme d’une formation ou d’un tutorat individuel.</w:t>
            </w:r>
          </w:p>
        </w:tc>
      </w:tr>
      <w:tr w:rsidR="00553430" w14:paraId="14EC79DD"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507F989D" w14:textId="77777777" w:rsidR="00553430" w:rsidRDefault="00212577">
            <w:pPr>
              <w:pStyle w:val="P68B1DB1-Normal66"/>
              <w:spacing w:line="240" w:lineRule="auto"/>
              <w:jc w:val="center"/>
              <w:rPr>
                <w:noProof/>
              </w:rPr>
            </w:pPr>
            <w:r>
              <w:rPr>
                <w:noProof/>
              </w:rPr>
              <w:t>30</w:t>
            </w:r>
          </w:p>
        </w:tc>
        <w:tc>
          <w:tcPr>
            <w:tcW w:w="1205" w:type="dxa"/>
            <w:tcBorders>
              <w:top w:val="single" w:sz="4" w:space="0" w:color="auto"/>
              <w:left w:val="nil"/>
              <w:bottom w:val="single" w:sz="4" w:space="0" w:color="auto"/>
              <w:right w:val="single" w:sz="4" w:space="0" w:color="auto"/>
            </w:tcBorders>
            <w:shd w:val="clear" w:color="auto" w:fill="C6EFCE"/>
          </w:tcPr>
          <w:p w14:paraId="4A0EA46A" w14:textId="77777777" w:rsidR="00553430" w:rsidRDefault="00212577">
            <w:pPr>
              <w:pStyle w:val="P68B1DB1-Normal66"/>
              <w:spacing w:line="240" w:lineRule="auto"/>
              <w:rPr>
                <w:noProof/>
              </w:rPr>
            </w:pPr>
            <w:r>
              <w:rPr>
                <w:noProof/>
              </w:rPr>
              <w:t>C1.1.2. R2-I3</w:t>
            </w:r>
          </w:p>
        </w:tc>
        <w:tc>
          <w:tcPr>
            <w:tcW w:w="1022" w:type="dxa"/>
            <w:tcBorders>
              <w:top w:val="single" w:sz="4" w:space="0" w:color="auto"/>
              <w:left w:val="nil"/>
              <w:bottom w:val="single" w:sz="4" w:space="0" w:color="auto"/>
              <w:right w:val="single" w:sz="4" w:space="0" w:color="auto"/>
            </w:tcBorders>
            <w:shd w:val="clear" w:color="auto" w:fill="C6EFCE"/>
          </w:tcPr>
          <w:p w14:paraId="2EC64722" w14:textId="77777777" w:rsidR="00553430" w:rsidRDefault="00212577">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07A3A7EA" w14:textId="77777777" w:rsidR="00553430" w:rsidRDefault="00212577">
            <w:pPr>
              <w:pStyle w:val="P68B1DB1-Normal66"/>
              <w:spacing w:line="240" w:lineRule="auto"/>
              <w:rPr>
                <w:noProof/>
              </w:rPr>
            </w:pPr>
            <w:r>
              <w:rPr>
                <w:noProof/>
              </w:rPr>
              <w:t xml:space="preserve">Octroi d’un soutien pour stimuler la croissance des jeunes pousses dans les secteurs de la haute technologie et de la connaissance </w:t>
            </w:r>
          </w:p>
        </w:tc>
        <w:tc>
          <w:tcPr>
            <w:tcW w:w="1555" w:type="dxa"/>
            <w:tcBorders>
              <w:top w:val="single" w:sz="4" w:space="0" w:color="auto"/>
              <w:left w:val="nil"/>
              <w:bottom w:val="single" w:sz="4" w:space="0" w:color="auto"/>
              <w:right w:val="single" w:sz="4" w:space="0" w:color="auto"/>
            </w:tcBorders>
            <w:shd w:val="clear" w:color="auto" w:fill="C6EFCE"/>
          </w:tcPr>
          <w:p w14:paraId="2C6D7734" w14:textId="77777777" w:rsidR="00553430" w:rsidRDefault="00212577">
            <w:pPr>
              <w:pStyle w:val="P68B1DB1-Normal66"/>
              <w:spacing w:line="240" w:lineRule="auto"/>
              <w:rPr>
                <w:noProof/>
              </w:rPr>
            </w:pPr>
            <w:r>
              <w:rPr>
                <w:noProof/>
              </w:rPr>
              <w:t> </w:t>
            </w:r>
          </w:p>
        </w:tc>
        <w:tc>
          <w:tcPr>
            <w:tcW w:w="1067" w:type="dxa"/>
            <w:tcBorders>
              <w:top w:val="single" w:sz="4" w:space="0" w:color="auto"/>
              <w:left w:val="nil"/>
              <w:bottom w:val="single" w:sz="4" w:space="0" w:color="auto"/>
              <w:right w:val="single" w:sz="4" w:space="0" w:color="auto"/>
            </w:tcBorders>
            <w:shd w:val="clear" w:color="auto" w:fill="C6EFCE"/>
          </w:tcPr>
          <w:p w14:paraId="7E82CC65" w14:textId="77777777" w:rsidR="00553430" w:rsidRDefault="00212577">
            <w:pPr>
              <w:pStyle w:val="P68B1DB1-Normal66"/>
              <w:spacing w:line="240" w:lineRule="auto"/>
              <w:jc w:val="center"/>
              <w:rPr>
                <w:noProof/>
              </w:rPr>
            </w:pPr>
            <w:r>
              <w:rPr>
                <w:noProof/>
              </w:rPr>
              <w:t>Numéro</w:t>
            </w:r>
          </w:p>
        </w:tc>
        <w:tc>
          <w:tcPr>
            <w:tcW w:w="1056" w:type="dxa"/>
            <w:tcBorders>
              <w:top w:val="single" w:sz="4" w:space="0" w:color="auto"/>
              <w:left w:val="nil"/>
              <w:bottom w:val="single" w:sz="4" w:space="0" w:color="auto"/>
              <w:right w:val="single" w:sz="4" w:space="0" w:color="auto"/>
            </w:tcBorders>
            <w:shd w:val="clear" w:color="auto" w:fill="C6EFCE"/>
          </w:tcPr>
          <w:p w14:paraId="7AE83BF8" w14:textId="77777777" w:rsidR="00553430" w:rsidRDefault="00212577">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3A518DE8" w14:textId="77777777" w:rsidR="00553430" w:rsidRDefault="00212577">
            <w:pPr>
              <w:pStyle w:val="P68B1DB1-Normal66"/>
              <w:spacing w:line="240" w:lineRule="auto"/>
              <w:jc w:val="center"/>
              <w:rPr>
                <w:noProof/>
              </w:rPr>
            </w:pPr>
            <w:r>
              <w:rPr>
                <w:noProof/>
              </w:rPr>
              <w:t>141</w:t>
            </w:r>
          </w:p>
        </w:tc>
        <w:tc>
          <w:tcPr>
            <w:tcW w:w="756" w:type="dxa"/>
            <w:tcBorders>
              <w:top w:val="single" w:sz="4" w:space="0" w:color="auto"/>
              <w:left w:val="nil"/>
              <w:bottom w:val="single" w:sz="4" w:space="0" w:color="auto"/>
              <w:right w:val="single" w:sz="4" w:space="0" w:color="auto"/>
            </w:tcBorders>
            <w:shd w:val="clear" w:color="auto" w:fill="C6EFCE"/>
          </w:tcPr>
          <w:p w14:paraId="65BDDE03" w14:textId="77777777" w:rsidR="00553430" w:rsidRDefault="00212577">
            <w:pPr>
              <w:pStyle w:val="P68B1DB1-Normal66"/>
              <w:spacing w:line="240" w:lineRule="auto"/>
              <w:jc w:val="center"/>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tcPr>
          <w:p w14:paraId="3FFB0609" w14:textId="77777777" w:rsidR="00553430" w:rsidRDefault="00212577">
            <w:pPr>
              <w:pStyle w:val="P68B1DB1-Normal66"/>
              <w:spacing w:line="240" w:lineRule="auto"/>
              <w:jc w:val="center"/>
              <w:rPr>
                <w:noProof/>
              </w:rPr>
            </w:pPr>
            <w:r>
              <w:rPr>
                <w:noProof/>
              </w:rPr>
              <w:t>2025</w:t>
            </w:r>
          </w:p>
        </w:tc>
        <w:tc>
          <w:tcPr>
            <w:tcW w:w="5528" w:type="dxa"/>
            <w:tcBorders>
              <w:top w:val="single" w:sz="4" w:space="0" w:color="auto"/>
              <w:left w:val="nil"/>
              <w:bottom w:val="single" w:sz="4" w:space="0" w:color="auto"/>
              <w:right w:val="single" w:sz="4" w:space="0" w:color="auto"/>
            </w:tcBorders>
            <w:shd w:val="clear" w:color="auto" w:fill="C6EFCE"/>
          </w:tcPr>
          <w:p w14:paraId="1C236528" w14:textId="77777777" w:rsidR="00553430" w:rsidRDefault="00212577">
            <w:pPr>
              <w:pStyle w:val="P68B1DB1-Normal66"/>
              <w:spacing w:line="240" w:lineRule="auto"/>
              <w:jc w:val="both"/>
              <w:rPr>
                <w:noProof/>
                <w:color w:val="000000" w:themeColor="text1"/>
              </w:rPr>
            </w:pPr>
            <w:r>
              <w:rPr>
                <w:noProof/>
              </w:rPr>
              <w:t xml:space="preserve">Octroi d’aides à la suite d’évaluations de propositions de projets dans le cadre de l’appel à «aides </w:t>
            </w:r>
            <w:r>
              <w:rPr>
                <w:noProof/>
              </w:rPr>
              <w:t>au démarrage non remboursables» dans le but de stimuler la croissance des jeunes pousses dans la phase précommerciale dans les secteurs de la haute technologie et de la connaissance en soutenant le développement de produits, en augmentant la capacité de pr</w:t>
            </w:r>
            <w:r>
              <w:rPr>
                <w:noProof/>
              </w:rPr>
              <w:t>oduction et la préparation à l’investissement, au moins 141 jeunes pousses bénéficiant de l’aide accordée. Il s’agit notamment de la mise à niveau, de la conception, de la validation des performances, de la validation du marché, des essais, du développemen</w:t>
            </w:r>
            <w:r>
              <w:rPr>
                <w:noProof/>
              </w:rPr>
              <w:t>t de lignes pilotes, de la protection de la propriété intellectuelle et de services externes visant à développer une idée innovante, ainsi que de la formation à l’atténuation et à l’évaluation des risques des besoins de financement. Les activités financées</w:t>
            </w:r>
            <w:r>
              <w:rPr>
                <w:noProof/>
              </w:rPr>
              <w:t xml:space="preserve"> peuvent également inclure une partie des coûts d'accès aux réseaux ou grappes d'entreprises mondiaux, l'adoption de nouveaux outils de marketing et l'accès à de nouveaux marchés. Les bénéficiaires éligibles comprennent les PME innovantes, jusqu’à cinq ans</w:t>
            </w:r>
            <w:r>
              <w:rPr>
                <w:noProof/>
              </w:rPr>
              <w:t xml:space="preserve"> à compter de l’enregistrement, qui ne sont pas générées par une fusion et qui relèvent de la définition d’une PME innovante au sens du règlement général d’exemption par catégorie (RGEC).</w:t>
            </w:r>
          </w:p>
        </w:tc>
      </w:tr>
      <w:tr w:rsidR="00553430" w14:paraId="1189196A"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4F0BCDF4" w14:textId="77777777" w:rsidR="00553430" w:rsidRDefault="00212577">
            <w:pPr>
              <w:pStyle w:val="P68B1DB1-Normal66"/>
              <w:spacing w:line="240" w:lineRule="auto"/>
              <w:jc w:val="center"/>
              <w:rPr>
                <w:noProof/>
              </w:rPr>
            </w:pPr>
            <w:r>
              <w:rPr>
                <w:noProof/>
              </w:rPr>
              <w:t>31</w:t>
            </w:r>
          </w:p>
        </w:tc>
        <w:tc>
          <w:tcPr>
            <w:tcW w:w="1205" w:type="dxa"/>
            <w:tcBorders>
              <w:top w:val="single" w:sz="4" w:space="0" w:color="auto"/>
              <w:left w:val="nil"/>
              <w:bottom w:val="single" w:sz="4" w:space="0" w:color="auto"/>
              <w:right w:val="single" w:sz="4" w:space="0" w:color="auto"/>
            </w:tcBorders>
            <w:shd w:val="clear" w:color="auto" w:fill="C6EFCE"/>
          </w:tcPr>
          <w:p w14:paraId="12E8EC19" w14:textId="77777777" w:rsidR="00553430" w:rsidRDefault="00212577">
            <w:pPr>
              <w:pStyle w:val="P68B1DB1-Normal66"/>
              <w:spacing w:line="240" w:lineRule="auto"/>
              <w:rPr>
                <w:noProof/>
              </w:rPr>
            </w:pPr>
            <w:r>
              <w:rPr>
                <w:noProof/>
              </w:rPr>
              <w:t>C1.1.2. R2-I4</w:t>
            </w:r>
          </w:p>
        </w:tc>
        <w:tc>
          <w:tcPr>
            <w:tcW w:w="1022" w:type="dxa"/>
            <w:tcBorders>
              <w:top w:val="single" w:sz="4" w:space="0" w:color="auto"/>
              <w:left w:val="nil"/>
              <w:bottom w:val="single" w:sz="4" w:space="0" w:color="auto"/>
              <w:right w:val="single" w:sz="4" w:space="0" w:color="auto"/>
            </w:tcBorders>
            <w:shd w:val="clear" w:color="auto" w:fill="C6EFCE"/>
          </w:tcPr>
          <w:p w14:paraId="0CB6487D" w14:textId="77777777" w:rsidR="00553430" w:rsidRDefault="00212577">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480788E0" w14:textId="77777777" w:rsidR="00553430" w:rsidRDefault="00212577">
            <w:pPr>
              <w:pStyle w:val="P68B1DB1-Normal66"/>
              <w:spacing w:line="240" w:lineRule="auto"/>
              <w:rPr>
                <w:noProof/>
              </w:rPr>
            </w:pPr>
            <w:r>
              <w:rPr>
                <w:noProof/>
              </w:rPr>
              <w:t>Soutenir la croissance des start-ups par la mise</w:t>
            </w:r>
            <w:r>
              <w:rPr>
                <w:noProof/>
              </w:rPr>
              <w:t xml:space="preserve"> en place d'un programme d'accélérateurs.</w:t>
            </w:r>
          </w:p>
        </w:tc>
        <w:tc>
          <w:tcPr>
            <w:tcW w:w="1555" w:type="dxa"/>
            <w:tcBorders>
              <w:top w:val="single" w:sz="4" w:space="0" w:color="auto"/>
              <w:left w:val="nil"/>
              <w:bottom w:val="single" w:sz="4" w:space="0" w:color="auto"/>
              <w:right w:val="single" w:sz="4" w:space="0" w:color="auto"/>
            </w:tcBorders>
            <w:shd w:val="clear" w:color="auto" w:fill="C6EFCE"/>
          </w:tcPr>
          <w:p w14:paraId="641ACC52" w14:textId="77777777" w:rsidR="00553430" w:rsidRDefault="00212577">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731D428C" w14:textId="77777777" w:rsidR="00553430" w:rsidRDefault="00212577">
            <w:pPr>
              <w:pStyle w:val="P68B1DB1-Normal66"/>
              <w:spacing w:line="240" w:lineRule="auto"/>
              <w:jc w:val="center"/>
              <w:rPr>
                <w:noProof/>
              </w:rPr>
            </w:pPr>
            <w:r>
              <w:rPr>
                <w:noProof/>
              </w:rPr>
              <w:t>Numéro</w:t>
            </w:r>
          </w:p>
        </w:tc>
        <w:tc>
          <w:tcPr>
            <w:tcW w:w="1056" w:type="dxa"/>
            <w:tcBorders>
              <w:top w:val="single" w:sz="4" w:space="0" w:color="auto"/>
              <w:left w:val="nil"/>
              <w:bottom w:val="single" w:sz="4" w:space="0" w:color="auto"/>
              <w:right w:val="single" w:sz="4" w:space="0" w:color="auto"/>
            </w:tcBorders>
            <w:shd w:val="clear" w:color="auto" w:fill="C6EFCE"/>
          </w:tcPr>
          <w:p w14:paraId="448EF01E" w14:textId="77777777" w:rsidR="00553430" w:rsidRDefault="00212577">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3A9E8118" w14:textId="77777777" w:rsidR="00553430" w:rsidRDefault="00212577">
            <w:pPr>
              <w:pStyle w:val="P68B1DB1-Normal66"/>
              <w:spacing w:line="240" w:lineRule="auto"/>
              <w:jc w:val="center"/>
              <w:rPr>
                <w:noProof/>
              </w:rPr>
            </w:pPr>
            <w:r>
              <w:rPr>
                <w:noProof/>
              </w:rPr>
              <w:t>120</w:t>
            </w:r>
          </w:p>
        </w:tc>
        <w:tc>
          <w:tcPr>
            <w:tcW w:w="756" w:type="dxa"/>
            <w:tcBorders>
              <w:top w:val="single" w:sz="4" w:space="0" w:color="auto"/>
              <w:left w:val="nil"/>
              <w:bottom w:val="single" w:sz="4" w:space="0" w:color="auto"/>
              <w:right w:val="single" w:sz="4" w:space="0" w:color="auto"/>
            </w:tcBorders>
            <w:shd w:val="clear" w:color="auto" w:fill="C6EFCE"/>
          </w:tcPr>
          <w:p w14:paraId="6DCB5985" w14:textId="77777777" w:rsidR="00553430" w:rsidRDefault="00212577">
            <w:pPr>
              <w:pStyle w:val="P68B1DB1-Normal66"/>
              <w:spacing w:line="240" w:lineRule="auto"/>
              <w:jc w:val="center"/>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tcPr>
          <w:p w14:paraId="2D36416C" w14:textId="77777777" w:rsidR="00553430" w:rsidRDefault="00212577">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4ED30C3B" w14:textId="39FB01FC" w:rsidR="00553430" w:rsidRDefault="00212577">
            <w:pPr>
              <w:pStyle w:val="P68B1DB1-Normal66"/>
              <w:spacing w:line="240" w:lineRule="auto"/>
              <w:jc w:val="both"/>
              <w:rPr>
                <w:noProof/>
              </w:rPr>
            </w:pPr>
            <w:r>
              <w:rPr>
                <w:noProof/>
              </w:rPr>
              <w:t>Le programme Accélérateur fournit un tutorat, un soutien à l’investissement et un accès aux réseaux d’investisseurs à au moins 120 jeunes pousses sur une période d’au moins trois mois.</w:t>
            </w:r>
          </w:p>
        </w:tc>
      </w:tr>
      <w:tr w:rsidR="00553430" w14:paraId="7235481F"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53A0B326" w14:textId="77777777" w:rsidR="00553430" w:rsidRDefault="00212577">
            <w:pPr>
              <w:pStyle w:val="P68B1DB1-Normal66"/>
              <w:spacing w:line="240" w:lineRule="auto"/>
              <w:jc w:val="center"/>
              <w:rPr>
                <w:noProof/>
              </w:rPr>
            </w:pPr>
            <w:r>
              <w:rPr>
                <w:noProof/>
              </w:rPr>
              <w:t>32</w:t>
            </w:r>
          </w:p>
        </w:tc>
        <w:tc>
          <w:tcPr>
            <w:tcW w:w="1205" w:type="dxa"/>
            <w:tcBorders>
              <w:top w:val="single" w:sz="4" w:space="0" w:color="auto"/>
              <w:left w:val="nil"/>
              <w:bottom w:val="single" w:sz="4" w:space="0" w:color="auto"/>
              <w:right w:val="single" w:sz="4" w:space="0" w:color="auto"/>
            </w:tcBorders>
            <w:shd w:val="clear" w:color="auto" w:fill="C6EFCE"/>
          </w:tcPr>
          <w:p w14:paraId="5705A91F" w14:textId="77777777" w:rsidR="00553430" w:rsidRDefault="00212577">
            <w:pPr>
              <w:pStyle w:val="P68B1DB1-Normal66"/>
              <w:spacing w:line="240" w:lineRule="auto"/>
              <w:rPr>
                <w:noProof/>
              </w:rPr>
            </w:pPr>
            <w:r>
              <w:rPr>
                <w:noProof/>
              </w:rPr>
              <w:t>C1.1.2. R2-I5</w:t>
            </w:r>
          </w:p>
        </w:tc>
        <w:tc>
          <w:tcPr>
            <w:tcW w:w="1022" w:type="dxa"/>
            <w:tcBorders>
              <w:top w:val="single" w:sz="4" w:space="0" w:color="auto"/>
              <w:left w:val="nil"/>
              <w:bottom w:val="single" w:sz="4" w:space="0" w:color="auto"/>
              <w:right w:val="single" w:sz="4" w:space="0" w:color="auto"/>
            </w:tcBorders>
            <w:shd w:val="clear" w:color="auto" w:fill="C6EFCE"/>
          </w:tcPr>
          <w:p w14:paraId="0F35EED2" w14:textId="77777777" w:rsidR="00553430" w:rsidRDefault="00212577">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231798A0" w14:textId="66F7A2E7" w:rsidR="00553430" w:rsidRDefault="00212577">
            <w:pPr>
              <w:pStyle w:val="P68B1DB1-Normal66"/>
              <w:spacing w:line="240" w:lineRule="auto"/>
              <w:rPr>
                <w:noProof/>
              </w:rPr>
            </w:pPr>
            <w:r>
              <w:rPr>
                <w:noProof/>
              </w:rPr>
              <w:t>Soutien à des projets de commercialisation de l'innovation</w:t>
            </w:r>
          </w:p>
        </w:tc>
        <w:tc>
          <w:tcPr>
            <w:tcW w:w="1555" w:type="dxa"/>
            <w:tcBorders>
              <w:top w:val="single" w:sz="4" w:space="0" w:color="auto"/>
              <w:left w:val="nil"/>
              <w:bottom w:val="single" w:sz="4" w:space="0" w:color="auto"/>
              <w:right w:val="single" w:sz="4" w:space="0" w:color="auto"/>
            </w:tcBorders>
            <w:shd w:val="clear" w:color="auto" w:fill="C6EFCE"/>
          </w:tcPr>
          <w:p w14:paraId="5B46FDA7" w14:textId="77777777" w:rsidR="00553430" w:rsidRDefault="00212577">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4D7DCD1A" w14:textId="77777777" w:rsidR="00553430" w:rsidRDefault="00212577">
            <w:pPr>
              <w:pStyle w:val="P68B1DB1-Normal66"/>
              <w:spacing w:line="240" w:lineRule="auto"/>
              <w:jc w:val="center"/>
              <w:rPr>
                <w:noProof/>
              </w:rPr>
            </w:pPr>
            <w:r>
              <w:rPr>
                <w:noProof/>
              </w:rPr>
              <w:t>Numéro</w:t>
            </w:r>
          </w:p>
        </w:tc>
        <w:tc>
          <w:tcPr>
            <w:tcW w:w="1056" w:type="dxa"/>
            <w:tcBorders>
              <w:top w:val="single" w:sz="4" w:space="0" w:color="auto"/>
              <w:left w:val="nil"/>
              <w:bottom w:val="single" w:sz="4" w:space="0" w:color="auto"/>
              <w:right w:val="single" w:sz="4" w:space="0" w:color="auto"/>
            </w:tcBorders>
            <w:shd w:val="clear" w:color="auto" w:fill="C6EFCE"/>
          </w:tcPr>
          <w:p w14:paraId="6E324BB0" w14:textId="77777777" w:rsidR="00553430" w:rsidRDefault="00212577">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1A8E98B3" w14:textId="77777777" w:rsidR="00553430" w:rsidRDefault="00212577">
            <w:pPr>
              <w:pStyle w:val="P68B1DB1-Normal66"/>
              <w:spacing w:line="240" w:lineRule="auto"/>
              <w:jc w:val="center"/>
              <w:rPr>
                <w:noProof/>
              </w:rPr>
            </w:pPr>
            <w:r>
              <w:rPr>
                <w:noProof/>
              </w:rPr>
              <w:t>95</w:t>
            </w:r>
          </w:p>
        </w:tc>
        <w:tc>
          <w:tcPr>
            <w:tcW w:w="756" w:type="dxa"/>
            <w:tcBorders>
              <w:top w:val="single" w:sz="4" w:space="0" w:color="auto"/>
              <w:left w:val="nil"/>
              <w:bottom w:val="single" w:sz="4" w:space="0" w:color="auto"/>
              <w:right w:val="single" w:sz="4" w:space="0" w:color="auto"/>
            </w:tcBorders>
            <w:shd w:val="clear" w:color="auto" w:fill="C6EFCE"/>
          </w:tcPr>
          <w:p w14:paraId="6B84C4F2" w14:textId="77777777" w:rsidR="00553430" w:rsidRDefault="00212577">
            <w:pPr>
              <w:pStyle w:val="P68B1DB1-Normal66"/>
              <w:spacing w:line="240"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tcPr>
          <w:p w14:paraId="5F846169" w14:textId="77777777" w:rsidR="00553430" w:rsidRDefault="00212577">
            <w:pPr>
              <w:pStyle w:val="P68B1DB1-Normal66"/>
              <w:spacing w:line="240" w:lineRule="auto"/>
              <w:jc w:val="center"/>
              <w:rPr>
                <w:noProof/>
              </w:rPr>
            </w:pPr>
            <w:r>
              <w:rPr>
                <w:noProof/>
              </w:rPr>
              <w:t>2024</w:t>
            </w:r>
          </w:p>
        </w:tc>
        <w:tc>
          <w:tcPr>
            <w:tcW w:w="5528" w:type="dxa"/>
            <w:tcBorders>
              <w:top w:val="single" w:sz="4" w:space="0" w:color="auto"/>
              <w:left w:val="nil"/>
              <w:bottom w:val="single" w:sz="4" w:space="0" w:color="auto"/>
              <w:right w:val="single" w:sz="4" w:space="0" w:color="auto"/>
            </w:tcBorders>
            <w:shd w:val="clear" w:color="auto" w:fill="C6EFCE"/>
          </w:tcPr>
          <w:p w14:paraId="7499EFC1" w14:textId="77777777" w:rsidR="00553430" w:rsidRDefault="00212577">
            <w:pPr>
              <w:pStyle w:val="P68B1DB1-Normal66"/>
              <w:spacing w:line="240" w:lineRule="auto"/>
              <w:rPr>
                <w:noProof/>
              </w:rPr>
            </w:pPr>
            <w:r>
              <w:rPr>
                <w:noProof/>
              </w:rPr>
              <w:t xml:space="preserve">Octroi d’aides à au moins 95 petites et moyennes entreprises ayant des projets d’innovation matures (niveau de maturité technologique 7 ou supérieur) pour la </w:t>
            </w:r>
            <w:r>
              <w:rPr>
                <w:noProof/>
              </w:rPr>
              <w:t xml:space="preserve">commercialisation et l’internationalisation de leurs activités de commercialisation, de vente et de distribution liées à un produit innovant lancé sur le marché intérieur. </w:t>
            </w:r>
          </w:p>
          <w:p w14:paraId="508FAD8F" w14:textId="77777777" w:rsidR="00553430" w:rsidRDefault="00212577">
            <w:pPr>
              <w:pStyle w:val="P68B1DB1-Normal66"/>
              <w:spacing w:line="240" w:lineRule="auto"/>
              <w:jc w:val="both"/>
              <w:rPr>
                <w:noProof/>
              </w:rPr>
            </w:pPr>
            <w:r>
              <w:rPr>
                <w:noProof/>
              </w:rPr>
              <w:t>Cet investissement cible soutient l’adaptation d’un produit ou d’un service dévelop</w:t>
            </w:r>
            <w:r>
              <w:rPr>
                <w:noProof/>
              </w:rPr>
              <w:t>pé et la préparation de son lancement sur le marché. Les activités admissibles pour l'adaptation d'un produit développé comprennent des essais supplémentaires et l'intégration des résultats des essais dans le produit final, des services consultatifs, le re</w:t>
            </w:r>
            <w:r>
              <w:rPr>
                <w:noProof/>
              </w:rPr>
              <w:t>nforcement des capacités, des audits d'études de faisabilité, la conception du produit et la protection des droits de propriété intellectuelle. Les activités admissibles pour la préparation des lancements de produits comprennent la préparation ou la révisi</w:t>
            </w:r>
            <w:r>
              <w:rPr>
                <w:noProof/>
              </w:rPr>
              <w:t>on d'un plan d'affaires ou d'un plan de marketing, les études de marché et les essais, les essais de produits avec des clients potentiels, la préparation de la production et l'investissement dans des produits de série zéro, et les activités de marketing op</w:t>
            </w:r>
            <w:r>
              <w:rPr>
                <w:noProof/>
              </w:rPr>
              <w:t>érationnel.</w:t>
            </w:r>
          </w:p>
          <w:p w14:paraId="330216E6" w14:textId="77777777" w:rsidR="00553430" w:rsidRDefault="00212577">
            <w:pPr>
              <w:pStyle w:val="P68B1DB1-Normal66"/>
              <w:spacing w:line="240" w:lineRule="auto"/>
              <w:jc w:val="both"/>
              <w:rPr>
                <w:noProof/>
              </w:rPr>
            </w:pPr>
            <w:r>
              <w:rPr>
                <w:noProof/>
              </w:rPr>
              <w:t>Il soutient les PME dont les projets d’innovation sont parvenus à maturité et qui sont proches du lancement sur le marché et devraient donner la priorité aux propositions qui contribuent à la transition écologique.</w:t>
            </w:r>
          </w:p>
        </w:tc>
      </w:tr>
      <w:tr w:rsidR="00553430" w14:paraId="3FBEF1CC"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011CD3E9" w14:textId="77777777" w:rsidR="00553430" w:rsidRDefault="00212577">
            <w:pPr>
              <w:pStyle w:val="P68B1DB1-Normal66"/>
              <w:spacing w:line="240" w:lineRule="auto"/>
              <w:jc w:val="center"/>
              <w:rPr>
                <w:noProof/>
              </w:rPr>
            </w:pPr>
            <w:r>
              <w:rPr>
                <w:noProof/>
              </w:rPr>
              <w:t>33</w:t>
            </w:r>
          </w:p>
        </w:tc>
        <w:tc>
          <w:tcPr>
            <w:tcW w:w="1205" w:type="dxa"/>
            <w:tcBorders>
              <w:top w:val="single" w:sz="4" w:space="0" w:color="auto"/>
              <w:left w:val="nil"/>
              <w:bottom w:val="single" w:sz="4" w:space="0" w:color="auto"/>
              <w:right w:val="single" w:sz="4" w:space="0" w:color="auto"/>
            </w:tcBorders>
            <w:shd w:val="clear" w:color="auto" w:fill="C6EFCE"/>
          </w:tcPr>
          <w:p w14:paraId="49FA54DB" w14:textId="77777777" w:rsidR="00553430" w:rsidRDefault="00212577">
            <w:pPr>
              <w:pStyle w:val="P68B1DB1-Normal66"/>
              <w:spacing w:line="240" w:lineRule="auto"/>
              <w:rPr>
                <w:noProof/>
              </w:rPr>
            </w:pPr>
            <w:r>
              <w:rPr>
                <w:noProof/>
              </w:rPr>
              <w:t>C1.1.2. R3-I2</w:t>
            </w:r>
          </w:p>
        </w:tc>
        <w:tc>
          <w:tcPr>
            <w:tcW w:w="1022" w:type="dxa"/>
            <w:tcBorders>
              <w:top w:val="single" w:sz="4" w:space="0" w:color="auto"/>
              <w:left w:val="nil"/>
              <w:bottom w:val="single" w:sz="4" w:space="0" w:color="auto"/>
              <w:right w:val="single" w:sz="4" w:space="0" w:color="auto"/>
            </w:tcBorders>
            <w:shd w:val="clear" w:color="auto" w:fill="C6EFCE"/>
          </w:tcPr>
          <w:p w14:paraId="23962CC7" w14:textId="77777777" w:rsidR="00553430" w:rsidRDefault="00212577">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53409DB7" w14:textId="77777777" w:rsidR="00553430" w:rsidRDefault="00212577">
            <w:pPr>
              <w:pStyle w:val="P68B1DB1-Normal66"/>
              <w:spacing w:line="240" w:lineRule="auto"/>
              <w:rPr>
                <w:noProof/>
              </w:rPr>
            </w:pPr>
            <w:r>
              <w:rPr>
                <w:noProof/>
              </w:rPr>
              <w:t xml:space="preserve">Subvention sous forme de bons </w:t>
            </w:r>
          </w:p>
        </w:tc>
        <w:tc>
          <w:tcPr>
            <w:tcW w:w="1555" w:type="dxa"/>
            <w:tcBorders>
              <w:top w:val="single" w:sz="4" w:space="0" w:color="auto"/>
              <w:left w:val="nil"/>
              <w:bottom w:val="single" w:sz="4" w:space="0" w:color="auto"/>
              <w:right w:val="single" w:sz="4" w:space="0" w:color="auto"/>
            </w:tcBorders>
            <w:shd w:val="clear" w:color="auto" w:fill="C6EFCE"/>
          </w:tcPr>
          <w:p w14:paraId="70EF63FF" w14:textId="77777777" w:rsidR="00553430" w:rsidRDefault="00212577">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2ADC2AC5" w14:textId="77777777" w:rsidR="00553430" w:rsidRDefault="00212577">
            <w:pPr>
              <w:pStyle w:val="P68B1DB1-Normal66"/>
              <w:spacing w:line="240" w:lineRule="auto"/>
              <w:jc w:val="center"/>
              <w:rPr>
                <w:noProof/>
              </w:rPr>
            </w:pPr>
            <w:r>
              <w:rPr>
                <w:noProof/>
              </w:rPr>
              <w:t>Numéro</w:t>
            </w:r>
          </w:p>
        </w:tc>
        <w:tc>
          <w:tcPr>
            <w:tcW w:w="1056" w:type="dxa"/>
            <w:tcBorders>
              <w:top w:val="single" w:sz="4" w:space="0" w:color="auto"/>
              <w:left w:val="nil"/>
              <w:bottom w:val="single" w:sz="4" w:space="0" w:color="auto"/>
              <w:right w:val="single" w:sz="4" w:space="0" w:color="auto"/>
            </w:tcBorders>
            <w:shd w:val="clear" w:color="auto" w:fill="C6EFCE"/>
          </w:tcPr>
          <w:p w14:paraId="5B61883A" w14:textId="77777777" w:rsidR="00553430" w:rsidRDefault="00212577">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47B40FE8" w14:textId="77777777" w:rsidR="00553430" w:rsidRDefault="00212577">
            <w:pPr>
              <w:pStyle w:val="P68B1DB1-Normal66"/>
              <w:spacing w:line="240" w:lineRule="auto"/>
              <w:jc w:val="center"/>
              <w:rPr>
                <w:noProof/>
                <w:highlight w:val="yellow"/>
              </w:rPr>
            </w:pPr>
            <w:r>
              <w:rPr>
                <w:noProof/>
              </w:rPr>
              <w:t>1 500</w:t>
            </w:r>
          </w:p>
        </w:tc>
        <w:tc>
          <w:tcPr>
            <w:tcW w:w="756" w:type="dxa"/>
            <w:tcBorders>
              <w:top w:val="single" w:sz="4" w:space="0" w:color="auto"/>
              <w:left w:val="nil"/>
              <w:bottom w:val="single" w:sz="4" w:space="0" w:color="auto"/>
              <w:right w:val="single" w:sz="4" w:space="0" w:color="auto"/>
            </w:tcBorders>
            <w:shd w:val="clear" w:color="auto" w:fill="C6EFCE"/>
          </w:tcPr>
          <w:p w14:paraId="61D31444" w14:textId="77777777" w:rsidR="00553430" w:rsidRDefault="00212577">
            <w:pPr>
              <w:pStyle w:val="P68B1DB1-Normal66"/>
              <w:spacing w:line="240" w:lineRule="auto"/>
              <w:jc w:val="center"/>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tcPr>
          <w:p w14:paraId="79BD5E80" w14:textId="77777777" w:rsidR="00553430" w:rsidRDefault="00212577">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70DF409E" w14:textId="77777777" w:rsidR="00553430" w:rsidRDefault="00212577">
            <w:pPr>
              <w:pStyle w:val="P68B1DB1-Normal66"/>
              <w:spacing w:line="240" w:lineRule="auto"/>
              <w:rPr>
                <w:noProof/>
              </w:rPr>
            </w:pPr>
            <w:r>
              <w:rPr>
                <w:noProof/>
              </w:rPr>
              <w:t>Au moins 1 500 PME bénéficiant de bons d’aide à la numérisation. Les bons sont utilisés pour aider les employés à améliorer leurs compétences numériques, y compris les compétences liées aux technologi</w:t>
            </w:r>
            <w:r>
              <w:rPr>
                <w:noProof/>
              </w:rPr>
              <w:t>es en nuage, à tester la durabilité des idées et des stratégies de conception en vue d’une éventuelle transformation numérique, à acquérir des services de marketing numérique, à accroître la cybersécurité en introduisant des contrôles de sécurité du systèm</w:t>
            </w:r>
            <w:r>
              <w:rPr>
                <w:noProof/>
              </w:rPr>
              <w:t>e ou à développer ou déployer des produits et services numériques complexes.</w:t>
            </w:r>
          </w:p>
        </w:tc>
      </w:tr>
      <w:tr w:rsidR="00553430" w14:paraId="40C5FC87"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1B4EF774" w14:textId="77777777" w:rsidR="00553430" w:rsidRDefault="00212577">
            <w:pPr>
              <w:pStyle w:val="P68B1DB1-Normal66"/>
              <w:spacing w:line="240" w:lineRule="auto"/>
              <w:jc w:val="center"/>
              <w:rPr>
                <w:noProof/>
              </w:rPr>
            </w:pPr>
            <w:r>
              <w:rPr>
                <w:noProof/>
              </w:rPr>
              <w:t>34</w:t>
            </w:r>
          </w:p>
        </w:tc>
        <w:tc>
          <w:tcPr>
            <w:tcW w:w="1205" w:type="dxa"/>
            <w:tcBorders>
              <w:top w:val="single" w:sz="4" w:space="0" w:color="auto"/>
              <w:left w:val="nil"/>
              <w:bottom w:val="single" w:sz="4" w:space="0" w:color="auto"/>
              <w:right w:val="single" w:sz="4" w:space="0" w:color="auto"/>
            </w:tcBorders>
            <w:shd w:val="clear" w:color="auto" w:fill="C6EFCE"/>
          </w:tcPr>
          <w:p w14:paraId="3F77D689" w14:textId="77777777" w:rsidR="00553430" w:rsidRDefault="00212577">
            <w:pPr>
              <w:pStyle w:val="P68B1DB1-Normal66"/>
              <w:spacing w:line="240" w:lineRule="auto"/>
              <w:rPr>
                <w:noProof/>
              </w:rPr>
            </w:pPr>
            <w:r>
              <w:rPr>
                <w:noProof/>
              </w:rPr>
              <w:t>C1.1.2. R3-I3</w:t>
            </w:r>
          </w:p>
        </w:tc>
        <w:tc>
          <w:tcPr>
            <w:tcW w:w="1022" w:type="dxa"/>
            <w:tcBorders>
              <w:top w:val="single" w:sz="4" w:space="0" w:color="auto"/>
              <w:left w:val="nil"/>
              <w:bottom w:val="single" w:sz="4" w:space="0" w:color="auto"/>
              <w:right w:val="single" w:sz="4" w:space="0" w:color="auto"/>
            </w:tcBorders>
            <w:shd w:val="clear" w:color="auto" w:fill="C6EFCE"/>
          </w:tcPr>
          <w:p w14:paraId="736E24DA" w14:textId="77777777" w:rsidR="00553430" w:rsidRDefault="00212577">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6388AC4A" w14:textId="10428F57" w:rsidR="00553430" w:rsidRDefault="00212577">
            <w:pPr>
              <w:pStyle w:val="P68B1DB1-Normal66"/>
              <w:spacing w:line="240" w:lineRule="auto"/>
              <w:rPr>
                <w:noProof/>
              </w:rPr>
            </w:pPr>
            <w:r>
              <w:rPr>
                <w:noProof/>
              </w:rPr>
              <w:t xml:space="preserve">Aide sous forme de subventions en faveur de la transformation numérique des PME croates </w:t>
            </w:r>
          </w:p>
        </w:tc>
        <w:tc>
          <w:tcPr>
            <w:tcW w:w="1555" w:type="dxa"/>
            <w:tcBorders>
              <w:top w:val="single" w:sz="4" w:space="0" w:color="auto"/>
              <w:left w:val="nil"/>
              <w:bottom w:val="single" w:sz="4" w:space="0" w:color="auto"/>
              <w:right w:val="single" w:sz="4" w:space="0" w:color="auto"/>
            </w:tcBorders>
            <w:shd w:val="clear" w:color="auto" w:fill="C6EFCE"/>
          </w:tcPr>
          <w:p w14:paraId="0D467EB5" w14:textId="77777777" w:rsidR="00553430" w:rsidRDefault="00212577">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6477A7D7" w14:textId="77777777" w:rsidR="00553430" w:rsidRDefault="00212577">
            <w:pPr>
              <w:pStyle w:val="P68B1DB1-Normal66"/>
              <w:spacing w:line="240" w:lineRule="auto"/>
              <w:jc w:val="center"/>
              <w:rPr>
                <w:noProof/>
              </w:rPr>
            </w:pPr>
            <w:r>
              <w:rPr>
                <w:noProof/>
              </w:rPr>
              <w:t>Numéro</w:t>
            </w:r>
          </w:p>
        </w:tc>
        <w:tc>
          <w:tcPr>
            <w:tcW w:w="1056" w:type="dxa"/>
            <w:tcBorders>
              <w:top w:val="single" w:sz="4" w:space="0" w:color="auto"/>
              <w:left w:val="nil"/>
              <w:bottom w:val="single" w:sz="4" w:space="0" w:color="auto"/>
              <w:right w:val="single" w:sz="4" w:space="0" w:color="auto"/>
            </w:tcBorders>
            <w:shd w:val="clear" w:color="auto" w:fill="C6EFCE"/>
          </w:tcPr>
          <w:p w14:paraId="5D6EC4E3" w14:textId="77777777" w:rsidR="00553430" w:rsidRDefault="00212577">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7D8413E0" w14:textId="77777777" w:rsidR="00553430" w:rsidRDefault="00212577">
            <w:pPr>
              <w:pStyle w:val="P68B1DB1-Normal66"/>
              <w:spacing w:line="240" w:lineRule="auto"/>
              <w:jc w:val="center"/>
              <w:rPr>
                <w:noProof/>
                <w:highlight w:val="yellow"/>
              </w:rPr>
            </w:pPr>
            <w:r>
              <w:rPr>
                <w:noProof/>
              </w:rPr>
              <w:t>360</w:t>
            </w:r>
          </w:p>
        </w:tc>
        <w:tc>
          <w:tcPr>
            <w:tcW w:w="756" w:type="dxa"/>
            <w:tcBorders>
              <w:top w:val="single" w:sz="4" w:space="0" w:color="auto"/>
              <w:left w:val="nil"/>
              <w:bottom w:val="single" w:sz="4" w:space="0" w:color="auto"/>
              <w:right w:val="single" w:sz="4" w:space="0" w:color="auto"/>
            </w:tcBorders>
            <w:shd w:val="clear" w:color="auto" w:fill="C6EFCE"/>
          </w:tcPr>
          <w:p w14:paraId="4EFB694B" w14:textId="77777777" w:rsidR="00553430" w:rsidRDefault="00212577">
            <w:pPr>
              <w:pStyle w:val="P68B1DB1-Normal66"/>
              <w:spacing w:line="240" w:lineRule="auto"/>
              <w:jc w:val="center"/>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tcPr>
          <w:p w14:paraId="1E0331E6" w14:textId="77777777" w:rsidR="00553430" w:rsidRDefault="00212577">
            <w:pPr>
              <w:pStyle w:val="P68B1DB1-Normal66"/>
              <w:spacing w:line="240" w:lineRule="auto"/>
              <w:jc w:val="center"/>
              <w:rPr>
                <w:noProof/>
                <w:highlight w:val="yellow"/>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7B9DFB40" w14:textId="1BD86CB7" w:rsidR="00553430" w:rsidRDefault="00212577">
            <w:pPr>
              <w:pStyle w:val="P68B1DB1-Normal76"/>
              <w:spacing w:line="240" w:lineRule="auto"/>
              <w:jc w:val="both"/>
              <w:rPr>
                <w:noProof/>
              </w:rPr>
            </w:pPr>
            <w:r>
              <w:rPr>
                <w:noProof/>
              </w:rPr>
              <w:t xml:space="preserve">Les contrats sont signés avec au moins 360 PME qui octroient des subventions pour des projets de numérisation des entreprises. </w:t>
            </w:r>
          </w:p>
          <w:p w14:paraId="76BCB704" w14:textId="7FA284DC" w:rsidR="00553430" w:rsidRDefault="00212577">
            <w:pPr>
              <w:pStyle w:val="P68B1DB1-Normal66"/>
              <w:spacing w:line="240" w:lineRule="auto"/>
              <w:jc w:val="both"/>
              <w:rPr>
                <w:noProof/>
              </w:rPr>
            </w:pPr>
            <w:r>
              <w:rPr>
                <w:noProof/>
              </w:rPr>
              <w:t xml:space="preserve">Un projet de numérisation des entreprises éligible comprend les éléments suivants: i) une solution ou une technologie numérique </w:t>
            </w:r>
            <w:r>
              <w:rPr>
                <w:noProof/>
              </w:rPr>
              <w:t>soutenant la transformation de l’entreprise; ou ii) les activités visant la capacité numérique.</w:t>
            </w:r>
          </w:p>
        </w:tc>
      </w:tr>
    </w:tbl>
    <w:p w14:paraId="0675AC6D" w14:textId="77777777" w:rsidR="00553430" w:rsidRDefault="00553430">
      <w:pPr>
        <w:spacing w:line="240" w:lineRule="auto"/>
        <w:jc w:val="both"/>
        <w:rPr>
          <w:rFonts w:eastAsia="Calibri"/>
          <w:noProof/>
        </w:rPr>
        <w:sectPr w:rsidR="00553430" w:rsidSect="00FA29B2">
          <w:headerReference w:type="even" r:id="rId21"/>
          <w:headerReference w:type="default" r:id="rId22"/>
          <w:footerReference w:type="even" r:id="rId23"/>
          <w:footerReference w:type="default" r:id="rId24"/>
          <w:headerReference w:type="first" r:id="rId25"/>
          <w:footerReference w:type="first" r:id="rId26"/>
          <w:pgSz w:w="16839" w:h="11907" w:orient="landscape"/>
          <w:pgMar w:top="1134" w:right="1134" w:bottom="1134" w:left="1134" w:header="567" w:footer="567" w:gutter="0"/>
          <w:cols w:space="720"/>
          <w:docGrid w:linePitch="360"/>
        </w:sectPr>
      </w:pPr>
    </w:p>
    <w:p w14:paraId="6B647BDB" w14:textId="77777777" w:rsidR="00553430" w:rsidRDefault="00212577">
      <w:pPr>
        <w:pStyle w:val="P68B1DB1-Normal80"/>
        <w:spacing w:line="240" w:lineRule="auto"/>
        <w:jc w:val="both"/>
        <w:textAlignment w:val="baseline"/>
        <w:rPr>
          <w:rFonts w:ascii="Times New Roman" w:eastAsia="Times New Roman" w:hAnsi="Times New Roman" w:cs="Times New Roman"/>
          <w:noProof/>
          <w:color w:val="000000" w:themeColor="text1"/>
        </w:rPr>
      </w:pPr>
      <w:r>
        <w:rPr>
          <w:rFonts w:ascii="Times New Roman" w:eastAsia="Times New Roman" w:hAnsi="Times New Roman" w:cs="Times New Roman"/>
          <w:b/>
          <w:noProof/>
          <w:color w:val="000000" w:themeColor="text1"/>
        </w:rPr>
        <w:t xml:space="preserve">A.3. </w:t>
      </w:r>
      <w:r>
        <w:rPr>
          <w:rFonts w:ascii="Times New Roman" w:hAnsi="Times New Roman" w:cs="Times New Roman"/>
          <w:noProof/>
        </w:rPr>
        <w:t xml:space="preserve"> </w:t>
      </w:r>
      <w:r>
        <w:rPr>
          <w:rFonts w:ascii="Times New Roman" w:eastAsia="Times New Roman" w:hAnsi="Times New Roman" w:cs="Times New Roman"/>
          <w:b/>
          <w:noProof/>
          <w:color w:val="000000" w:themeColor="text1"/>
        </w:rPr>
        <w:t xml:space="preserve">Description des réformes et des investissements pour le prêt </w:t>
      </w:r>
    </w:p>
    <w:p w14:paraId="08F06B7C" w14:textId="77777777" w:rsidR="00553430" w:rsidRDefault="00212577">
      <w:pPr>
        <w:pStyle w:val="P68B1DB1-Normal81"/>
        <w:keepNext/>
        <w:spacing w:line="240" w:lineRule="auto"/>
        <w:ind w:left="720"/>
        <w:jc w:val="both"/>
        <w:textAlignment w:val="baseline"/>
        <w:rPr>
          <w:rFonts w:eastAsia="Times New Roman"/>
          <w:noProof/>
        </w:rPr>
      </w:pPr>
      <w:r>
        <w:rPr>
          <w:noProof/>
        </w:rPr>
        <w:t xml:space="preserve">Réforme C1.1.1 R5 – </w:t>
      </w:r>
      <w:r>
        <w:rPr>
          <w:noProof/>
        </w:rPr>
        <w:t>Diversifier les marchés des capitaux et améliorer l’accès aux financements alternatifs</w:t>
      </w:r>
    </w:p>
    <w:p w14:paraId="0A582F52" w14:textId="77777777" w:rsidR="00553430" w:rsidRDefault="00212577">
      <w:pPr>
        <w:pStyle w:val="paragraph"/>
        <w:spacing w:before="0" w:beforeAutospacing="0" w:after="240" w:afterAutospacing="0"/>
        <w:jc w:val="both"/>
        <w:textAlignment w:val="baseline"/>
        <w:rPr>
          <w:rStyle w:val="eop"/>
          <w:noProof/>
          <w:szCs w:val="24"/>
        </w:rPr>
      </w:pPr>
      <w:r>
        <w:rPr>
          <w:rStyle w:val="normaltextrun"/>
          <w:noProof/>
          <w:szCs w:val="24"/>
        </w:rPr>
        <w:t>L'objectif de cette mesure est de créer un cadre stratégique et des actions pour développer le marché national des capitaux. La réforme consiste en l'adoption d'une stra</w:t>
      </w:r>
      <w:r>
        <w:rPr>
          <w:rStyle w:val="normaltextrun"/>
          <w:noProof/>
          <w:szCs w:val="24"/>
        </w:rPr>
        <w:t>tégie suivie d'un plan d'action. </w:t>
      </w:r>
    </w:p>
    <w:p w14:paraId="741C03E6" w14:textId="77777777" w:rsidR="00553430" w:rsidRDefault="00212577">
      <w:pPr>
        <w:pStyle w:val="P68B1DB1-Normal82"/>
        <w:spacing w:line="240" w:lineRule="auto"/>
        <w:ind w:firstLine="720"/>
        <w:jc w:val="both"/>
        <w:textAlignment w:val="baseline"/>
        <w:rPr>
          <w:noProof/>
        </w:rPr>
      </w:pPr>
      <w:r>
        <w:rPr>
          <w:noProof/>
        </w:rPr>
        <w:t>Réforme C1.1.1 R7 – Création du forum de soutien à la finance durable</w:t>
      </w:r>
    </w:p>
    <w:p w14:paraId="71CE87B6" w14:textId="77777777" w:rsidR="00553430" w:rsidRDefault="00212577">
      <w:pPr>
        <w:pStyle w:val="P68B1DB1-Normal83"/>
        <w:spacing w:after="240" w:line="240" w:lineRule="auto"/>
        <w:jc w:val="both"/>
        <w:textAlignment w:val="baseline"/>
        <w:rPr>
          <w:noProof/>
        </w:rPr>
      </w:pPr>
      <w:r>
        <w:rPr>
          <w:noProof/>
        </w:rPr>
        <w:t>L’objectif de la réforme est de renforcer la contribution du secteur financier à la transition écologique et de le soutenir dans la mise en œuvre des ex</w:t>
      </w:r>
      <w:r>
        <w:rPr>
          <w:noProof/>
        </w:rPr>
        <w:t>igences réglementaires dans le domaine de la finance durable. La mesure consiste en l’adoption d’un plan d’action et la mise en place d’une plateforme des parties prenantes.</w:t>
      </w:r>
    </w:p>
    <w:p w14:paraId="1B394662" w14:textId="77777777" w:rsidR="00553430" w:rsidRDefault="00212577">
      <w:pPr>
        <w:spacing w:after="0" w:line="240" w:lineRule="auto"/>
        <w:ind w:left="720"/>
        <w:jc w:val="both"/>
        <w:rPr>
          <w:rFonts w:ascii="Times New Roman" w:eastAsia="Calibri" w:hAnsi="Times New Roman" w:cs="Times New Roman"/>
          <w:noProof/>
          <w:sz w:val="24"/>
          <w:szCs w:val="24"/>
          <w:u w:val="single"/>
        </w:rPr>
      </w:pPr>
      <w:r>
        <w:rPr>
          <w:rStyle w:val="eop"/>
          <w:rFonts w:ascii="Times New Roman" w:hAnsi="Times New Roman" w:cs="Times New Roman"/>
          <w:noProof/>
          <w:sz w:val="24"/>
          <w:szCs w:val="24"/>
          <w:u w:val="single"/>
        </w:rPr>
        <w:t>Investissement C1.1.1. Investissement R4-I6 - Injection de fonds propres dans HBOR</w:t>
      </w:r>
      <w:r>
        <w:rPr>
          <w:rStyle w:val="eop"/>
          <w:rFonts w:ascii="Times New Roman" w:hAnsi="Times New Roman" w:cs="Times New Roman"/>
          <w:noProof/>
          <w:sz w:val="24"/>
          <w:szCs w:val="24"/>
          <w:u w:val="single"/>
        </w:rPr>
        <w:t xml:space="preserve"> pour soutenir les investissements stratégiques en matière de défense et de sécurité </w:t>
      </w:r>
    </w:p>
    <w:p w14:paraId="7F4DDB6A" w14:textId="77777777" w:rsidR="00553430" w:rsidRDefault="00553430">
      <w:pPr>
        <w:spacing w:after="0" w:line="240" w:lineRule="auto"/>
        <w:ind w:left="720"/>
        <w:jc w:val="both"/>
        <w:rPr>
          <w:rFonts w:ascii="Times New Roman" w:eastAsia="Calibri" w:hAnsi="Times New Roman" w:cs="Times New Roman"/>
          <w:noProof/>
          <w:sz w:val="24"/>
          <w:szCs w:val="24"/>
          <w:u w:val="single"/>
        </w:rPr>
      </w:pPr>
    </w:p>
    <w:p w14:paraId="68E76C17" w14:textId="77777777" w:rsidR="00553430" w:rsidRDefault="00212577">
      <w:pPr>
        <w:pStyle w:val="P68B1DB1-Normal84"/>
        <w:spacing w:after="0" w:line="240" w:lineRule="auto"/>
        <w:jc w:val="both"/>
        <w:textAlignment w:val="baseline"/>
        <w:rPr>
          <w:noProof/>
        </w:rPr>
      </w:pPr>
      <w:r>
        <w:rPr>
          <w:noProof/>
        </w:rPr>
        <w:t>Cette mesure vise à soutenir le potentiel de croissance de l’économie croate en ajustant structurellement le niveau de soutien public disponible pour remédier aux défail</w:t>
      </w:r>
      <w:r>
        <w:rPr>
          <w:noProof/>
        </w:rPr>
        <w:t>lances et aux inefficacités du marché au sein de l’économie dans le domaine de la défense et de la sécurité.</w:t>
      </w:r>
    </w:p>
    <w:p w14:paraId="112A8E7E" w14:textId="77777777" w:rsidR="00553430" w:rsidRDefault="00553430">
      <w:pPr>
        <w:spacing w:after="0" w:line="240" w:lineRule="auto"/>
        <w:jc w:val="both"/>
        <w:textAlignment w:val="baseline"/>
        <w:rPr>
          <w:rFonts w:ascii="Times New Roman" w:eastAsia="Aptos" w:hAnsi="Times New Roman" w:cs="Times New Roman"/>
          <w:noProof/>
          <w:sz w:val="24"/>
          <w:szCs w:val="24"/>
          <w14:ligatures w14:val="none"/>
        </w:rPr>
      </w:pPr>
    </w:p>
    <w:p w14:paraId="28A92CF9" w14:textId="20E2EED6" w:rsidR="00553430" w:rsidRDefault="00212577">
      <w:pPr>
        <w:spacing w:after="0" w:line="240" w:lineRule="auto"/>
        <w:jc w:val="both"/>
        <w:textAlignment w:val="baseline"/>
        <w:rPr>
          <w:rFonts w:ascii="Times New Roman" w:eastAsia="Aptos" w:hAnsi="Times New Roman" w:cs="Times New Roman"/>
          <w:noProof/>
          <w:sz w:val="24"/>
          <w:szCs w:val="24"/>
        </w:rPr>
      </w:pPr>
      <w:r>
        <w:rPr>
          <w:rFonts w:ascii="Times New Roman" w:eastAsia="Aptos" w:hAnsi="Times New Roman" w:cs="Times New Roman"/>
          <w:noProof/>
          <w:sz w:val="24"/>
          <w:szCs w:val="24"/>
          <w14:ligatures w14:val="none"/>
        </w:rPr>
        <w:t>La mesure consistera en une injection de fonds propres de 133</w:t>
      </w:r>
      <w:r>
        <w:rPr>
          <w:rFonts w:ascii="Times New Roman" w:eastAsia="Calibri" w:hAnsi="Times New Roman" w:cs="Times New Roman"/>
          <w:noProof/>
          <w:color w:val="000000" w:themeColor="text1"/>
          <w:sz w:val="20"/>
          <w:szCs w:val="20"/>
        </w:rPr>
        <w:t> </w:t>
      </w:r>
      <w:r>
        <w:rPr>
          <w:rFonts w:ascii="Times New Roman" w:eastAsia="Aptos" w:hAnsi="Times New Roman" w:cs="Times New Roman"/>
          <w:noProof/>
          <w:sz w:val="24"/>
          <w:szCs w:val="24"/>
          <w14:ligatures w14:val="none"/>
        </w:rPr>
        <w:t>214</w:t>
      </w:r>
      <w:r>
        <w:rPr>
          <w:rFonts w:ascii="Times New Roman" w:eastAsia="Calibri" w:hAnsi="Times New Roman" w:cs="Times New Roman"/>
          <w:noProof/>
          <w:color w:val="000000" w:themeColor="text1"/>
          <w:sz w:val="20"/>
          <w:szCs w:val="20"/>
        </w:rPr>
        <w:t> </w:t>
      </w:r>
      <w:r>
        <w:rPr>
          <w:rFonts w:ascii="Times New Roman" w:eastAsia="Aptos" w:hAnsi="Times New Roman" w:cs="Times New Roman"/>
          <w:noProof/>
          <w:sz w:val="24"/>
          <w:szCs w:val="24"/>
          <w14:ligatures w14:val="none"/>
        </w:rPr>
        <w:t xml:space="preserve">015 EUR  dans la banque croate pour la restructuration et le développement </w:t>
      </w:r>
      <w:r>
        <w:rPr>
          <w:rFonts w:ascii="Times New Roman" w:eastAsia="Aptos" w:hAnsi="Times New Roman" w:cs="Times New Roman"/>
          <w:noProof/>
          <w:sz w:val="24"/>
          <w:szCs w:val="24"/>
          <w14:ligatures w14:val="none"/>
        </w:rPr>
        <w:t>(HBOR).</w:t>
      </w:r>
      <w:r>
        <w:rPr>
          <w:rFonts w:ascii="Times New Roman" w:eastAsia="Aptos" w:hAnsi="Times New Roman" w:cs="Times New Roman"/>
          <w:noProof/>
          <w:sz w:val="24"/>
          <w:szCs w:val="24"/>
        </w:rPr>
        <w:t> </w:t>
      </w:r>
    </w:p>
    <w:p w14:paraId="7D2F24F2" w14:textId="77777777" w:rsidR="00553430" w:rsidRDefault="00553430">
      <w:pPr>
        <w:spacing w:after="0" w:line="240" w:lineRule="auto"/>
        <w:jc w:val="both"/>
        <w:textAlignment w:val="baseline"/>
        <w:rPr>
          <w:rFonts w:ascii="Times New Roman" w:eastAsia="Aptos" w:hAnsi="Times New Roman" w:cs="Times New Roman"/>
          <w:noProof/>
          <w:sz w:val="24"/>
          <w:szCs w:val="24"/>
          <w14:ligatures w14:val="none"/>
        </w:rPr>
      </w:pPr>
    </w:p>
    <w:p w14:paraId="14A9459D" w14:textId="77777777" w:rsidR="00553430" w:rsidRDefault="00212577">
      <w:pPr>
        <w:pStyle w:val="P68B1DB1-Normal85"/>
        <w:spacing w:after="0" w:line="240" w:lineRule="auto"/>
        <w:jc w:val="both"/>
        <w:rPr>
          <w:noProof/>
          <w14:ligatures w14:val="none"/>
        </w:rPr>
      </w:pPr>
      <w:r>
        <w:rPr>
          <w:noProof/>
        </w:rPr>
        <w:t>HBOR adopte une nouvelle politique d'investissement pour l'utilisation des fonds propres supplémentaires. La politique d’investissement comprend la description du ou des produits financiers avec le type attendu de bénéficiaires finaux éligibles q</w:t>
      </w:r>
      <w:r>
        <w:rPr>
          <w:noProof/>
        </w:rPr>
        <w:t>ue les fonds propres supplémentaires devraient initialement soutenir, y compris le calendrier prévu pour la mise en œuvre et le montant attendu de chaque produit financier. HBOR utilise pour les fonds propres supplémentaires le même système d’audit et de c</w:t>
      </w:r>
      <w:r>
        <w:rPr>
          <w:noProof/>
        </w:rPr>
        <w:t>ontrôle que celui qui a été évalué positivement par la Commission conformément à l’article 157 du règlement (UE, Euratom) 2024/2509. </w:t>
      </w:r>
    </w:p>
    <w:p w14:paraId="3CE04884" w14:textId="77777777" w:rsidR="00553430" w:rsidRDefault="00553430">
      <w:pPr>
        <w:spacing w:after="0" w:line="240" w:lineRule="auto"/>
        <w:jc w:val="both"/>
        <w:rPr>
          <w:rFonts w:ascii="Times New Roman" w:eastAsiaTheme="majorEastAsia" w:hAnsi="Times New Roman" w:cs="Times New Roman"/>
          <w:noProof/>
          <w:sz w:val="24"/>
          <w:szCs w:val="24"/>
          <w14:ligatures w14:val="none"/>
        </w:rPr>
      </w:pPr>
    </w:p>
    <w:p w14:paraId="034AB770" w14:textId="77777777" w:rsidR="00553430" w:rsidRDefault="00212577">
      <w:pPr>
        <w:pStyle w:val="P68B1DB1-Normal86"/>
        <w:spacing w:after="0" w:line="240" w:lineRule="auto"/>
        <w:jc w:val="both"/>
        <w:textAlignment w:val="baseline"/>
        <w:rPr>
          <w:noProof/>
        </w:rPr>
      </w:pPr>
      <w:r>
        <w:rPr>
          <w:noProof/>
        </w:rPr>
        <w:t xml:space="preserve">La </w:t>
      </w:r>
      <w:r>
        <w:rPr>
          <w:noProof/>
        </w:rPr>
        <w:t xml:space="preserve">politique d’investissement exige que les produits financiers soutenus par les fonds propres supplémentaires soient conformes au principe consistant à «ne pas causer de préjudice important» (DNSH) énoncé dans les orientations techniques DNSH (2021/C58/01). </w:t>
      </w:r>
      <w:r>
        <w:rPr>
          <w:noProof/>
        </w:rPr>
        <w:t>En particulier, pour les prêts ou les instruments équivalents, la politique d'investissement exclut de l'éligibilité la liste suivante d'activités et d'actifs: (i) les activités et les actifs liés aux combustibles fossiles, y compris l’utilisation en aval</w:t>
      </w:r>
      <w:r w:rsidRPr="0037173D">
        <w:rPr>
          <w:noProof/>
          <w:vertAlign w:val="superscript"/>
        </w:rPr>
        <w:footnoteReference w:id="10"/>
      </w:r>
      <w:r>
        <w:rPr>
          <w:noProof/>
        </w:rPr>
        <w:t>, (ii) les activités et les actifs relevant du système d’échange de quotas d’émission de l’UE (SEQE) permettant d’atteindre des émissions de gaz à effet de serre prévues qui ne sont pas inférieures aux référentiels pertinents</w:t>
      </w:r>
      <w:r w:rsidRPr="0037173D">
        <w:rPr>
          <w:noProof/>
          <w:vertAlign w:val="superscript"/>
        </w:rPr>
        <w:footnoteReference w:id="11"/>
      </w:r>
      <w:r>
        <w:rPr>
          <w:noProof/>
        </w:rPr>
        <w:t>, (iii) les activités et les a</w:t>
      </w:r>
      <w:r>
        <w:rPr>
          <w:noProof/>
        </w:rPr>
        <w:t>ctifs liés aux décharges de déchets, aux incinérateurs</w:t>
      </w:r>
      <w:r w:rsidRPr="0037173D">
        <w:rPr>
          <w:noProof/>
          <w:vertAlign w:val="superscript"/>
        </w:rPr>
        <w:footnoteReference w:id="12"/>
      </w:r>
      <w:r>
        <w:rPr>
          <w:noProof/>
        </w:rPr>
        <w:t xml:space="preserve"> et aux usines de traitement biologique mécanique</w:t>
      </w:r>
      <w:r w:rsidRPr="0037173D">
        <w:rPr>
          <w:noProof/>
          <w:vertAlign w:val="superscript"/>
        </w:rPr>
        <w:footnoteReference w:id="13"/>
      </w:r>
      <w:r>
        <w:rPr>
          <w:noProof/>
        </w:rPr>
        <w:t>. En ce qui concerne les fonds propres, la politique d'investissement exclut les entreprises qui mettent fortement</w:t>
      </w:r>
      <w:r w:rsidRPr="0037173D">
        <w:rPr>
          <w:noProof/>
          <w:vertAlign w:val="superscript"/>
        </w:rPr>
        <w:footnoteReference w:id="14"/>
      </w:r>
      <w:r>
        <w:rPr>
          <w:noProof/>
        </w:rPr>
        <w:t xml:space="preserve"> l'accent sur les secteurs suivants:</w:t>
      </w:r>
      <w:r>
        <w:rPr>
          <w:noProof/>
        </w:rPr>
        <w:t xml:space="preserve"> i) la production d’énergie à partir de combustibles fossiles et les activités connexes;</w:t>
      </w:r>
      <w:r w:rsidRPr="0037173D">
        <w:rPr>
          <w:noProof/>
          <w:vertAlign w:val="superscript"/>
        </w:rPr>
        <w:footnoteReference w:id="15"/>
      </w:r>
      <w:r>
        <w:rPr>
          <w:noProof/>
        </w:rPr>
        <w:t xml:space="preserve"> ii) les industries à forte intensité énergétique et/ou à forte émission de CO2;</w:t>
      </w:r>
      <w:r w:rsidRPr="0037173D">
        <w:rPr>
          <w:noProof/>
          <w:vertAlign w:val="superscript"/>
        </w:rPr>
        <w:footnoteReference w:id="16"/>
      </w:r>
      <w:r>
        <w:rPr>
          <w:noProof/>
        </w:rPr>
        <w:t xml:space="preserve"> iii) la production, la location ou la vente de véhicules polluants;</w:t>
      </w:r>
      <w:r w:rsidRPr="0037173D">
        <w:rPr>
          <w:noProof/>
          <w:vertAlign w:val="superscript"/>
        </w:rPr>
        <w:footnoteReference w:id="17"/>
      </w:r>
      <w:r>
        <w:rPr>
          <w:noProof/>
        </w:rPr>
        <w:t xml:space="preserve"> iv) la collecte,</w:t>
      </w:r>
      <w:r>
        <w:rPr>
          <w:noProof/>
        </w:rPr>
        <w:t xml:space="preserve"> le traitement et</w:t>
      </w:r>
      <w:r w:rsidRPr="0037173D">
        <w:rPr>
          <w:noProof/>
          <w:vertAlign w:val="superscript"/>
        </w:rPr>
        <w:footnoteReference w:id="18"/>
      </w:r>
      <w:r>
        <w:rPr>
          <w:noProof/>
        </w:rPr>
        <w:t xml:space="preserve"> l’élimination des déchets, v) le traitement du combustible nucléaire et la production d’énergie nucléaire. En outre, la politique d’investissement exige le</w:t>
      </w:r>
      <w:r>
        <w:rPr>
          <w:b/>
          <w:noProof/>
        </w:rPr>
        <w:t xml:space="preserve"> </w:t>
      </w:r>
      <w:r>
        <w:rPr>
          <w:noProof/>
        </w:rPr>
        <w:t>respect de la législation environnementale pertinente de l’UE et des États membre</w:t>
      </w:r>
      <w:r>
        <w:rPr>
          <w:noProof/>
        </w:rPr>
        <w:t>s par les bénéficiaires finaux de la facilité.</w:t>
      </w:r>
    </w:p>
    <w:p w14:paraId="646C021A" w14:textId="77777777" w:rsidR="00553430" w:rsidRDefault="00553430">
      <w:pPr>
        <w:spacing w:after="0" w:line="240" w:lineRule="auto"/>
        <w:jc w:val="both"/>
        <w:textAlignment w:val="baseline"/>
        <w:rPr>
          <w:rFonts w:ascii="Times New Roman" w:eastAsiaTheme="majorEastAsia" w:hAnsi="Times New Roman" w:cs="Times New Roman"/>
          <w:noProof/>
          <w:sz w:val="24"/>
          <w:szCs w:val="24"/>
          <w14:ligatures w14:val="none"/>
        </w:rPr>
      </w:pPr>
    </w:p>
    <w:p w14:paraId="1E99850E" w14:textId="77777777" w:rsidR="00553430" w:rsidRDefault="00212577">
      <w:pPr>
        <w:pStyle w:val="P68B1DB1-Normal86"/>
        <w:spacing w:after="0" w:line="240" w:lineRule="auto"/>
        <w:rPr>
          <w:noProof/>
        </w:rPr>
      </w:pPr>
      <w:r>
        <w:rPr>
          <w:noProof/>
        </w:rPr>
        <w:t>La mise en œuvre de la mesure est achevée au plus tard le 31 août 2026.  </w:t>
      </w:r>
    </w:p>
    <w:p w14:paraId="029219E5" w14:textId="77777777" w:rsidR="00553430" w:rsidRDefault="00553430">
      <w:pPr>
        <w:spacing w:line="240" w:lineRule="auto"/>
        <w:textAlignment w:val="baseline"/>
        <w:rPr>
          <w:rStyle w:val="eop"/>
          <w:rFonts w:eastAsia="Calibri"/>
          <w:noProof/>
          <w:szCs w:val="24"/>
        </w:rPr>
        <w:sectPr w:rsidR="00553430" w:rsidSect="00FA29B2">
          <w:headerReference w:type="even" r:id="rId27"/>
          <w:headerReference w:type="default" r:id="rId28"/>
          <w:footerReference w:type="even" r:id="rId29"/>
          <w:footerReference w:type="default" r:id="rId30"/>
          <w:headerReference w:type="first" r:id="rId31"/>
          <w:footerReference w:type="first" r:id="rId32"/>
          <w:pgSz w:w="11907" w:h="16839"/>
          <w:pgMar w:top="1134" w:right="1134" w:bottom="1134" w:left="1134" w:header="567" w:footer="567" w:gutter="0"/>
          <w:cols w:space="708"/>
          <w:docGrid w:linePitch="360"/>
        </w:sectPr>
      </w:pPr>
    </w:p>
    <w:p w14:paraId="39F81552" w14:textId="77777777" w:rsidR="00553430" w:rsidRDefault="00212577">
      <w:pPr>
        <w:pStyle w:val="P68B1DB1-Normal80"/>
        <w:spacing w:line="240" w:lineRule="auto"/>
        <w:jc w:val="both"/>
        <w:textAlignment w:val="baseline"/>
        <w:rPr>
          <w:rFonts w:ascii="Times New Roman" w:eastAsia="Times New Roman" w:hAnsi="Times New Roman" w:cs="Times New Roman"/>
          <w:b/>
          <w:bCs/>
          <w:noProof/>
          <w:color w:val="000000" w:themeColor="text1"/>
        </w:rPr>
      </w:pPr>
      <w:r>
        <w:rPr>
          <w:rFonts w:ascii="Times New Roman" w:eastAsia="Times New Roman" w:hAnsi="Times New Roman" w:cs="Times New Roman"/>
          <w:b/>
          <w:noProof/>
          <w:color w:val="000000" w:themeColor="text1"/>
        </w:rPr>
        <w:t xml:space="preserve">A.4. </w:t>
      </w:r>
      <w:r>
        <w:rPr>
          <w:rFonts w:ascii="Times New Roman" w:hAnsi="Times New Roman" w:cs="Times New Roman"/>
          <w:noProof/>
        </w:rPr>
        <w:t xml:space="preserve"> </w:t>
      </w:r>
      <w:r>
        <w:rPr>
          <w:rFonts w:ascii="Times New Roman" w:eastAsia="Times New Roman" w:hAnsi="Times New Roman" w:cs="Times New Roman"/>
          <w:b/>
          <w:noProof/>
          <w:color w:val="000000" w:themeColor="text1"/>
        </w:rPr>
        <w:t>Étapes, objectifs, indicateurs et calendrier du suivi et de la mis</w:t>
      </w:r>
      <w:r>
        <w:rPr>
          <w:rFonts w:ascii="Times New Roman" w:eastAsia="Times New Roman" w:hAnsi="Times New Roman" w:cs="Times New Roman"/>
          <w:b/>
          <w:noProof/>
          <w:color w:val="000000" w:themeColor="text1"/>
        </w:rPr>
        <w:t xml:space="preserve">e en œuvre du prêt </w:t>
      </w:r>
    </w:p>
    <w:tbl>
      <w:tblPr>
        <w:tblW w:w="16060" w:type="dxa"/>
        <w:jc w:val="center"/>
        <w:tblCellMar>
          <w:top w:w="28" w:type="dxa"/>
          <w:left w:w="28" w:type="dxa"/>
          <w:bottom w:w="28" w:type="dxa"/>
          <w:right w:w="28" w:type="dxa"/>
        </w:tblCellMar>
        <w:tblLook w:val="04A0" w:firstRow="1" w:lastRow="0" w:firstColumn="1" w:lastColumn="0" w:noHBand="0" w:noVBand="1"/>
      </w:tblPr>
      <w:tblGrid>
        <w:gridCol w:w="799"/>
        <w:gridCol w:w="1496"/>
        <w:gridCol w:w="1060"/>
        <w:gridCol w:w="2089"/>
        <w:gridCol w:w="1717"/>
        <w:gridCol w:w="1168"/>
        <w:gridCol w:w="852"/>
        <w:gridCol w:w="1059"/>
        <w:gridCol w:w="893"/>
        <w:gridCol w:w="709"/>
        <w:gridCol w:w="4381"/>
      </w:tblGrid>
      <w:tr w:rsidR="00553430" w14:paraId="16B56999" w14:textId="77777777">
        <w:trPr>
          <w:tblHeader/>
          <w:jc w:val="center"/>
        </w:trPr>
        <w:tc>
          <w:tcPr>
            <w:tcW w:w="7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D56CE4B" w14:textId="77777777" w:rsidR="00553430" w:rsidRDefault="00212577">
            <w:pPr>
              <w:pStyle w:val="P68B1DB1-Normal58"/>
              <w:spacing w:after="0" w:line="276" w:lineRule="auto"/>
              <w:jc w:val="center"/>
              <w:rPr>
                <w:bCs/>
                <w:noProof/>
              </w:rPr>
            </w:pPr>
            <w:bookmarkStart w:id="5" w:name="_Hlk198760236"/>
            <w:r>
              <w:rPr>
                <w:noProof/>
              </w:rPr>
              <w:t>Numéro</w:t>
            </w:r>
          </w:p>
        </w:tc>
        <w:tc>
          <w:tcPr>
            <w:tcW w:w="149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350C7C" w14:textId="77777777" w:rsidR="00553430" w:rsidRDefault="00212577">
            <w:pPr>
              <w:pStyle w:val="P68B1DB1-Normal87"/>
              <w:spacing w:after="0" w:line="276" w:lineRule="auto"/>
              <w:jc w:val="center"/>
              <w:rPr>
                <w:bCs/>
                <w:noProof/>
              </w:rPr>
            </w:pPr>
            <w:r>
              <w:rPr>
                <w:noProof/>
              </w:rPr>
              <w:t>Mesure connexe (réforme ou investissement)</w:t>
            </w:r>
          </w:p>
        </w:tc>
        <w:tc>
          <w:tcPr>
            <w:tcW w:w="10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2CA0A0" w14:textId="77777777" w:rsidR="00553430" w:rsidRDefault="00212577">
            <w:pPr>
              <w:pStyle w:val="P68B1DB1-Normal58"/>
              <w:spacing w:after="0" w:line="276" w:lineRule="auto"/>
              <w:jc w:val="center"/>
              <w:rPr>
                <w:bCs/>
                <w:noProof/>
              </w:rPr>
            </w:pPr>
            <w:r>
              <w:rPr>
                <w:noProof/>
              </w:rPr>
              <w:t>Étape/cible</w:t>
            </w:r>
          </w:p>
        </w:tc>
        <w:tc>
          <w:tcPr>
            <w:tcW w:w="20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71B0114" w14:textId="77777777" w:rsidR="00553430" w:rsidRDefault="00212577">
            <w:pPr>
              <w:pStyle w:val="P68B1DB1-Normal58"/>
              <w:spacing w:after="0" w:line="276" w:lineRule="auto"/>
              <w:jc w:val="center"/>
              <w:rPr>
                <w:bCs/>
                <w:noProof/>
              </w:rPr>
            </w:pPr>
            <w:r>
              <w:rPr>
                <w:noProof/>
              </w:rPr>
              <w:t>Nom</w:t>
            </w:r>
          </w:p>
        </w:tc>
        <w:tc>
          <w:tcPr>
            <w:tcW w:w="17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20525C6"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qualitatifs</w:t>
            </w:r>
            <w:r>
              <w:rPr>
                <w:rFonts w:ascii="Times New Roman" w:eastAsia="Calibri" w:hAnsi="Times New Roman" w:cs="Times New Roman"/>
                <w:noProof/>
              </w:rPr>
              <w:br/>
            </w:r>
            <w:r>
              <w:rPr>
                <w:rFonts w:ascii="Times New Roman" w:eastAsia="Times New Roman" w:hAnsi="Times New Roman" w:cs="Times New Roman"/>
                <w:b/>
                <w:noProof/>
              </w:rPr>
              <w:t>(pour les jalons)</w:t>
            </w:r>
          </w:p>
        </w:tc>
        <w:tc>
          <w:tcPr>
            <w:tcW w:w="305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A86D7AD"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eastAsia="Calibri" w:hAnsi="Times New Roman" w:cs="Times New Roman"/>
                <w:noProof/>
              </w:rPr>
              <w:br/>
            </w:r>
            <w:r>
              <w:rPr>
                <w:rFonts w:ascii="Times New Roman" w:eastAsia="Times New Roman" w:hAnsi="Times New Roman" w:cs="Times New Roman"/>
                <w:b/>
                <w:noProof/>
              </w:rPr>
              <w:t>(pour les objectifs)</w:t>
            </w:r>
          </w:p>
        </w:tc>
        <w:tc>
          <w:tcPr>
            <w:tcW w:w="1465" w:type="dxa"/>
            <w:gridSpan w:val="2"/>
            <w:tcBorders>
              <w:top w:val="single" w:sz="4" w:space="0" w:color="auto"/>
              <w:left w:val="nil"/>
              <w:bottom w:val="single" w:sz="4" w:space="0" w:color="auto"/>
              <w:right w:val="single" w:sz="4" w:space="0" w:color="auto"/>
            </w:tcBorders>
            <w:shd w:val="clear" w:color="auto" w:fill="BDD7EE"/>
            <w:vAlign w:val="center"/>
            <w:hideMark/>
          </w:tcPr>
          <w:p w14:paraId="420CCAE9" w14:textId="77777777" w:rsidR="00553430" w:rsidRDefault="00212577">
            <w:pPr>
              <w:pStyle w:val="P68B1DB1-Normal58"/>
              <w:spacing w:after="0" w:line="276" w:lineRule="auto"/>
              <w:jc w:val="center"/>
              <w:rPr>
                <w:bCs/>
                <w:noProof/>
              </w:rPr>
            </w:pPr>
            <w:r>
              <w:rPr>
                <w:noProof/>
              </w:rPr>
              <w:t>Temps</w:t>
            </w:r>
          </w:p>
        </w:tc>
        <w:tc>
          <w:tcPr>
            <w:tcW w:w="438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D12CEC" w14:textId="77777777" w:rsidR="00553430" w:rsidRDefault="00212577">
            <w:pPr>
              <w:pStyle w:val="P68B1DB1-Normal58"/>
              <w:spacing w:after="0" w:line="276" w:lineRule="auto"/>
              <w:jc w:val="center"/>
              <w:rPr>
                <w:bCs/>
                <w:noProof/>
              </w:rPr>
            </w:pPr>
            <w:r>
              <w:rPr>
                <w:noProof/>
              </w:rPr>
              <w:t>Description de chaque jalon et cible</w:t>
            </w:r>
          </w:p>
        </w:tc>
      </w:tr>
      <w:tr w:rsidR="00553430" w14:paraId="4C1AE41C" w14:textId="77777777">
        <w:trPr>
          <w:tblHeader/>
          <w:jc w:val="center"/>
        </w:trPr>
        <w:tc>
          <w:tcPr>
            <w:tcW w:w="799" w:type="dxa"/>
            <w:vMerge/>
            <w:tcBorders>
              <w:top w:val="single" w:sz="4" w:space="0" w:color="auto"/>
              <w:left w:val="single" w:sz="4" w:space="0" w:color="auto"/>
              <w:bottom w:val="single" w:sz="4" w:space="0" w:color="auto"/>
              <w:right w:val="single" w:sz="4" w:space="0" w:color="auto"/>
            </w:tcBorders>
            <w:hideMark/>
          </w:tcPr>
          <w:p w14:paraId="48A0E2D4"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496" w:type="dxa"/>
            <w:vMerge/>
            <w:tcBorders>
              <w:top w:val="single" w:sz="4" w:space="0" w:color="auto"/>
              <w:left w:val="single" w:sz="4" w:space="0" w:color="auto"/>
              <w:bottom w:val="single" w:sz="4" w:space="0" w:color="auto"/>
              <w:right w:val="single" w:sz="4" w:space="0" w:color="auto"/>
            </w:tcBorders>
            <w:hideMark/>
          </w:tcPr>
          <w:p w14:paraId="5F2ACD75"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60" w:type="dxa"/>
            <w:vMerge/>
            <w:tcBorders>
              <w:top w:val="single" w:sz="4" w:space="0" w:color="auto"/>
              <w:left w:val="single" w:sz="4" w:space="0" w:color="auto"/>
              <w:bottom w:val="single" w:sz="4" w:space="0" w:color="auto"/>
              <w:right w:val="single" w:sz="4" w:space="0" w:color="auto"/>
            </w:tcBorders>
            <w:hideMark/>
          </w:tcPr>
          <w:p w14:paraId="0818F7AB"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2089" w:type="dxa"/>
            <w:vMerge/>
            <w:tcBorders>
              <w:top w:val="single" w:sz="4" w:space="0" w:color="auto"/>
              <w:left w:val="single" w:sz="4" w:space="0" w:color="auto"/>
              <w:bottom w:val="single" w:sz="4" w:space="0" w:color="auto"/>
              <w:right w:val="single" w:sz="4" w:space="0" w:color="auto"/>
            </w:tcBorders>
            <w:hideMark/>
          </w:tcPr>
          <w:p w14:paraId="40E21FC1" w14:textId="77777777" w:rsidR="00553430" w:rsidRDefault="00553430">
            <w:pPr>
              <w:spacing w:after="0" w:line="276" w:lineRule="auto"/>
              <w:rPr>
                <w:rFonts w:ascii="Times New Roman" w:eastAsia="Times New Roman" w:hAnsi="Times New Roman" w:cs="Times New Roman"/>
                <w:b/>
                <w:noProof/>
                <w:sz w:val="20"/>
                <w:szCs w:val="20"/>
              </w:rPr>
            </w:pPr>
          </w:p>
        </w:tc>
        <w:tc>
          <w:tcPr>
            <w:tcW w:w="0" w:type="auto"/>
            <w:vMerge/>
            <w:tcBorders>
              <w:top w:val="single" w:sz="4" w:space="0" w:color="auto"/>
              <w:left w:val="single" w:sz="4" w:space="0" w:color="auto"/>
              <w:bottom w:val="single" w:sz="4" w:space="0" w:color="auto"/>
              <w:right w:val="single" w:sz="4" w:space="0" w:color="auto"/>
            </w:tcBorders>
            <w:hideMark/>
          </w:tcPr>
          <w:p w14:paraId="3DE917A4" w14:textId="77777777" w:rsidR="00553430" w:rsidRDefault="00553430">
            <w:pPr>
              <w:spacing w:after="0" w:line="276" w:lineRule="auto"/>
              <w:rPr>
                <w:rFonts w:ascii="Times New Roman" w:eastAsia="Times New Roman" w:hAnsi="Times New Roman" w:cs="Times New Roman"/>
                <w:b/>
                <w:noProof/>
                <w:sz w:val="20"/>
                <w:szCs w:val="20"/>
              </w:rPr>
            </w:pPr>
          </w:p>
        </w:tc>
        <w:tc>
          <w:tcPr>
            <w:tcW w:w="1168" w:type="dxa"/>
            <w:tcBorders>
              <w:top w:val="single" w:sz="4" w:space="0" w:color="auto"/>
              <w:left w:val="single" w:sz="4" w:space="0" w:color="auto"/>
              <w:bottom w:val="single" w:sz="4" w:space="0" w:color="auto"/>
              <w:right w:val="single" w:sz="4" w:space="0" w:color="auto"/>
            </w:tcBorders>
            <w:shd w:val="clear" w:color="auto" w:fill="BDD7EE"/>
            <w:hideMark/>
          </w:tcPr>
          <w:p w14:paraId="323CB0F7" w14:textId="77777777" w:rsidR="00553430" w:rsidRDefault="00212577">
            <w:pPr>
              <w:pStyle w:val="P68B1DB1-Normal58"/>
              <w:spacing w:after="0" w:line="276" w:lineRule="auto"/>
              <w:jc w:val="center"/>
              <w:rPr>
                <w:bCs/>
                <w:noProof/>
              </w:rPr>
            </w:pPr>
            <w:r>
              <w:rPr>
                <w:noProof/>
              </w:rPr>
              <w:t>Unité</w:t>
            </w:r>
          </w:p>
        </w:tc>
        <w:tc>
          <w:tcPr>
            <w:tcW w:w="826" w:type="dxa"/>
            <w:tcBorders>
              <w:top w:val="single" w:sz="4" w:space="0" w:color="auto"/>
              <w:left w:val="single" w:sz="4" w:space="0" w:color="auto"/>
              <w:bottom w:val="single" w:sz="4" w:space="0" w:color="auto"/>
              <w:right w:val="single" w:sz="4" w:space="0" w:color="auto"/>
            </w:tcBorders>
            <w:shd w:val="clear" w:color="auto" w:fill="BDD7EE"/>
            <w:hideMark/>
          </w:tcPr>
          <w:p w14:paraId="5D5DCB05" w14:textId="77777777" w:rsidR="00553430" w:rsidRDefault="00212577">
            <w:pPr>
              <w:pStyle w:val="P68B1DB1-Normal58"/>
              <w:spacing w:after="0" w:line="276" w:lineRule="auto"/>
              <w:jc w:val="center"/>
              <w:rPr>
                <w:bCs/>
                <w:noProof/>
              </w:rPr>
            </w:pPr>
            <w:r>
              <w:rPr>
                <w:noProof/>
              </w:rPr>
              <w:t>Données de référence</w:t>
            </w:r>
          </w:p>
        </w:tc>
        <w:tc>
          <w:tcPr>
            <w:tcW w:w="1059" w:type="dxa"/>
            <w:tcBorders>
              <w:top w:val="single" w:sz="4" w:space="0" w:color="auto"/>
              <w:left w:val="single" w:sz="4" w:space="0" w:color="auto"/>
              <w:bottom w:val="single" w:sz="4" w:space="0" w:color="auto"/>
              <w:right w:val="single" w:sz="4" w:space="0" w:color="auto"/>
            </w:tcBorders>
            <w:shd w:val="clear" w:color="auto" w:fill="BDD7EE"/>
            <w:hideMark/>
          </w:tcPr>
          <w:p w14:paraId="7242701B" w14:textId="77777777" w:rsidR="00553430" w:rsidRDefault="00212577">
            <w:pPr>
              <w:pStyle w:val="P68B1DB1-Normal58"/>
              <w:spacing w:after="0" w:line="276" w:lineRule="auto"/>
              <w:jc w:val="center"/>
              <w:rPr>
                <w:bCs/>
                <w:noProof/>
              </w:rPr>
            </w:pPr>
            <w:r>
              <w:rPr>
                <w:noProof/>
              </w:rPr>
              <w:t>Objectif</w:t>
            </w:r>
          </w:p>
        </w:tc>
        <w:tc>
          <w:tcPr>
            <w:tcW w:w="756" w:type="dxa"/>
            <w:tcBorders>
              <w:top w:val="single" w:sz="4" w:space="0" w:color="auto"/>
              <w:left w:val="single" w:sz="4" w:space="0" w:color="auto"/>
              <w:bottom w:val="single" w:sz="4" w:space="0" w:color="auto"/>
              <w:right w:val="single" w:sz="4" w:space="0" w:color="auto"/>
            </w:tcBorders>
            <w:shd w:val="clear" w:color="auto" w:fill="BDD7EE"/>
            <w:hideMark/>
          </w:tcPr>
          <w:p w14:paraId="79D3AE39" w14:textId="77777777" w:rsidR="00553430" w:rsidRDefault="00212577">
            <w:pPr>
              <w:pStyle w:val="P68B1DB1-Normal58"/>
              <w:spacing w:after="0" w:line="276" w:lineRule="auto"/>
              <w:jc w:val="center"/>
              <w:rPr>
                <w:bCs/>
                <w:noProof/>
              </w:rPr>
            </w:pPr>
            <w:r>
              <w:rPr>
                <w:noProof/>
              </w:rPr>
              <w:t>Trimestre</w:t>
            </w:r>
          </w:p>
        </w:tc>
        <w:tc>
          <w:tcPr>
            <w:tcW w:w="709" w:type="dxa"/>
            <w:tcBorders>
              <w:top w:val="single" w:sz="4" w:space="0" w:color="auto"/>
              <w:left w:val="single" w:sz="4" w:space="0" w:color="auto"/>
              <w:bottom w:val="single" w:sz="4" w:space="0" w:color="auto"/>
              <w:right w:val="single" w:sz="4" w:space="0" w:color="auto"/>
            </w:tcBorders>
            <w:shd w:val="clear" w:color="auto" w:fill="BDD7EE"/>
            <w:hideMark/>
          </w:tcPr>
          <w:p w14:paraId="48CFA8A2" w14:textId="77777777" w:rsidR="00553430" w:rsidRDefault="00212577">
            <w:pPr>
              <w:pStyle w:val="P68B1DB1-Normal58"/>
              <w:spacing w:after="0" w:line="276" w:lineRule="auto"/>
              <w:jc w:val="center"/>
              <w:rPr>
                <w:bCs/>
                <w:noProof/>
              </w:rPr>
            </w:pPr>
            <w:r>
              <w:rPr>
                <w:noProof/>
              </w:rPr>
              <w:t>Année</w:t>
            </w:r>
          </w:p>
        </w:tc>
        <w:tc>
          <w:tcPr>
            <w:tcW w:w="4381" w:type="dxa"/>
            <w:vMerge/>
            <w:tcBorders>
              <w:top w:val="single" w:sz="4" w:space="0" w:color="auto"/>
              <w:left w:val="single" w:sz="4" w:space="0" w:color="auto"/>
              <w:bottom w:val="single" w:sz="4" w:space="0" w:color="auto"/>
              <w:right w:val="single" w:sz="4" w:space="0" w:color="auto"/>
            </w:tcBorders>
            <w:hideMark/>
          </w:tcPr>
          <w:p w14:paraId="6185264B"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272C8841" w14:textId="77777777">
        <w:trPr>
          <w:jc w:val="center"/>
        </w:trPr>
        <w:tc>
          <w:tcPr>
            <w:tcW w:w="799" w:type="dxa"/>
            <w:tcBorders>
              <w:top w:val="single" w:sz="4" w:space="0" w:color="auto"/>
              <w:left w:val="single" w:sz="4" w:space="0" w:color="auto"/>
              <w:bottom w:val="single" w:sz="4" w:space="0" w:color="auto"/>
              <w:right w:val="single" w:sz="4" w:space="0" w:color="auto"/>
            </w:tcBorders>
            <w:shd w:val="clear" w:color="auto" w:fill="C6EFCE"/>
            <w:noWrap/>
          </w:tcPr>
          <w:p w14:paraId="3EADF058" w14:textId="77777777" w:rsidR="00553430" w:rsidRDefault="00212577">
            <w:pPr>
              <w:pStyle w:val="P68B1DB1-Normal70"/>
              <w:spacing w:after="200" w:line="276" w:lineRule="auto"/>
              <w:jc w:val="center"/>
              <w:rPr>
                <w:noProof/>
                <w:color w:val="000000"/>
              </w:rPr>
            </w:pPr>
            <w:r>
              <w:rPr>
                <w:noProof/>
              </w:rPr>
              <w:t>373</w:t>
            </w:r>
          </w:p>
        </w:tc>
        <w:tc>
          <w:tcPr>
            <w:tcW w:w="1496" w:type="dxa"/>
            <w:tcBorders>
              <w:top w:val="single" w:sz="4" w:space="0" w:color="auto"/>
              <w:left w:val="nil"/>
              <w:bottom w:val="single" w:sz="4" w:space="0" w:color="auto"/>
              <w:right w:val="single" w:sz="4" w:space="0" w:color="auto"/>
            </w:tcBorders>
            <w:shd w:val="clear" w:color="auto" w:fill="C6EFCE"/>
            <w:noWrap/>
          </w:tcPr>
          <w:p w14:paraId="31EA4892" w14:textId="77777777" w:rsidR="00553430" w:rsidRDefault="00212577">
            <w:pPr>
              <w:pStyle w:val="P68B1DB1-Normal70"/>
              <w:spacing w:after="200" w:line="276" w:lineRule="auto"/>
              <w:jc w:val="center"/>
              <w:rPr>
                <w:noProof/>
              </w:rPr>
            </w:pPr>
            <w:r>
              <w:rPr>
                <w:noProof/>
              </w:rPr>
              <w:t>C1.1.1.R5</w:t>
            </w:r>
          </w:p>
        </w:tc>
        <w:tc>
          <w:tcPr>
            <w:tcW w:w="1060" w:type="dxa"/>
            <w:tcBorders>
              <w:top w:val="single" w:sz="4" w:space="0" w:color="auto"/>
              <w:left w:val="nil"/>
              <w:bottom w:val="single" w:sz="4" w:space="0" w:color="auto"/>
              <w:right w:val="single" w:sz="4" w:space="0" w:color="auto"/>
            </w:tcBorders>
            <w:shd w:val="clear" w:color="auto" w:fill="C6EFCE"/>
            <w:noWrap/>
          </w:tcPr>
          <w:p w14:paraId="03EED266" w14:textId="77777777" w:rsidR="00553430" w:rsidRDefault="00212577">
            <w:pPr>
              <w:pStyle w:val="P68B1DB1-Normal70"/>
              <w:spacing w:after="200" w:line="276" w:lineRule="auto"/>
              <w:jc w:val="center"/>
              <w:rPr>
                <w:noProof/>
              </w:rPr>
            </w:pPr>
            <w:r>
              <w:rPr>
                <w:noProof/>
              </w:rPr>
              <w:t>M</w:t>
            </w:r>
          </w:p>
        </w:tc>
        <w:tc>
          <w:tcPr>
            <w:tcW w:w="2089" w:type="dxa"/>
            <w:tcBorders>
              <w:top w:val="single" w:sz="4" w:space="0" w:color="auto"/>
              <w:left w:val="nil"/>
              <w:bottom w:val="single" w:sz="4" w:space="0" w:color="auto"/>
              <w:right w:val="single" w:sz="4" w:space="0" w:color="auto"/>
            </w:tcBorders>
            <w:shd w:val="clear" w:color="auto" w:fill="C6EFCE"/>
            <w:noWrap/>
          </w:tcPr>
          <w:p w14:paraId="3040CC97" w14:textId="0E42DBF7" w:rsidR="00553430" w:rsidRDefault="00212577">
            <w:pPr>
              <w:pStyle w:val="P68B1DB1-Normal70"/>
              <w:spacing w:line="240" w:lineRule="auto"/>
              <w:rPr>
                <w:noProof/>
              </w:rPr>
            </w:pPr>
            <w:r>
              <w:rPr>
                <w:noProof/>
              </w:rPr>
              <w:t>Adoption du cadre stratégique pour le développement du marché des capitaux en Croatie et du plan d'action qui l'accompagne</w:t>
            </w:r>
          </w:p>
        </w:tc>
        <w:tc>
          <w:tcPr>
            <w:tcW w:w="1717" w:type="dxa"/>
            <w:tcBorders>
              <w:top w:val="single" w:sz="4" w:space="0" w:color="auto"/>
              <w:left w:val="nil"/>
              <w:bottom w:val="single" w:sz="4" w:space="0" w:color="auto"/>
              <w:right w:val="single" w:sz="4" w:space="0" w:color="auto"/>
            </w:tcBorders>
            <w:shd w:val="clear" w:color="auto" w:fill="C6EFCE"/>
            <w:noWrap/>
          </w:tcPr>
          <w:p w14:paraId="260DDA15" w14:textId="3CF14077" w:rsidR="00553430" w:rsidRDefault="00212577">
            <w:pPr>
              <w:pStyle w:val="P68B1DB1-Normal70"/>
              <w:spacing w:line="240" w:lineRule="auto"/>
              <w:rPr>
                <w:noProof/>
              </w:rPr>
            </w:pPr>
            <w:r>
              <w:rPr>
                <w:noProof/>
              </w:rPr>
              <w:t xml:space="preserve">Le cadre stratégique et le plan d’action visant à soutenir le développement du marché </w:t>
            </w:r>
            <w:r>
              <w:rPr>
                <w:noProof/>
              </w:rPr>
              <w:t>national des capitaux adoptés par le gouvernement croate</w:t>
            </w:r>
          </w:p>
        </w:tc>
        <w:tc>
          <w:tcPr>
            <w:tcW w:w="1168" w:type="dxa"/>
            <w:tcBorders>
              <w:top w:val="single" w:sz="4" w:space="0" w:color="auto"/>
              <w:left w:val="nil"/>
              <w:bottom w:val="single" w:sz="4" w:space="0" w:color="auto"/>
              <w:right w:val="single" w:sz="4" w:space="0" w:color="auto"/>
            </w:tcBorders>
            <w:shd w:val="clear" w:color="auto" w:fill="C6EFCE"/>
            <w:noWrap/>
          </w:tcPr>
          <w:p w14:paraId="7C7425C7" w14:textId="77777777" w:rsidR="00553430" w:rsidRDefault="00553430">
            <w:pPr>
              <w:spacing w:after="200" w:line="276" w:lineRule="auto"/>
              <w:jc w:val="center"/>
              <w:rPr>
                <w:rFonts w:ascii="Times New Roman" w:eastAsia="Calibri" w:hAnsi="Times New Roman" w:cs="Times New Roman"/>
                <w:noProof/>
                <w:sz w:val="20"/>
                <w:szCs w:val="20"/>
              </w:rPr>
            </w:pPr>
          </w:p>
        </w:tc>
        <w:tc>
          <w:tcPr>
            <w:tcW w:w="826" w:type="dxa"/>
            <w:tcBorders>
              <w:top w:val="single" w:sz="4" w:space="0" w:color="auto"/>
              <w:left w:val="nil"/>
              <w:bottom w:val="single" w:sz="4" w:space="0" w:color="auto"/>
              <w:right w:val="single" w:sz="4" w:space="0" w:color="auto"/>
            </w:tcBorders>
            <w:shd w:val="clear" w:color="auto" w:fill="C6EFCE"/>
            <w:noWrap/>
          </w:tcPr>
          <w:p w14:paraId="0EDA2E72" w14:textId="77777777" w:rsidR="00553430" w:rsidRDefault="00553430">
            <w:pPr>
              <w:spacing w:after="200" w:line="276" w:lineRule="auto"/>
              <w:jc w:val="center"/>
              <w:rPr>
                <w:rFonts w:ascii="Times New Roman" w:eastAsia="Calibri" w:hAnsi="Times New Roman" w:cs="Times New Roman"/>
                <w:noProof/>
                <w:sz w:val="20"/>
                <w:szCs w:val="20"/>
              </w:rPr>
            </w:pPr>
          </w:p>
        </w:tc>
        <w:tc>
          <w:tcPr>
            <w:tcW w:w="1059" w:type="dxa"/>
            <w:tcBorders>
              <w:top w:val="single" w:sz="4" w:space="0" w:color="auto"/>
              <w:left w:val="nil"/>
              <w:bottom w:val="single" w:sz="4" w:space="0" w:color="auto"/>
              <w:right w:val="single" w:sz="4" w:space="0" w:color="auto"/>
            </w:tcBorders>
            <w:shd w:val="clear" w:color="auto" w:fill="C6EFCE"/>
            <w:noWrap/>
          </w:tcPr>
          <w:p w14:paraId="6334754C" w14:textId="77777777" w:rsidR="00553430" w:rsidRDefault="00553430">
            <w:pPr>
              <w:spacing w:after="200" w:line="276" w:lineRule="auto"/>
              <w:jc w:val="center"/>
              <w:rPr>
                <w:rFonts w:ascii="Times New Roman" w:eastAsia="Calibri" w:hAnsi="Times New Roman" w:cs="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6E84D30D" w14:textId="77777777" w:rsidR="00553430" w:rsidRDefault="00212577">
            <w:pPr>
              <w:pStyle w:val="P68B1DB1-Normal70"/>
              <w:spacing w:line="240" w:lineRule="auto"/>
              <w:jc w:val="center"/>
              <w:rPr>
                <w:rFonts w:eastAsia="Times New Roman"/>
                <w:strike/>
                <w:noProof/>
              </w:rPr>
            </w:pPr>
            <w:r>
              <w:rPr>
                <w:noProof/>
              </w:rPr>
              <w:t>T4</w:t>
            </w:r>
          </w:p>
          <w:p w14:paraId="78A18FE2" w14:textId="77777777" w:rsidR="00553430" w:rsidRDefault="00553430">
            <w:pPr>
              <w:spacing w:after="200" w:line="276" w:lineRule="auto"/>
              <w:jc w:val="center"/>
              <w:rPr>
                <w:rFonts w:ascii="Times New Roman" w:eastAsia="Calibri" w:hAnsi="Times New Roman" w:cs="Times New Roman"/>
                <w:noProof/>
                <w:sz w:val="20"/>
                <w:szCs w:val="20"/>
              </w:rPr>
            </w:pPr>
          </w:p>
        </w:tc>
        <w:tc>
          <w:tcPr>
            <w:tcW w:w="709" w:type="dxa"/>
            <w:tcBorders>
              <w:top w:val="single" w:sz="4" w:space="0" w:color="auto"/>
              <w:left w:val="nil"/>
              <w:bottom w:val="single" w:sz="4" w:space="0" w:color="auto"/>
              <w:right w:val="single" w:sz="4" w:space="0" w:color="auto"/>
            </w:tcBorders>
            <w:shd w:val="clear" w:color="auto" w:fill="C6EFCE"/>
            <w:noWrap/>
          </w:tcPr>
          <w:p w14:paraId="6919BC2C" w14:textId="77777777" w:rsidR="00553430" w:rsidRDefault="00212577">
            <w:pPr>
              <w:pStyle w:val="P68B1DB1-Normal70"/>
              <w:spacing w:line="240" w:lineRule="auto"/>
              <w:jc w:val="center"/>
              <w:rPr>
                <w:noProof/>
              </w:rPr>
            </w:pPr>
            <w:r>
              <w:rPr>
                <w:noProof/>
              </w:rPr>
              <w:t>2024</w:t>
            </w:r>
          </w:p>
          <w:p w14:paraId="1B54D38E" w14:textId="77777777" w:rsidR="00553430" w:rsidRDefault="00553430">
            <w:pPr>
              <w:spacing w:after="200" w:line="276" w:lineRule="auto"/>
              <w:jc w:val="center"/>
              <w:rPr>
                <w:rFonts w:ascii="Times New Roman" w:eastAsia="Calibri" w:hAnsi="Times New Roman" w:cs="Times New Roman"/>
                <w:noProof/>
                <w:sz w:val="20"/>
                <w:szCs w:val="20"/>
              </w:rPr>
            </w:pPr>
          </w:p>
        </w:tc>
        <w:tc>
          <w:tcPr>
            <w:tcW w:w="4381" w:type="dxa"/>
            <w:tcBorders>
              <w:top w:val="single" w:sz="4" w:space="0" w:color="auto"/>
              <w:left w:val="nil"/>
              <w:bottom w:val="single" w:sz="4" w:space="0" w:color="auto"/>
              <w:right w:val="single" w:sz="4" w:space="0" w:color="auto"/>
            </w:tcBorders>
            <w:shd w:val="clear" w:color="auto" w:fill="C6EFCE"/>
            <w:noWrap/>
          </w:tcPr>
          <w:p w14:paraId="2044B3D2" w14:textId="532D11E3" w:rsidR="00553430" w:rsidRDefault="00212577">
            <w:pPr>
              <w:pStyle w:val="P68B1DB1-Normal70"/>
              <w:spacing w:line="240" w:lineRule="auto"/>
              <w:rPr>
                <w:noProof/>
              </w:rPr>
            </w:pPr>
            <w:r>
              <w:rPr>
                <w:noProof/>
              </w:rPr>
              <w:t xml:space="preserve">Le ministère des finances, en coopération avec les parties prenantes concernées, élabore un cadre stratégique pour le développement du marché des capitaux en République de Croatie et un </w:t>
            </w:r>
            <w:r>
              <w:rPr>
                <w:noProof/>
              </w:rPr>
              <w:t>plan d’action, à adopter par le gouvernement croate.</w:t>
            </w:r>
          </w:p>
          <w:p w14:paraId="06B352D7" w14:textId="77777777" w:rsidR="00553430" w:rsidRDefault="00212577">
            <w:pPr>
              <w:pStyle w:val="P68B1DB1-paragraph88"/>
              <w:spacing w:before="0" w:beforeAutospacing="0" w:after="240" w:afterAutospacing="0"/>
              <w:jc w:val="both"/>
              <w:textAlignment w:val="baseline"/>
              <w:rPr>
                <w:noProof/>
              </w:rPr>
            </w:pPr>
            <w:r>
              <w:rPr>
                <w:noProof/>
              </w:rPr>
              <w:t>Le plan d’action accompagne le cadre stratégique et comprend des calendriers pour la mise en œuvre des différentes activités. La stratégie (le cadre stratégique pour le développement du marché des capita</w:t>
            </w:r>
            <w:r>
              <w:rPr>
                <w:noProof/>
              </w:rPr>
              <w:t>ux en Croatie) fournit une analyse de la situation du marché des capitaux en Croatie, en recensant les principaux obstacles à son fonctionnement en tant que source alternative de financement et les possibilités de diversification et de développement. Au mo</w:t>
            </w:r>
            <w:r>
              <w:rPr>
                <w:noProof/>
              </w:rPr>
              <w:t>ins les éléments suivants doivent être pris en considération: </w:t>
            </w:r>
          </w:p>
          <w:p w14:paraId="287DA386" w14:textId="77777777" w:rsidR="00553430" w:rsidRDefault="00212577">
            <w:pPr>
              <w:pStyle w:val="P68B1DB1-paragraph88"/>
              <w:numPr>
                <w:ilvl w:val="0"/>
                <w:numId w:val="46"/>
              </w:numPr>
              <w:spacing w:before="0" w:beforeAutospacing="0" w:after="0" w:afterAutospacing="0"/>
              <w:jc w:val="both"/>
              <w:textAlignment w:val="baseline"/>
              <w:rPr>
                <w:noProof/>
              </w:rPr>
            </w:pPr>
            <w:r>
              <w:rPr>
                <w:noProof/>
              </w:rPr>
              <w:t>le rôle des grands investisseurs institutionnels sur le marché des capitaux, y compris les institutions du deuxième pilier (en particulier les fonds de pension obligatoires et les compagnies d’</w:t>
            </w:r>
            <w:r>
              <w:rPr>
                <w:noProof/>
              </w:rPr>
              <w:t>assurance retraite) et les compagnies d’assurance; </w:t>
            </w:r>
          </w:p>
          <w:p w14:paraId="76F725F7" w14:textId="77777777" w:rsidR="00553430" w:rsidRDefault="00212577">
            <w:pPr>
              <w:pStyle w:val="P68B1DB1-paragraph88"/>
              <w:numPr>
                <w:ilvl w:val="0"/>
                <w:numId w:val="46"/>
              </w:numPr>
              <w:spacing w:before="0" w:beforeAutospacing="0" w:after="0" w:afterAutospacing="0"/>
              <w:jc w:val="both"/>
              <w:textAlignment w:val="baseline"/>
              <w:rPr>
                <w:noProof/>
              </w:rPr>
            </w:pPr>
            <w:r>
              <w:rPr>
                <w:noProof/>
              </w:rPr>
              <w:t>élargir les possibilités et simplifier les procédures de cotation, en tenant compte des entreprises publiques, des PME et des entreprises à moyenne capitalisation; </w:t>
            </w:r>
          </w:p>
          <w:p w14:paraId="02787037" w14:textId="77777777" w:rsidR="00553430" w:rsidRDefault="00212577">
            <w:pPr>
              <w:pStyle w:val="P68B1DB1-paragraph88"/>
              <w:numPr>
                <w:ilvl w:val="0"/>
                <w:numId w:val="46"/>
              </w:numPr>
              <w:spacing w:before="0" w:beforeAutospacing="0" w:after="0" w:afterAutospacing="0"/>
              <w:jc w:val="both"/>
              <w:textAlignment w:val="baseline"/>
              <w:rPr>
                <w:noProof/>
              </w:rPr>
            </w:pPr>
            <w:r>
              <w:rPr>
                <w:noProof/>
              </w:rPr>
              <w:t>accroître la liquidité, la diversificat</w:t>
            </w:r>
            <w:r>
              <w:rPr>
                <w:noProof/>
              </w:rPr>
              <w:t>ion et le chiffre d'affaires sur le marché des capitaux, notamment en encourageant les activités de tenue de marché; </w:t>
            </w:r>
          </w:p>
          <w:p w14:paraId="6175AEA4" w14:textId="77777777" w:rsidR="00553430" w:rsidRDefault="00212577">
            <w:pPr>
              <w:pStyle w:val="P68B1DB1-paragraph88"/>
              <w:numPr>
                <w:ilvl w:val="0"/>
                <w:numId w:val="46"/>
              </w:numPr>
              <w:spacing w:before="0" w:beforeAutospacing="0" w:after="0" w:afterAutospacing="0"/>
              <w:jc w:val="both"/>
              <w:textAlignment w:val="baseline"/>
              <w:rPr>
                <w:noProof/>
              </w:rPr>
            </w:pPr>
            <w:r>
              <w:rPr>
                <w:noProof/>
              </w:rPr>
              <w:t>favoriser l’approfondissement du marché des instruments financiers, tels que les obligations d’entreprises et les obligations d’État, ains</w:t>
            </w:r>
            <w:r>
              <w:rPr>
                <w:noProof/>
              </w:rPr>
              <w:t>i que les instruments dérivés sur matières premières et les titrisations; </w:t>
            </w:r>
          </w:p>
          <w:p w14:paraId="7AB9C06A" w14:textId="77777777" w:rsidR="00553430" w:rsidRDefault="00212577">
            <w:pPr>
              <w:pStyle w:val="P68B1DB1-paragraph88"/>
              <w:numPr>
                <w:ilvl w:val="0"/>
                <w:numId w:val="46"/>
              </w:numPr>
              <w:spacing w:before="0" w:beforeAutospacing="0" w:after="0" w:afterAutospacing="0"/>
              <w:jc w:val="both"/>
              <w:textAlignment w:val="baseline"/>
              <w:rPr>
                <w:noProof/>
              </w:rPr>
            </w:pPr>
            <w:r>
              <w:rPr>
                <w:noProof/>
              </w:rPr>
              <w:t>développer les infrastructures existantes des marchés financiers, y compris les options permettant d'améliorer le modèle économique de la contrepartie centrale; </w:t>
            </w:r>
          </w:p>
          <w:p w14:paraId="4317967F" w14:textId="77777777" w:rsidR="00553430" w:rsidRDefault="00212577">
            <w:pPr>
              <w:pStyle w:val="P68B1DB1-paragraph88"/>
              <w:numPr>
                <w:ilvl w:val="0"/>
                <w:numId w:val="46"/>
              </w:numPr>
              <w:spacing w:before="0" w:beforeAutospacing="0" w:after="0" w:afterAutospacing="0"/>
              <w:jc w:val="both"/>
              <w:textAlignment w:val="baseline"/>
              <w:rPr>
                <w:noProof/>
              </w:rPr>
            </w:pPr>
            <w:r>
              <w:rPr>
                <w:noProof/>
              </w:rPr>
              <w:t>adapter le cadre ré</w:t>
            </w:r>
            <w:r>
              <w:rPr>
                <w:noProof/>
              </w:rPr>
              <w:t>glementaire pour mieux répondre à l'objectif de développement du marché des capitaux; </w:t>
            </w:r>
          </w:p>
          <w:p w14:paraId="7AF566DE" w14:textId="77777777" w:rsidR="00553430" w:rsidRDefault="00212577">
            <w:pPr>
              <w:pStyle w:val="P68B1DB1-paragraph88"/>
              <w:numPr>
                <w:ilvl w:val="0"/>
                <w:numId w:val="46"/>
              </w:numPr>
              <w:spacing w:before="0" w:beforeAutospacing="0" w:after="0" w:afterAutospacing="0"/>
              <w:jc w:val="both"/>
              <w:textAlignment w:val="baseline"/>
              <w:rPr>
                <w:noProof/>
              </w:rPr>
            </w:pPr>
            <w:r>
              <w:rPr>
                <w:noProof/>
              </w:rPr>
              <w:t>renforcer la culture financière des investisseurs; </w:t>
            </w:r>
          </w:p>
          <w:p w14:paraId="33783F98" w14:textId="77777777" w:rsidR="00553430" w:rsidRDefault="00212577">
            <w:pPr>
              <w:pStyle w:val="P68B1DB1-paragraph88"/>
              <w:numPr>
                <w:ilvl w:val="0"/>
                <w:numId w:val="46"/>
              </w:numPr>
              <w:spacing w:before="0" w:beforeAutospacing="0" w:after="0" w:afterAutospacing="0"/>
              <w:jc w:val="both"/>
              <w:textAlignment w:val="baseline"/>
              <w:rPr>
                <w:noProof/>
              </w:rPr>
            </w:pPr>
            <w:r>
              <w:rPr>
                <w:noProof/>
              </w:rPr>
              <w:t>Renforcer le cadre de la finance durable. </w:t>
            </w:r>
          </w:p>
        </w:tc>
      </w:tr>
      <w:tr w:rsidR="00553430" w14:paraId="4580FD82" w14:textId="77777777">
        <w:trPr>
          <w:jc w:val="center"/>
        </w:trPr>
        <w:tc>
          <w:tcPr>
            <w:tcW w:w="799" w:type="dxa"/>
            <w:tcBorders>
              <w:top w:val="single" w:sz="4" w:space="0" w:color="auto"/>
              <w:left w:val="single" w:sz="4" w:space="0" w:color="auto"/>
              <w:bottom w:val="single" w:sz="4" w:space="0" w:color="auto"/>
              <w:right w:val="single" w:sz="4" w:space="0" w:color="auto"/>
            </w:tcBorders>
            <w:shd w:val="clear" w:color="auto" w:fill="C6EFCE"/>
            <w:noWrap/>
          </w:tcPr>
          <w:p w14:paraId="7273FDE0" w14:textId="77777777" w:rsidR="00553430" w:rsidRDefault="00212577">
            <w:pPr>
              <w:pStyle w:val="P68B1DB1-Normal70"/>
              <w:spacing w:after="200" w:line="276" w:lineRule="auto"/>
              <w:jc w:val="center"/>
              <w:rPr>
                <w:noProof/>
              </w:rPr>
            </w:pPr>
            <w:r>
              <w:rPr>
                <w:noProof/>
              </w:rPr>
              <w:t>375</w:t>
            </w:r>
          </w:p>
        </w:tc>
        <w:tc>
          <w:tcPr>
            <w:tcW w:w="1496" w:type="dxa"/>
            <w:tcBorders>
              <w:top w:val="single" w:sz="4" w:space="0" w:color="auto"/>
              <w:left w:val="nil"/>
              <w:bottom w:val="single" w:sz="4" w:space="0" w:color="auto"/>
              <w:right w:val="single" w:sz="4" w:space="0" w:color="auto"/>
            </w:tcBorders>
            <w:shd w:val="clear" w:color="auto" w:fill="C6EFCE"/>
            <w:noWrap/>
          </w:tcPr>
          <w:p w14:paraId="66DF7987" w14:textId="77777777" w:rsidR="00553430" w:rsidRDefault="00212577">
            <w:pPr>
              <w:pStyle w:val="P68B1DB1-Normal70"/>
              <w:spacing w:after="200" w:line="276" w:lineRule="auto"/>
              <w:jc w:val="center"/>
              <w:rPr>
                <w:noProof/>
              </w:rPr>
            </w:pPr>
            <w:r>
              <w:rPr>
                <w:noProof/>
              </w:rPr>
              <w:t>C1.1.1. R7</w:t>
            </w:r>
          </w:p>
        </w:tc>
        <w:tc>
          <w:tcPr>
            <w:tcW w:w="1060" w:type="dxa"/>
            <w:tcBorders>
              <w:top w:val="single" w:sz="4" w:space="0" w:color="auto"/>
              <w:left w:val="nil"/>
              <w:bottom w:val="single" w:sz="4" w:space="0" w:color="auto"/>
              <w:right w:val="single" w:sz="4" w:space="0" w:color="auto"/>
            </w:tcBorders>
            <w:shd w:val="clear" w:color="auto" w:fill="C6EFCE"/>
            <w:noWrap/>
          </w:tcPr>
          <w:p w14:paraId="26461353" w14:textId="77777777" w:rsidR="00553430" w:rsidRDefault="00212577">
            <w:pPr>
              <w:pStyle w:val="P68B1DB1-Normal70"/>
              <w:spacing w:after="200" w:line="276" w:lineRule="auto"/>
              <w:jc w:val="center"/>
              <w:rPr>
                <w:noProof/>
              </w:rPr>
            </w:pPr>
            <w:r>
              <w:rPr>
                <w:noProof/>
              </w:rPr>
              <w:t>M</w:t>
            </w:r>
          </w:p>
        </w:tc>
        <w:tc>
          <w:tcPr>
            <w:tcW w:w="2089" w:type="dxa"/>
            <w:tcBorders>
              <w:top w:val="single" w:sz="4" w:space="0" w:color="auto"/>
              <w:left w:val="nil"/>
              <w:bottom w:val="single" w:sz="4" w:space="0" w:color="auto"/>
              <w:right w:val="single" w:sz="4" w:space="0" w:color="auto"/>
            </w:tcBorders>
            <w:shd w:val="clear" w:color="auto" w:fill="C6EFCE"/>
            <w:noWrap/>
          </w:tcPr>
          <w:p w14:paraId="6960247A" w14:textId="77777777" w:rsidR="00553430" w:rsidRDefault="00212577">
            <w:pPr>
              <w:pStyle w:val="P68B1DB1-Normal70"/>
              <w:spacing w:after="200" w:line="276" w:lineRule="auto"/>
              <w:rPr>
                <w:noProof/>
              </w:rPr>
            </w:pPr>
            <w:r>
              <w:rPr>
                <w:noProof/>
              </w:rPr>
              <w:t xml:space="preserve">Adoption du premier plan d’action visant à soutenir les objectifs de la finance durable </w:t>
            </w:r>
          </w:p>
        </w:tc>
        <w:tc>
          <w:tcPr>
            <w:tcW w:w="1717" w:type="dxa"/>
            <w:tcBorders>
              <w:top w:val="single" w:sz="4" w:space="0" w:color="auto"/>
              <w:left w:val="nil"/>
              <w:bottom w:val="single" w:sz="4" w:space="0" w:color="auto"/>
              <w:right w:val="single" w:sz="4" w:space="0" w:color="auto"/>
            </w:tcBorders>
            <w:shd w:val="clear" w:color="auto" w:fill="C6EFCE"/>
            <w:noWrap/>
          </w:tcPr>
          <w:p w14:paraId="2864478B" w14:textId="77777777" w:rsidR="00553430" w:rsidRDefault="00212577">
            <w:pPr>
              <w:pStyle w:val="P68B1DB1-Normal70"/>
              <w:spacing w:after="200" w:line="276" w:lineRule="auto"/>
              <w:rPr>
                <w:noProof/>
              </w:rPr>
            </w:pPr>
            <w:r>
              <w:rPr>
                <w:noProof/>
              </w:rPr>
              <w:t>Adoption du premier plan d’action assorti de mesures visant à soutenir les objectifs de la finance durable, fixant des délais de mise en œuvre</w:t>
            </w:r>
          </w:p>
        </w:tc>
        <w:tc>
          <w:tcPr>
            <w:tcW w:w="1168" w:type="dxa"/>
            <w:tcBorders>
              <w:top w:val="single" w:sz="4" w:space="0" w:color="auto"/>
              <w:left w:val="nil"/>
              <w:bottom w:val="single" w:sz="4" w:space="0" w:color="auto"/>
              <w:right w:val="single" w:sz="4" w:space="0" w:color="auto"/>
            </w:tcBorders>
            <w:shd w:val="clear" w:color="auto" w:fill="C6EFCE"/>
            <w:noWrap/>
          </w:tcPr>
          <w:p w14:paraId="2A197690" w14:textId="77777777" w:rsidR="00553430" w:rsidRDefault="00553430">
            <w:pPr>
              <w:spacing w:after="200" w:line="276" w:lineRule="auto"/>
              <w:jc w:val="center"/>
              <w:rPr>
                <w:rFonts w:ascii="Times New Roman" w:eastAsia="Calibri" w:hAnsi="Times New Roman" w:cs="Times New Roman"/>
                <w:noProof/>
                <w:sz w:val="20"/>
                <w:szCs w:val="20"/>
              </w:rPr>
            </w:pPr>
          </w:p>
        </w:tc>
        <w:tc>
          <w:tcPr>
            <w:tcW w:w="826" w:type="dxa"/>
            <w:tcBorders>
              <w:top w:val="single" w:sz="4" w:space="0" w:color="auto"/>
              <w:left w:val="nil"/>
              <w:bottom w:val="single" w:sz="4" w:space="0" w:color="auto"/>
              <w:right w:val="single" w:sz="4" w:space="0" w:color="auto"/>
            </w:tcBorders>
            <w:shd w:val="clear" w:color="auto" w:fill="C6EFCE"/>
            <w:noWrap/>
          </w:tcPr>
          <w:p w14:paraId="2DE64EB3" w14:textId="77777777" w:rsidR="00553430" w:rsidRDefault="00212577">
            <w:pPr>
              <w:pStyle w:val="P68B1DB1-Normal76"/>
              <w:spacing w:after="200" w:line="276" w:lineRule="auto"/>
              <w:jc w:val="center"/>
              <w:rPr>
                <w:rFonts w:eastAsia="Calibri"/>
                <w:noProof/>
              </w:rPr>
            </w:pPr>
            <w:r>
              <w:rPr>
                <w:noProof/>
              </w:rPr>
              <w:t xml:space="preserve"> </w:t>
            </w:r>
          </w:p>
        </w:tc>
        <w:tc>
          <w:tcPr>
            <w:tcW w:w="1059" w:type="dxa"/>
            <w:tcBorders>
              <w:top w:val="single" w:sz="4" w:space="0" w:color="auto"/>
              <w:left w:val="nil"/>
              <w:bottom w:val="single" w:sz="4" w:space="0" w:color="auto"/>
              <w:right w:val="single" w:sz="4" w:space="0" w:color="auto"/>
            </w:tcBorders>
            <w:shd w:val="clear" w:color="auto" w:fill="C6EFCE"/>
            <w:noWrap/>
          </w:tcPr>
          <w:p w14:paraId="77660171" w14:textId="77777777" w:rsidR="00553430" w:rsidRDefault="00212577">
            <w:pPr>
              <w:pStyle w:val="P68B1DB1-Normal76"/>
              <w:spacing w:after="200" w:line="276" w:lineRule="auto"/>
              <w:jc w:val="center"/>
              <w:rPr>
                <w:rFonts w:eastAsia="Calibri"/>
                <w:noProof/>
              </w:rPr>
            </w:pPr>
            <w:r>
              <w:rPr>
                <w:noProof/>
              </w:rPr>
              <w:t xml:space="preserve"> </w:t>
            </w:r>
          </w:p>
        </w:tc>
        <w:tc>
          <w:tcPr>
            <w:tcW w:w="756" w:type="dxa"/>
            <w:tcBorders>
              <w:top w:val="single" w:sz="4" w:space="0" w:color="auto"/>
              <w:left w:val="nil"/>
              <w:bottom w:val="single" w:sz="4" w:space="0" w:color="auto"/>
              <w:right w:val="single" w:sz="4" w:space="0" w:color="auto"/>
            </w:tcBorders>
            <w:shd w:val="clear" w:color="auto" w:fill="C6EFCE"/>
            <w:noWrap/>
          </w:tcPr>
          <w:p w14:paraId="1F5232C8" w14:textId="77777777" w:rsidR="00553430" w:rsidRDefault="00212577">
            <w:pPr>
              <w:pStyle w:val="P68B1DB1-Normal70"/>
              <w:spacing w:line="240" w:lineRule="auto"/>
              <w:jc w:val="center"/>
              <w:rPr>
                <w:noProof/>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noWrap/>
          </w:tcPr>
          <w:p w14:paraId="2F72D755" w14:textId="77777777" w:rsidR="00553430" w:rsidRDefault="00212577">
            <w:pPr>
              <w:pStyle w:val="P68B1DB1-Normal70"/>
              <w:spacing w:line="240" w:lineRule="auto"/>
              <w:jc w:val="center"/>
              <w:rPr>
                <w:noProof/>
              </w:rPr>
            </w:pPr>
            <w:r>
              <w:rPr>
                <w:noProof/>
              </w:rPr>
              <w:t>2025</w:t>
            </w:r>
          </w:p>
        </w:tc>
        <w:tc>
          <w:tcPr>
            <w:tcW w:w="4381" w:type="dxa"/>
            <w:tcBorders>
              <w:top w:val="single" w:sz="4" w:space="0" w:color="auto"/>
              <w:left w:val="nil"/>
              <w:bottom w:val="single" w:sz="4" w:space="0" w:color="auto"/>
              <w:right w:val="single" w:sz="4" w:space="0" w:color="auto"/>
            </w:tcBorders>
            <w:shd w:val="clear" w:color="auto" w:fill="C6EFCE"/>
            <w:noWrap/>
          </w:tcPr>
          <w:p w14:paraId="63BBA5F4" w14:textId="77777777" w:rsidR="00553430" w:rsidRDefault="00212577">
            <w:pPr>
              <w:pStyle w:val="P68B1DB1-Normal70"/>
              <w:spacing w:after="200" w:line="276" w:lineRule="auto"/>
              <w:rPr>
                <w:noProof/>
              </w:rPr>
            </w:pPr>
            <w:r>
              <w:rPr>
                <w:noProof/>
              </w:rPr>
              <w:t>Le ministèr</w:t>
            </w:r>
            <w:r>
              <w:rPr>
                <w:noProof/>
              </w:rPr>
              <w:t>e des finances élabore un premier plan d’action assorti de mesures et de calendriers pour la mise en œuvre d’activités individuelles qui aident le secteur financier à servir les intérêts de la transition écologique et facilitent sa préparation en temps uti</w:t>
            </w:r>
            <w:r>
              <w:rPr>
                <w:noProof/>
              </w:rPr>
              <w:t xml:space="preserve">le aux nouvelles exigences réglementaires et à d’autres initiatives dans le domaine de la finance durable. </w:t>
            </w:r>
          </w:p>
          <w:p w14:paraId="30DA65D2" w14:textId="77777777" w:rsidR="00553430" w:rsidRDefault="00212577">
            <w:pPr>
              <w:pStyle w:val="P68B1DB1-Normal70"/>
              <w:spacing w:after="200" w:line="276" w:lineRule="auto"/>
              <w:jc w:val="both"/>
              <w:rPr>
                <w:noProof/>
              </w:rPr>
            </w:pPr>
            <w:r>
              <w:rPr>
                <w:noProof/>
              </w:rPr>
              <w:t>Une plateforme commune appelée Forum de soutien à la finance durable (SFSF) est mise en place dans le but d’échanger des informations et d’interconn</w:t>
            </w:r>
            <w:r>
              <w:rPr>
                <w:noProof/>
              </w:rPr>
              <w:t xml:space="preserve">ecter le secteur financier (bancaire et non bancaire) avec les ministères compétents, les autorités de surveillance, les experts et d’autres parties prenantes. </w:t>
            </w:r>
          </w:p>
        </w:tc>
      </w:tr>
      <w:tr w:rsidR="00553430" w14:paraId="1681716D" w14:textId="77777777">
        <w:trPr>
          <w:trHeight w:val="300"/>
          <w:jc w:val="center"/>
        </w:trPr>
        <w:tc>
          <w:tcPr>
            <w:tcW w:w="799" w:type="dxa"/>
            <w:tcBorders>
              <w:top w:val="single" w:sz="4" w:space="0" w:color="auto"/>
              <w:left w:val="single" w:sz="4" w:space="0" w:color="auto"/>
              <w:bottom w:val="single" w:sz="4" w:space="0" w:color="auto"/>
              <w:right w:val="single" w:sz="4" w:space="0" w:color="auto"/>
            </w:tcBorders>
            <w:shd w:val="clear" w:color="auto" w:fill="C6EFCE"/>
            <w:noWrap/>
          </w:tcPr>
          <w:p w14:paraId="008A445D" w14:textId="77777777" w:rsidR="00553430" w:rsidRDefault="00212577">
            <w:pPr>
              <w:pStyle w:val="P68B1DB1-Normal70"/>
              <w:spacing w:after="200" w:line="276" w:lineRule="auto"/>
              <w:jc w:val="center"/>
              <w:rPr>
                <w:noProof/>
              </w:rPr>
            </w:pPr>
            <w:r>
              <w:rPr>
                <w:noProof/>
              </w:rPr>
              <w:t>446</w:t>
            </w:r>
          </w:p>
        </w:tc>
        <w:tc>
          <w:tcPr>
            <w:tcW w:w="1496" w:type="dxa"/>
            <w:tcBorders>
              <w:top w:val="single" w:sz="4" w:space="0" w:color="auto"/>
              <w:left w:val="nil"/>
              <w:bottom w:val="single" w:sz="4" w:space="0" w:color="auto"/>
              <w:right w:val="single" w:sz="4" w:space="0" w:color="auto"/>
            </w:tcBorders>
            <w:shd w:val="clear" w:color="auto" w:fill="C6EFCE"/>
            <w:noWrap/>
          </w:tcPr>
          <w:p w14:paraId="536D58FC" w14:textId="77777777" w:rsidR="00553430" w:rsidRDefault="00212577">
            <w:pPr>
              <w:pStyle w:val="P68B1DB1-Normal70"/>
              <w:spacing w:after="200" w:line="276" w:lineRule="auto"/>
              <w:jc w:val="center"/>
              <w:rPr>
                <w:noProof/>
              </w:rPr>
            </w:pPr>
            <w:r>
              <w:rPr>
                <w:noProof/>
              </w:rPr>
              <w:t>C1.1.1. R4-I6</w:t>
            </w:r>
          </w:p>
        </w:tc>
        <w:tc>
          <w:tcPr>
            <w:tcW w:w="1060" w:type="dxa"/>
            <w:tcBorders>
              <w:top w:val="single" w:sz="4" w:space="0" w:color="auto"/>
              <w:left w:val="nil"/>
              <w:bottom w:val="single" w:sz="4" w:space="0" w:color="auto"/>
              <w:right w:val="single" w:sz="4" w:space="0" w:color="auto"/>
            </w:tcBorders>
            <w:shd w:val="clear" w:color="auto" w:fill="C6EFCE"/>
            <w:noWrap/>
          </w:tcPr>
          <w:p w14:paraId="24FB940A" w14:textId="77777777" w:rsidR="00553430" w:rsidRDefault="00212577">
            <w:pPr>
              <w:pStyle w:val="P68B1DB1-Normal70"/>
              <w:spacing w:after="200" w:line="276" w:lineRule="auto"/>
              <w:jc w:val="center"/>
              <w:rPr>
                <w:noProof/>
              </w:rPr>
            </w:pPr>
            <w:r>
              <w:rPr>
                <w:noProof/>
              </w:rPr>
              <w:t>M</w:t>
            </w:r>
          </w:p>
        </w:tc>
        <w:tc>
          <w:tcPr>
            <w:tcW w:w="2089" w:type="dxa"/>
            <w:tcBorders>
              <w:top w:val="single" w:sz="4" w:space="0" w:color="auto"/>
              <w:left w:val="nil"/>
              <w:bottom w:val="single" w:sz="4" w:space="0" w:color="auto"/>
              <w:right w:val="single" w:sz="4" w:space="0" w:color="auto"/>
            </w:tcBorders>
            <w:shd w:val="clear" w:color="auto" w:fill="C6EFCE"/>
            <w:noWrap/>
          </w:tcPr>
          <w:p w14:paraId="626B166D" w14:textId="77777777" w:rsidR="00553430" w:rsidRDefault="00212577">
            <w:pPr>
              <w:pStyle w:val="P68B1DB1-Normal89"/>
              <w:spacing w:after="0" w:line="240" w:lineRule="auto"/>
              <w:rPr>
                <w:rFonts w:eastAsia="Calibri"/>
                <w:noProof/>
              </w:rPr>
            </w:pPr>
            <w:r>
              <w:rPr>
                <w:noProof/>
              </w:rPr>
              <w:t xml:space="preserve">Politique d’investissement pour les investissements stratégiques en matière de défense et de sécurité </w:t>
            </w:r>
          </w:p>
        </w:tc>
        <w:tc>
          <w:tcPr>
            <w:tcW w:w="1717" w:type="dxa"/>
            <w:tcBorders>
              <w:top w:val="single" w:sz="4" w:space="0" w:color="auto"/>
              <w:left w:val="nil"/>
              <w:bottom w:val="single" w:sz="4" w:space="0" w:color="auto"/>
              <w:right w:val="single" w:sz="4" w:space="0" w:color="auto"/>
            </w:tcBorders>
            <w:shd w:val="clear" w:color="auto" w:fill="C6EFCE"/>
            <w:noWrap/>
          </w:tcPr>
          <w:p w14:paraId="414848C9" w14:textId="77777777" w:rsidR="00553430" w:rsidRDefault="00212577">
            <w:pPr>
              <w:pStyle w:val="P68B1DB1-Normal89"/>
              <w:spacing w:after="0" w:line="240" w:lineRule="auto"/>
              <w:rPr>
                <w:rFonts w:eastAsia="Calibri"/>
                <w:noProof/>
              </w:rPr>
            </w:pPr>
            <w:r>
              <w:rPr>
                <w:noProof/>
              </w:rPr>
              <w:t>Adoption d'une politique d'investissement</w:t>
            </w:r>
          </w:p>
        </w:tc>
        <w:tc>
          <w:tcPr>
            <w:tcW w:w="1168" w:type="dxa"/>
            <w:tcBorders>
              <w:top w:val="single" w:sz="4" w:space="0" w:color="auto"/>
              <w:left w:val="nil"/>
              <w:bottom w:val="single" w:sz="4" w:space="0" w:color="auto"/>
              <w:right w:val="single" w:sz="4" w:space="0" w:color="auto"/>
            </w:tcBorders>
            <w:shd w:val="clear" w:color="auto" w:fill="C6EFCE"/>
            <w:noWrap/>
          </w:tcPr>
          <w:p w14:paraId="0D1D2429" w14:textId="77777777" w:rsidR="00553430" w:rsidRDefault="00212577">
            <w:pPr>
              <w:pStyle w:val="P68B1DB1-Normal89"/>
              <w:spacing w:after="0" w:line="240" w:lineRule="auto"/>
              <w:jc w:val="center"/>
              <w:rPr>
                <w:rFonts w:eastAsia="Calibri"/>
                <w:noProof/>
              </w:rPr>
            </w:pPr>
            <w:r>
              <w:rPr>
                <w:noProof/>
              </w:rPr>
              <w:t xml:space="preserve"> </w:t>
            </w:r>
          </w:p>
        </w:tc>
        <w:tc>
          <w:tcPr>
            <w:tcW w:w="826" w:type="dxa"/>
            <w:tcBorders>
              <w:top w:val="single" w:sz="4" w:space="0" w:color="auto"/>
              <w:left w:val="nil"/>
              <w:bottom w:val="single" w:sz="4" w:space="0" w:color="auto"/>
              <w:right w:val="single" w:sz="4" w:space="0" w:color="auto"/>
            </w:tcBorders>
            <w:shd w:val="clear" w:color="auto" w:fill="C6EFCE"/>
            <w:noWrap/>
          </w:tcPr>
          <w:p w14:paraId="3200E3E8" w14:textId="77777777" w:rsidR="00553430" w:rsidRDefault="00212577">
            <w:pPr>
              <w:pStyle w:val="P68B1DB1-Normal89"/>
              <w:spacing w:after="0" w:line="240" w:lineRule="auto"/>
              <w:jc w:val="center"/>
              <w:rPr>
                <w:rFonts w:eastAsia="Times New Roman"/>
                <w:noProof/>
              </w:rPr>
            </w:pPr>
            <w:r>
              <w:rPr>
                <w:noProof/>
              </w:rPr>
              <w:t xml:space="preserve"> </w:t>
            </w:r>
          </w:p>
        </w:tc>
        <w:tc>
          <w:tcPr>
            <w:tcW w:w="1059" w:type="dxa"/>
            <w:tcBorders>
              <w:top w:val="single" w:sz="4" w:space="0" w:color="auto"/>
              <w:left w:val="nil"/>
              <w:bottom w:val="single" w:sz="4" w:space="0" w:color="auto"/>
              <w:right w:val="single" w:sz="4" w:space="0" w:color="auto"/>
            </w:tcBorders>
            <w:shd w:val="clear" w:color="auto" w:fill="C6EFCE"/>
            <w:noWrap/>
          </w:tcPr>
          <w:p w14:paraId="6733F8CC" w14:textId="77777777" w:rsidR="00553430" w:rsidRDefault="00212577">
            <w:pPr>
              <w:pStyle w:val="P68B1DB1-Normal89"/>
              <w:spacing w:after="0" w:line="240" w:lineRule="auto"/>
              <w:jc w:val="center"/>
              <w:rPr>
                <w:rFonts w:eastAsia="Times New Roman"/>
                <w:noProof/>
              </w:rPr>
            </w:pPr>
            <w:r>
              <w:rPr>
                <w:noProof/>
              </w:rPr>
              <w:t xml:space="preserve"> </w:t>
            </w:r>
          </w:p>
        </w:tc>
        <w:tc>
          <w:tcPr>
            <w:tcW w:w="756" w:type="dxa"/>
            <w:tcBorders>
              <w:top w:val="single" w:sz="4" w:space="0" w:color="auto"/>
              <w:left w:val="nil"/>
              <w:bottom w:val="single" w:sz="4" w:space="0" w:color="auto"/>
              <w:right w:val="single" w:sz="4" w:space="0" w:color="auto"/>
            </w:tcBorders>
            <w:shd w:val="clear" w:color="auto" w:fill="C6EFCE"/>
            <w:noWrap/>
          </w:tcPr>
          <w:p w14:paraId="4FDC88D1" w14:textId="77777777" w:rsidR="00553430" w:rsidRDefault="00212577">
            <w:pPr>
              <w:pStyle w:val="P68B1DB1-Normal89"/>
              <w:spacing w:after="0" w:line="240" w:lineRule="auto"/>
              <w:jc w:val="center"/>
              <w:rPr>
                <w:rFonts w:eastAsia="Calibri"/>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5A79AA8B" w14:textId="77777777" w:rsidR="00553430" w:rsidRDefault="00212577">
            <w:pPr>
              <w:pStyle w:val="P68B1DB1-Normal89"/>
              <w:spacing w:after="0" w:line="240" w:lineRule="auto"/>
              <w:jc w:val="center"/>
              <w:rPr>
                <w:rFonts w:eastAsia="Calibri"/>
                <w:noProof/>
              </w:rPr>
            </w:pPr>
            <w:r>
              <w:rPr>
                <w:noProof/>
              </w:rPr>
              <w:t>2025</w:t>
            </w:r>
          </w:p>
        </w:tc>
        <w:tc>
          <w:tcPr>
            <w:tcW w:w="4381" w:type="dxa"/>
            <w:tcBorders>
              <w:top w:val="single" w:sz="4" w:space="0" w:color="auto"/>
              <w:left w:val="nil"/>
              <w:bottom w:val="single" w:sz="4" w:space="0" w:color="auto"/>
              <w:right w:val="single" w:sz="4" w:space="0" w:color="auto"/>
            </w:tcBorders>
            <w:shd w:val="clear" w:color="auto" w:fill="C6EFCE"/>
            <w:noWrap/>
          </w:tcPr>
          <w:p w14:paraId="08907090" w14:textId="77777777" w:rsidR="00553430" w:rsidRDefault="00212577">
            <w:pPr>
              <w:pStyle w:val="P68B1DB1-Normal89"/>
              <w:spacing w:after="0" w:line="240" w:lineRule="auto"/>
              <w:jc w:val="both"/>
              <w:rPr>
                <w:noProof/>
              </w:rPr>
            </w:pPr>
            <w:r>
              <w:rPr>
                <w:noProof/>
              </w:rPr>
              <w:t>Adoption d'une nouvelle politique d'investissement pour HBOR pour l'utilisation des fonds propres</w:t>
            </w:r>
            <w:r>
              <w:rPr>
                <w:noProof/>
              </w:rPr>
              <w:t xml:space="preserve"> supplémentaires.</w:t>
            </w:r>
          </w:p>
          <w:p w14:paraId="283B0487" w14:textId="77777777" w:rsidR="00553430" w:rsidRDefault="00553430">
            <w:pPr>
              <w:spacing w:after="0" w:line="240" w:lineRule="auto"/>
              <w:jc w:val="both"/>
              <w:rPr>
                <w:rFonts w:ascii="Times New Roman" w:hAnsi="Times New Roman" w:cs="Times New Roman"/>
                <w:noProof/>
                <w:sz w:val="20"/>
                <w:szCs w:val="20"/>
              </w:rPr>
            </w:pPr>
          </w:p>
          <w:p w14:paraId="7B297C11" w14:textId="77777777" w:rsidR="00553430" w:rsidRDefault="00212577">
            <w:pPr>
              <w:pStyle w:val="P68B1DB1-Normal59"/>
              <w:spacing w:after="0" w:line="240" w:lineRule="auto"/>
              <w:jc w:val="both"/>
              <w:rPr>
                <w:rFonts w:ascii="Times New Roman" w:hAnsi="Times New Roman" w:cs="Times New Roman"/>
                <w:noProof/>
              </w:rPr>
            </w:pPr>
            <w:r>
              <w:rPr>
                <w:rFonts w:ascii="Times New Roman" w:hAnsi="Times New Roman" w:cs="Times New Roman"/>
                <w:noProof/>
              </w:rPr>
              <w:t>La politique d’investissement veille à ce que</w:t>
            </w:r>
            <w:r>
              <w:rPr>
                <w:rFonts w:ascii="Times New Roman" w:eastAsia="Calibri" w:hAnsi="Times New Roman" w:cs="Times New Roman"/>
                <w:noProof/>
                <w:color w:val="000000"/>
              </w:rPr>
              <w:t> </w:t>
            </w:r>
            <w:r>
              <w:rPr>
                <w:rFonts w:ascii="Times New Roman" w:hAnsi="Times New Roman" w:cs="Times New Roman"/>
                <w:noProof/>
              </w:rPr>
              <w:t>133</w:t>
            </w:r>
            <w:r>
              <w:rPr>
                <w:rFonts w:ascii="Times New Roman" w:eastAsia="Calibri" w:hAnsi="Times New Roman" w:cs="Times New Roman"/>
                <w:noProof/>
                <w:color w:val="000000"/>
              </w:rPr>
              <w:t> </w:t>
            </w:r>
            <w:r>
              <w:rPr>
                <w:rFonts w:ascii="Times New Roman" w:hAnsi="Times New Roman" w:cs="Times New Roman"/>
                <w:noProof/>
              </w:rPr>
              <w:t>214</w:t>
            </w:r>
            <w:r>
              <w:rPr>
                <w:rFonts w:ascii="Times New Roman" w:eastAsia="Calibri" w:hAnsi="Times New Roman" w:cs="Times New Roman"/>
                <w:noProof/>
                <w:color w:val="000000"/>
              </w:rPr>
              <w:t> </w:t>
            </w:r>
            <w:r>
              <w:rPr>
                <w:rFonts w:ascii="Times New Roman" w:hAnsi="Times New Roman" w:cs="Times New Roman"/>
                <w:noProof/>
              </w:rPr>
              <w:t>015 EUR des fonds propres supplémentaires soient consacrés au soutien des investissements dans les secteurs stratégiques de la défense et de la sécurité de l’économie croate, qui peuv</w:t>
            </w:r>
            <w:r>
              <w:rPr>
                <w:rFonts w:ascii="Times New Roman" w:hAnsi="Times New Roman" w:cs="Times New Roman"/>
                <w:noProof/>
              </w:rPr>
              <w:t>ent inclure, sans s’y limiter, un soutien:</w:t>
            </w:r>
          </w:p>
          <w:p w14:paraId="01898DE4" w14:textId="77777777" w:rsidR="00553430" w:rsidRDefault="00212577">
            <w:pPr>
              <w:pStyle w:val="P68B1DB1-Normal89"/>
              <w:numPr>
                <w:ilvl w:val="0"/>
                <w:numId w:val="47"/>
              </w:numPr>
              <w:spacing w:after="0" w:line="240" w:lineRule="auto"/>
              <w:jc w:val="both"/>
              <w:rPr>
                <w:noProof/>
              </w:rPr>
            </w:pPr>
            <w:r>
              <w:rPr>
                <w:noProof/>
              </w:rPr>
              <w:t>la construction de structures de protection et d'infrastructures de protection civile;</w:t>
            </w:r>
          </w:p>
          <w:p w14:paraId="15152518" w14:textId="77777777" w:rsidR="00553430" w:rsidRDefault="00212577">
            <w:pPr>
              <w:pStyle w:val="P68B1DB1-Normal89"/>
              <w:numPr>
                <w:ilvl w:val="0"/>
                <w:numId w:val="47"/>
              </w:numPr>
              <w:spacing w:after="0" w:line="240" w:lineRule="auto"/>
              <w:jc w:val="both"/>
              <w:rPr>
                <w:noProof/>
              </w:rPr>
            </w:pPr>
            <w:r>
              <w:rPr>
                <w:noProof/>
              </w:rPr>
              <w:t>la construction et la modernisation d'infrastructures à double usage;</w:t>
            </w:r>
          </w:p>
          <w:p w14:paraId="673CC536" w14:textId="77777777" w:rsidR="00553430" w:rsidRDefault="00212577">
            <w:pPr>
              <w:pStyle w:val="P68B1DB1-Normal89"/>
              <w:numPr>
                <w:ilvl w:val="0"/>
                <w:numId w:val="47"/>
              </w:numPr>
              <w:spacing w:after="0" w:line="240" w:lineRule="auto"/>
              <w:jc w:val="both"/>
              <w:rPr>
                <w:noProof/>
              </w:rPr>
            </w:pPr>
            <w:r>
              <w:rPr>
                <w:noProof/>
              </w:rPr>
              <w:t>les investissements dans la cybersécurité;</w:t>
            </w:r>
          </w:p>
          <w:p w14:paraId="21669680" w14:textId="77777777" w:rsidR="00553430" w:rsidRDefault="00212577">
            <w:pPr>
              <w:pStyle w:val="P68B1DB1-Normal89"/>
              <w:numPr>
                <w:ilvl w:val="0"/>
                <w:numId w:val="47"/>
              </w:numPr>
              <w:spacing w:after="0" w:line="240" w:lineRule="auto"/>
              <w:jc w:val="both"/>
              <w:rPr>
                <w:noProof/>
              </w:rPr>
            </w:pPr>
            <w:r>
              <w:rPr>
                <w:noProof/>
              </w:rPr>
              <w:t>la modernisat</w:t>
            </w:r>
            <w:r>
              <w:rPr>
                <w:noProof/>
              </w:rPr>
              <w:t>ion des entreprises;</w:t>
            </w:r>
          </w:p>
          <w:p w14:paraId="77A8819E" w14:textId="77777777" w:rsidR="00553430" w:rsidRDefault="00212577">
            <w:pPr>
              <w:pStyle w:val="P68B1DB1-ListParagraph90"/>
              <w:numPr>
                <w:ilvl w:val="0"/>
                <w:numId w:val="47"/>
              </w:numPr>
              <w:spacing w:after="0" w:line="240" w:lineRule="auto"/>
              <w:jc w:val="both"/>
              <w:rPr>
                <w:rFonts w:eastAsia="Calibri"/>
                <w:noProof/>
              </w:rPr>
            </w:pPr>
            <w:r>
              <w:rPr>
                <w:noProof/>
              </w:rPr>
              <w:t>soutien à la recherche et au développement (R&amp;D).</w:t>
            </w:r>
          </w:p>
        </w:tc>
      </w:tr>
      <w:tr w:rsidR="00553430" w14:paraId="5FC17952" w14:textId="77777777">
        <w:trPr>
          <w:trHeight w:val="300"/>
          <w:jc w:val="center"/>
        </w:trPr>
        <w:tc>
          <w:tcPr>
            <w:tcW w:w="799" w:type="dxa"/>
            <w:tcBorders>
              <w:top w:val="single" w:sz="4" w:space="0" w:color="auto"/>
              <w:left w:val="single" w:sz="4" w:space="0" w:color="auto"/>
              <w:bottom w:val="single" w:sz="4" w:space="0" w:color="auto"/>
              <w:right w:val="single" w:sz="4" w:space="0" w:color="auto"/>
            </w:tcBorders>
            <w:shd w:val="clear" w:color="auto" w:fill="C6EFCE"/>
            <w:noWrap/>
          </w:tcPr>
          <w:p w14:paraId="7EE93324" w14:textId="77777777" w:rsidR="00553430" w:rsidRDefault="00212577">
            <w:pPr>
              <w:pStyle w:val="P68B1DB1-Normal70"/>
              <w:spacing w:after="200" w:line="276" w:lineRule="auto"/>
              <w:jc w:val="center"/>
              <w:rPr>
                <w:noProof/>
              </w:rPr>
            </w:pPr>
            <w:r>
              <w:rPr>
                <w:noProof/>
              </w:rPr>
              <w:t>447</w:t>
            </w:r>
          </w:p>
        </w:tc>
        <w:tc>
          <w:tcPr>
            <w:tcW w:w="1496" w:type="dxa"/>
            <w:tcBorders>
              <w:top w:val="single" w:sz="4" w:space="0" w:color="auto"/>
              <w:left w:val="nil"/>
              <w:bottom w:val="single" w:sz="4" w:space="0" w:color="auto"/>
              <w:right w:val="single" w:sz="4" w:space="0" w:color="auto"/>
            </w:tcBorders>
            <w:shd w:val="clear" w:color="auto" w:fill="C6EFCE"/>
            <w:noWrap/>
          </w:tcPr>
          <w:p w14:paraId="535BF665" w14:textId="77777777" w:rsidR="00553430" w:rsidRDefault="00212577">
            <w:pPr>
              <w:pStyle w:val="P68B1DB1-Normal70"/>
              <w:spacing w:after="200" w:line="276" w:lineRule="auto"/>
              <w:jc w:val="center"/>
              <w:rPr>
                <w:noProof/>
              </w:rPr>
            </w:pPr>
            <w:r>
              <w:rPr>
                <w:noProof/>
              </w:rPr>
              <w:t>C1.1.1. R4-I6</w:t>
            </w:r>
          </w:p>
        </w:tc>
        <w:tc>
          <w:tcPr>
            <w:tcW w:w="1060" w:type="dxa"/>
            <w:tcBorders>
              <w:top w:val="single" w:sz="4" w:space="0" w:color="auto"/>
              <w:left w:val="nil"/>
              <w:bottom w:val="single" w:sz="4" w:space="0" w:color="auto"/>
              <w:right w:val="single" w:sz="4" w:space="0" w:color="auto"/>
            </w:tcBorders>
            <w:shd w:val="clear" w:color="auto" w:fill="C6EFCE"/>
            <w:noWrap/>
          </w:tcPr>
          <w:p w14:paraId="0A086686" w14:textId="77777777" w:rsidR="00553430" w:rsidRDefault="00212577">
            <w:pPr>
              <w:pStyle w:val="P68B1DB1-Normal70"/>
              <w:spacing w:after="200" w:line="276" w:lineRule="auto"/>
              <w:jc w:val="center"/>
              <w:rPr>
                <w:noProof/>
              </w:rPr>
            </w:pPr>
            <w:r>
              <w:rPr>
                <w:noProof/>
              </w:rPr>
              <w:t>M</w:t>
            </w:r>
          </w:p>
        </w:tc>
        <w:tc>
          <w:tcPr>
            <w:tcW w:w="2089" w:type="dxa"/>
            <w:tcBorders>
              <w:top w:val="single" w:sz="4" w:space="0" w:color="auto"/>
              <w:left w:val="nil"/>
              <w:bottom w:val="single" w:sz="4" w:space="0" w:color="auto"/>
              <w:right w:val="single" w:sz="4" w:space="0" w:color="auto"/>
            </w:tcBorders>
            <w:shd w:val="clear" w:color="auto" w:fill="C6EFCE"/>
            <w:noWrap/>
          </w:tcPr>
          <w:p w14:paraId="7F51D062" w14:textId="77777777" w:rsidR="00553430" w:rsidRDefault="00212577">
            <w:pPr>
              <w:pStyle w:val="P68B1DB1-Normal89"/>
              <w:spacing w:after="0" w:line="240" w:lineRule="auto"/>
              <w:rPr>
                <w:rFonts w:eastAsia="Calibri"/>
                <w:noProof/>
              </w:rPr>
            </w:pPr>
            <w:r>
              <w:rPr>
                <w:noProof/>
              </w:rPr>
              <w:t>Injection de fonds propres pour des investissements stratégiques en matière de défense et de sécurité</w:t>
            </w:r>
          </w:p>
        </w:tc>
        <w:tc>
          <w:tcPr>
            <w:tcW w:w="1717" w:type="dxa"/>
            <w:tcBorders>
              <w:top w:val="single" w:sz="4" w:space="0" w:color="auto"/>
              <w:left w:val="nil"/>
              <w:bottom w:val="single" w:sz="4" w:space="0" w:color="auto"/>
              <w:right w:val="single" w:sz="4" w:space="0" w:color="auto"/>
            </w:tcBorders>
            <w:shd w:val="clear" w:color="auto" w:fill="C6EFCE"/>
            <w:noWrap/>
          </w:tcPr>
          <w:p w14:paraId="00B4382A" w14:textId="77777777" w:rsidR="00553430" w:rsidRDefault="00212577">
            <w:pPr>
              <w:pStyle w:val="P68B1DB1-Normal89"/>
              <w:spacing w:after="0" w:line="240" w:lineRule="auto"/>
              <w:rPr>
                <w:rFonts w:eastAsia="Calibri"/>
                <w:noProof/>
              </w:rPr>
            </w:pPr>
            <w:r>
              <w:rPr>
                <w:noProof/>
              </w:rPr>
              <w:t xml:space="preserve">Certificat de transfert </w:t>
            </w:r>
          </w:p>
        </w:tc>
        <w:tc>
          <w:tcPr>
            <w:tcW w:w="1168" w:type="dxa"/>
            <w:tcBorders>
              <w:top w:val="single" w:sz="4" w:space="0" w:color="auto"/>
              <w:left w:val="nil"/>
              <w:bottom w:val="single" w:sz="4" w:space="0" w:color="auto"/>
              <w:right w:val="single" w:sz="4" w:space="0" w:color="auto"/>
            </w:tcBorders>
            <w:shd w:val="clear" w:color="auto" w:fill="C6EFCE"/>
            <w:noWrap/>
          </w:tcPr>
          <w:p w14:paraId="1CDB60C7" w14:textId="77777777" w:rsidR="00553430" w:rsidRDefault="00553430">
            <w:pPr>
              <w:spacing w:after="0" w:line="240" w:lineRule="auto"/>
              <w:jc w:val="center"/>
              <w:rPr>
                <w:rFonts w:ascii="Times New Roman" w:eastAsia="Calibri" w:hAnsi="Times New Roman" w:cs="Times New Roman"/>
                <w:noProof/>
                <w:sz w:val="20"/>
                <w:szCs w:val="20"/>
              </w:rPr>
            </w:pPr>
          </w:p>
        </w:tc>
        <w:tc>
          <w:tcPr>
            <w:tcW w:w="826" w:type="dxa"/>
            <w:tcBorders>
              <w:top w:val="single" w:sz="4" w:space="0" w:color="auto"/>
              <w:left w:val="nil"/>
              <w:bottom w:val="single" w:sz="4" w:space="0" w:color="auto"/>
              <w:right w:val="single" w:sz="4" w:space="0" w:color="auto"/>
            </w:tcBorders>
            <w:shd w:val="clear" w:color="auto" w:fill="C6EFCE"/>
            <w:noWrap/>
          </w:tcPr>
          <w:p w14:paraId="271C6AA4" w14:textId="77777777" w:rsidR="00553430" w:rsidRDefault="00553430">
            <w:pPr>
              <w:spacing w:after="0" w:line="240" w:lineRule="auto"/>
              <w:jc w:val="center"/>
              <w:rPr>
                <w:rFonts w:ascii="Times New Roman" w:eastAsia="Times New Roman" w:hAnsi="Times New Roman" w:cs="Times New Roman"/>
                <w:noProof/>
                <w:sz w:val="20"/>
                <w:szCs w:val="20"/>
              </w:rPr>
            </w:pPr>
          </w:p>
        </w:tc>
        <w:tc>
          <w:tcPr>
            <w:tcW w:w="1059" w:type="dxa"/>
            <w:tcBorders>
              <w:top w:val="single" w:sz="4" w:space="0" w:color="auto"/>
              <w:left w:val="nil"/>
              <w:bottom w:val="single" w:sz="4" w:space="0" w:color="auto"/>
              <w:right w:val="single" w:sz="4" w:space="0" w:color="auto"/>
            </w:tcBorders>
            <w:shd w:val="clear" w:color="auto" w:fill="C6EFCE"/>
            <w:noWrap/>
          </w:tcPr>
          <w:p w14:paraId="0833EB56" w14:textId="77777777" w:rsidR="00553430" w:rsidRDefault="00553430">
            <w:pPr>
              <w:spacing w:after="0" w:line="240" w:lineRule="auto"/>
              <w:jc w:val="center"/>
              <w:rPr>
                <w:rFonts w:ascii="Times New Roman" w:eastAsia="Times New Roman" w:hAnsi="Times New Roman" w:cs="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4AD80497" w14:textId="77777777" w:rsidR="00553430" w:rsidRDefault="00212577">
            <w:pPr>
              <w:pStyle w:val="P68B1DB1-Normal89"/>
              <w:spacing w:after="0" w:line="240" w:lineRule="auto"/>
              <w:jc w:val="center"/>
              <w:rPr>
                <w:rFonts w:eastAsia="Calibri"/>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Pr>
          <w:p w14:paraId="5C34FBD8" w14:textId="77777777" w:rsidR="00553430" w:rsidRDefault="00212577">
            <w:pPr>
              <w:pStyle w:val="P68B1DB1-Normal89"/>
              <w:spacing w:after="0" w:line="240" w:lineRule="auto"/>
              <w:jc w:val="center"/>
              <w:rPr>
                <w:rFonts w:eastAsia="Calibri"/>
                <w:noProof/>
              </w:rPr>
            </w:pPr>
            <w:r>
              <w:rPr>
                <w:noProof/>
              </w:rPr>
              <w:t>2026</w:t>
            </w:r>
          </w:p>
        </w:tc>
        <w:tc>
          <w:tcPr>
            <w:tcW w:w="4381" w:type="dxa"/>
            <w:tcBorders>
              <w:top w:val="single" w:sz="4" w:space="0" w:color="auto"/>
              <w:left w:val="nil"/>
              <w:bottom w:val="single" w:sz="4" w:space="0" w:color="auto"/>
              <w:right w:val="single" w:sz="4" w:space="0" w:color="auto"/>
            </w:tcBorders>
            <w:shd w:val="clear" w:color="auto" w:fill="C6EFCE"/>
            <w:noWrap/>
          </w:tcPr>
          <w:p w14:paraId="77AE6DAC" w14:textId="77777777" w:rsidR="00553430" w:rsidRDefault="00212577">
            <w:pPr>
              <w:pStyle w:val="P68B1DB1-Normal59"/>
              <w:spacing w:after="0" w:line="240" w:lineRule="auto"/>
              <w:jc w:val="both"/>
              <w:rPr>
                <w:rFonts w:ascii="Times New Roman" w:hAnsi="Times New Roman" w:cs="Times New Roman"/>
                <w:noProof/>
              </w:rPr>
            </w:pPr>
            <w:r>
              <w:rPr>
                <w:rFonts w:ascii="Times New Roman" w:hAnsi="Times New Roman" w:cs="Times New Roman"/>
                <w:noProof/>
              </w:rPr>
              <w:t>La Croatie transfère</w:t>
            </w:r>
            <w:r>
              <w:rPr>
                <w:rFonts w:ascii="Times New Roman" w:eastAsia="Calibri" w:hAnsi="Times New Roman" w:cs="Times New Roman"/>
                <w:noProof/>
                <w:color w:val="000000"/>
              </w:rPr>
              <w:t> </w:t>
            </w:r>
            <w:r>
              <w:rPr>
                <w:rFonts w:ascii="Times New Roman" w:hAnsi="Times New Roman" w:cs="Times New Roman"/>
                <w:noProof/>
              </w:rPr>
              <w:t>133</w:t>
            </w:r>
            <w:r>
              <w:rPr>
                <w:rFonts w:ascii="Times New Roman" w:eastAsia="Calibri" w:hAnsi="Times New Roman" w:cs="Times New Roman"/>
                <w:noProof/>
                <w:color w:val="000000"/>
              </w:rPr>
              <w:t> </w:t>
            </w:r>
            <w:r>
              <w:rPr>
                <w:rFonts w:ascii="Times New Roman" w:hAnsi="Times New Roman" w:cs="Times New Roman"/>
                <w:noProof/>
              </w:rPr>
              <w:t>214</w:t>
            </w:r>
            <w:r>
              <w:rPr>
                <w:rFonts w:ascii="Times New Roman" w:eastAsia="Calibri" w:hAnsi="Times New Roman" w:cs="Times New Roman"/>
                <w:noProof/>
                <w:color w:val="000000"/>
              </w:rPr>
              <w:t> </w:t>
            </w:r>
            <w:r>
              <w:rPr>
                <w:rFonts w:ascii="Times New Roman" w:hAnsi="Times New Roman" w:cs="Times New Roman"/>
                <w:noProof/>
              </w:rPr>
              <w:t>015 EUR au HBOR pour augmenter ses fonds propres.</w:t>
            </w:r>
          </w:p>
          <w:p w14:paraId="79B26860" w14:textId="77777777" w:rsidR="00553430" w:rsidRDefault="00553430">
            <w:pPr>
              <w:spacing w:after="0" w:line="240" w:lineRule="auto"/>
              <w:jc w:val="both"/>
              <w:rPr>
                <w:rFonts w:ascii="Times New Roman" w:hAnsi="Times New Roman" w:cs="Times New Roman"/>
                <w:noProof/>
                <w:sz w:val="20"/>
                <w:szCs w:val="20"/>
              </w:rPr>
            </w:pPr>
          </w:p>
          <w:p w14:paraId="4C5B25AF" w14:textId="77777777" w:rsidR="00553430" w:rsidRDefault="00212577">
            <w:pPr>
              <w:pStyle w:val="P68B1DB1-Normal89"/>
              <w:spacing w:after="0" w:line="240" w:lineRule="auto"/>
              <w:jc w:val="both"/>
              <w:rPr>
                <w:rFonts w:eastAsia="Calibri"/>
                <w:noProof/>
              </w:rPr>
            </w:pPr>
            <w:r>
              <w:rPr>
                <w:noProof/>
              </w:rPr>
              <w:t>Au-delà de l’injection de fonds propres dans le HBOR qui constitue l’investissement au titre de la FRR, la Croatie transmet un rapport décrivant les mesures prises par le HBOR au plus tard le 31 août 2</w:t>
            </w:r>
            <w:r>
              <w:rPr>
                <w:noProof/>
              </w:rPr>
              <w:t>026 pour mettre en œuvre la politique d’investissement, y compris les mesures prises pour la mise en œuvre des produits financiers que les fonds propres supplémentaires devraient initialement soutenir, ainsi que les mesures attendues pour la poursuite de l</w:t>
            </w:r>
            <w:r>
              <w:rPr>
                <w:noProof/>
              </w:rPr>
              <w:t>a mise en œuvre de ces produits.</w:t>
            </w:r>
          </w:p>
        </w:tc>
      </w:tr>
      <w:bookmarkEnd w:id="5"/>
    </w:tbl>
    <w:p w14:paraId="1C583B53" w14:textId="77777777" w:rsidR="00553430" w:rsidRDefault="00553430">
      <w:pPr>
        <w:spacing w:line="240" w:lineRule="auto"/>
        <w:jc w:val="both"/>
        <w:textAlignment w:val="baseline"/>
        <w:rPr>
          <w:rFonts w:eastAsia="Times New Roman"/>
          <w:noProof/>
          <w:color w:val="000000" w:themeColor="text1"/>
          <w:szCs w:val="24"/>
        </w:rPr>
      </w:pPr>
    </w:p>
    <w:p w14:paraId="7FE88E47" w14:textId="77777777" w:rsidR="00553430" w:rsidRDefault="00553430">
      <w:pPr>
        <w:spacing w:line="240" w:lineRule="auto"/>
        <w:jc w:val="both"/>
        <w:textAlignment w:val="baseline"/>
        <w:rPr>
          <w:rFonts w:eastAsia="Times New Roman"/>
          <w:noProof/>
          <w:color w:val="000000" w:themeColor="text1"/>
          <w:szCs w:val="24"/>
        </w:rPr>
      </w:pPr>
    </w:p>
    <w:p w14:paraId="17A743AA" w14:textId="77777777" w:rsidR="00553430" w:rsidRDefault="00553430">
      <w:pPr>
        <w:rPr>
          <w:noProof/>
        </w:rPr>
      </w:pPr>
    </w:p>
    <w:p w14:paraId="06DB8CA1" w14:textId="77777777" w:rsidR="00553430" w:rsidRDefault="00553430">
      <w:pPr>
        <w:keepNext/>
        <w:tabs>
          <w:tab w:val="left" w:pos="850"/>
        </w:tabs>
        <w:spacing w:before="360" w:line="240" w:lineRule="auto"/>
        <w:ind w:left="850" w:hanging="850"/>
        <w:jc w:val="center"/>
        <w:outlineLvl w:val="0"/>
        <w:rPr>
          <w:rFonts w:ascii="Times New Roman" w:eastAsia="Calibri" w:hAnsi="Times New Roman" w:cs="Times New Roman"/>
          <w:b/>
          <w:bCs/>
          <w:smallCaps/>
          <w:noProof/>
          <w:sz w:val="24"/>
          <w:szCs w:val="28"/>
        </w:rPr>
        <w:sectPr w:rsidR="00553430" w:rsidSect="00FA29B2">
          <w:headerReference w:type="even" r:id="rId33"/>
          <w:headerReference w:type="default" r:id="rId34"/>
          <w:footerReference w:type="even" r:id="rId35"/>
          <w:footerReference w:type="default" r:id="rId36"/>
          <w:headerReference w:type="first" r:id="rId37"/>
          <w:footerReference w:type="first" r:id="rId38"/>
          <w:pgSz w:w="16838" w:h="11906" w:orient="landscape"/>
          <w:pgMar w:top="1134" w:right="1134" w:bottom="1134" w:left="1134" w:header="567" w:footer="567" w:gutter="0"/>
          <w:cols w:space="708"/>
          <w:docGrid w:linePitch="360"/>
        </w:sectPr>
      </w:pPr>
    </w:p>
    <w:p w14:paraId="2FAEB4FC" w14:textId="77777777" w:rsidR="00553430" w:rsidRDefault="00212577">
      <w:pPr>
        <w:pStyle w:val="P68B1DB1-Normal91"/>
        <w:keepNext/>
        <w:tabs>
          <w:tab w:val="left" w:pos="850"/>
        </w:tabs>
        <w:spacing w:before="360" w:line="240" w:lineRule="auto"/>
        <w:ind w:left="850" w:hanging="850"/>
        <w:jc w:val="center"/>
        <w:outlineLvl w:val="0"/>
        <w:rPr>
          <w:bCs/>
          <w:noProof/>
        </w:rPr>
      </w:pPr>
      <w:r>
        <w:rPr>
          <w:noProof/>
        </w:rPr>
        <w:t>B. ÉLÉMENT 1.2: TRANSITION ÉNERGÉTIQUE POUR UNE ÉCONOMIE DURABLE</w:t>
      </w:r>
    </w:p>
    <w:p w14:paraId="5C61FFBC" w14:textId="77777777" w:rsidR="00553430" w:rsidRDefault="00212577">
      <w:pPr>
        <w:pStyle w:val="P68B1DB1-Normal33"/>
        <w:spacing w:line="240" w:lineRule="auto"/>
        <w:jc w:val="both"/>
        <w:rPr>
          <w:noProof/>
        </w:rPr>
      </w:pPr>
      <w:r>
        <w:rPr>
          <w:noProof/>
        </w:rPr>
        <w:t xml:space="preserve">L’objectif de ce volet du plan croate pour la reprise et la résilience est de faciliter la décarbonation des secteurs de l’énergie et des transports, y compris le développement de technologies innovantes, et de contribuer à la réalisation de l’objectif de </w:t>
      </w:r>
      <w:r>
        <w:rPr>
          <w:noProof/>
        </w:rPr>
        <w:t>36,6 % de sources d’énergie renouvelables pour 2030 fixé par le plan national croate en matière d’énergie et de climat (PNEC) et à la réalisation de la contribution de la Croatie à l’objectif d’efficacité énergétique de l’UE de 32,5 % d’ici à 2030. Il vise</w:t>
      </w:r>
      <w:r>
        <w:rPr>
          <w:noProof/>
        </w:rPr>
        <w:t xml:space="preserve"> également à contribuer à l’objectif accru de 14 % d’énergies renouvelables dans les transports d’ici à 2030. Les réformes du volet consistent en des initiatives législatives visant i) à supprimer les obstacles et les procédures administratives entravant l</w:t>
      </w:r>
      <w:r>
        <w:rPr>
          <w:noProof/>
        </w:rPr>
        <w:t>’adoption de sources d’énergie renouvelables; ii) finaliser la certification du gestionnaire de réseau de transport de gaz; et iii) promouvoir l’utilisation de carburants de substitution dans les transports, y compris l’hydrogène et les biocarburants avanc</w:t>
      </w:r>
      <w:r>
        <w:rPr>
          <w:noProof/>
        </w:rPr>
        <w:t xml:space="preserve">és. </w:t>
      </w:r>
    </w:p>
    <w:p w14:paraId="369CC77C" w14:textId="77777777" w:rsidR="00553430" w:rsidRDefault="00212577">
      <w:pPr>
        <w:pStyle w:val="P68B1DB1-Normal33"/>
        <w:spacing w:line="240" w:lineRule="auto"/>
        <w:jc w:val="both"/>
        <w:rPr>
          <w:noProof/>
        </w:rPr>
      </w:pPr>
      <w:r>
        <w:rPr>
          <w:noProof/>
        </w:rPr>
        <w:t>Les réformes et les investissements du volet devraient contribuer à la transition écologique et à la réalisation de l’objectif climatique en réduisant les émissions de gaz à effet de serre dans les secteurs de l’énergie et des transports, conformément</w:t>
      </w:r>
      <w:r>
        <w:rPr>
          <w:noProof/>
        </w:rPr>
        <w:t xml:space="preserve"> au plan national en matière d’énergie et de climat. </w:t>
      </w:r>
    </w:p>
    <w:p w14:paraId="379DA103" w14:textId="77777777" w:rsidR="00553430" w:rsidRDefault="00212577">
      <w:pPr>
        <w:pStyle w:val="P68B1DB1-Normal33"/>
        <w:spacing w:line="240" w:lineRule="auto"/>
        <w:jc w:val="both"/>
        <w:rPr>
          <w:noProof/>
        </w:rPr>
      </w:pPr>
      <w:r>
        <w:rPr>
          <w:noProof/>
        </w:rPr>
        <w:t>Ces investissements et réformes contribuent à donner suite aux recommandations par pays adressées à la Croatie sur la nécessité de «axer la politique d’investissement sur l’efficacité énergétique […] et</w:t>
      </w:r>
      <w:r>
        <w:rPr>
          <w:noProof/>
        </w:rPr>
        <w:t xml:space="preserve"> les énergies renouvelables» (recommandation par pays no 3, 2019) et de «axer les investissements sur la transition écologique […], en particulier sur la production et l’utilisation propres et efficaces de l’énergie» (recommandation par pays no 3, 2020).</w:t>
      </w:r>
    </w:p>
    <w:p w14:paraId="3536B613" w14:textId="77777777" w:rsidR="00553430" w:rsidRDefault="00212577">
      <w:pPr>
        <w:pStyle w:val="P68B1DB1-Normal92"/>
        <w:keepNext/>
        <w:spacing w:after="200" w:line="276" w:lineRule="auto"/>
        <w:ind w:left="851"/>
        <w:jc w:val="both"/>
        <w:outlineLvl w:val="1"/>
        <w:rPr>
          <w:rFonts w:eastAsia="Calibri"/>
          <w:noProof/>
          <w:szCs w:val="24"/>
        </w:rPr>
      </w:pPr>
      <w:r>
        <w:rPr>
          <w:noProof/>
        </w:rPr>
        <w:t>B</w:t>
      </w:r>
      <w:r>
        <w:rPr>
          <w:noProof/>
        </w:rPr>
        <w:t xml:space="preserve">.1. </w:t>
      </w:r>
      <w:r>
        <w:rPr>
          <w:noProof/>
        </w:rPr>
        <w:tab/>
        <w:t>Description des réformes et des investissements pour le soutien financier non remboursable</w:t>
      </w:r>
    </w:p>
    <w:p w14:paraId="0EF3C368" w14:textId="77777777" w:rsidR="00553430" w:rsidRDefault="00212577">
      <w:pPr>
        <w:pStyle w:val="P68B1DB1-Normal93"/>
        <w:spacing w:line="240" w:lineRule="auto"/>
        <w:ind w:left="851"/>
        <w:jc w:val="both"/>
        <w:rPr>
          <w:noProof/>
        </w:rPr>
      </w:pPr>
      <w:r>
        <w:rPr>
          <w:noProof/>
        </w:rPr>
        <w:t>Réforme C.1.2 R1 – Décarbonation du secteur de l’énergie</w:t>
      </w:r>
    </w:p>
    <w:p w14:paraId="389C31B7" w14:textId="77777777" w:rsidR="00553430" w:rsidRDefault="00212577">
      <w:pPr>
        <w:pStyle w:val="P68B1DB1-Normal33"/>
        <w:spacing w:line="240" w:lineRule="auto"/>
        <w:jc w:val="both"/>
        <w:rPr>
          <w:noProof/>
        </w:rPr>
      </w:pPr>
      <w:r>
        <w:rPr>
          <w:noProof/>
        </w:rPr>
        <w:t xml:space="preserve">L’objectif de la réforme est de faciliter la décarbonation des secteurs de l’énergie et des transports </w:t>
      </w:r>
      <w:r>
        <w:rPr>
          <w:noProof/>
        </w:rPr>
        <w:t>et de soutenir la contribution nationale à l’objectif de l’Union en matière d’énergies renouvelables. La réforme comprend:</w:t>
      </w:r>
    </w:p>
    <w:p w14:paraId="5B2C1784" w14:textId="77777777" w:rsidR="00553430" w:rsidRDefault="00212577">
      <w:pPr>
        <w:pStyle w:val="P68B1DB1-Normal33"/>
        <w:numPr>
          <w:ilvl w:val="0"/>
          <w:numId w:val="48"/>
        </w:numPr>
        <w:spacing w:before="120" w:after="120" w:line="240" w:lineRule="auto"/>
        <w:jc w:val="both"/>
        <w:rPr>
          <w:noProof/>
        </w:rPr>
      </w:pPr>
      <w:r>
        <w:rPr>
          <w:noProof/>
        </w:rPr>
        <w:t xml:space="preserve">Modifications législatives de la loi sur le marché de l’électricité et de la loi sur la cogénération à haut rendement afin d’alléger </w:t>
      </w:r>
      <w:r>
        <w:rPr>
          <w:noProof/>
        </w:rPr>
        <w:t>les obstacles réglementaires et administratifs entravant le développement de projets d’énergie renouvelable, sur la base des résultats d’une analyse approfondie du goulot d’étranglement existant et à la suite de consultations publiques, ainsi que l’introdu</w:t>
      </w:r>
      <w:r>
        <w:rPr>
          <w:noProof/>
        </w:rPr>
        <w:t xml:space="preserve">ction d’un système fondé sur des primes pour soutenir les investissements dans les sources d’énergie renouvelables, ce qui facilitera l’installation d’une capacité supplémentaire de 1 500 MW d’approvisionnement en énergie renouvelable (SER). </w:t>
      </w:r>
    </w:p>
    <w:p w14:paraId="458EFB38" w14:textId="6115C73A" w:rsidR="00553430" w:rsidRDefault="00212577">
      <w:pPr>
        <w:pStyle w:val="P68B1DB1-Normal94"/>
        <w:numPr>
          <w:ilvl w:val="0"/>
          <w:numId w:val="48"/>
        </w:numPr>
        <w:spacing w:before="120" w:after="120" w:line="240" w:lineRule="auto"/>
        <w:jc w:val="both"/>
        <w:rPr>
          <w:noProof/>
        </w:rPr>
      </w:pPr>
      <w:r>
        <w:rPr>
          <w:noProof/>
        </w:rPr>
        <w:t xml:space="preserve">Décision </w:t>
      </w:r>
      <w:r>
        <w:rPr>
          <w:noProof/>
        </w:rPr>
        <w:t>relative à la délivrance d’un certificat au GRT Plinacro adoptée par l’autorité nationale croate de régulation de l’énergie (HERA), qui achève la dissociation des activités de transport sur le marché du gaz et sépare la surveillance du gestionnaire de rése</w:t>
      </w:r>
      <w:r>
        <w:rPr>
          <w:noProof/>
        </w:rPr>
        <w:t xml:space="preserve">au de transport de gaz (GRT) détenu par l’État des activités de fourniture et de production détenues par l’État. </w:t>
      </w:r>
    </w:p>
    <w:p w14:paraId="19486C23" w14:textId="77777777" w:rsidR="00553430" w:rsidRDefault="00212577">
      <w:pPr>
        <w:pStyle w:val="P68B1DB1-Normal33"/>
        <w:numPr>
          <w:ilvl w:val="0"/>
          <w:numId w:val="48"/>
        </w:numPr>
        <w:spacing w:before="120" w:after="120" w:line="240" w:lineRule="auto"/>
        <w:jc w:val="both"/>
        <w:rPr>
          <w:noProof/>
        </w:rPr>
      </w:pPr>
      <w:r>
        <w:rPr>
          <w:noProof/>
        </w:rPr>
        <w:t>Adoption d’une nouvelle loi sur les carburants alternatifs dans les transports afin de créer un cadre législatif pour le déploiement de carbur</w:t>
      </w:r>
      <w:r>
        <w:rPr>
          <w:noProof/>
        </w:rPr>
        <w:t>ants alternatifs dans le secteur des transports et de promouvoir la production et l’utilisation de biocarburants avancés et d’hydrogène dans les transports. La stratégie de développement de l’hydrogène est élaborée, en définissant des objectifs à l’horizon</w:t>
      </w:r>
      <w:r>
        <w:rPr>
          <w:noProof/>
        </w:rPr>
        <w:t xml:space="preserve"> 2030 pour la production d’hydrogène vert en Croatie. </w:t>
      </w:r>
    </w:p>
    <w:p w14:paraId="0A69378F" w14:textId="77777777" w:rsidR="00553430" w:rsidRDefault="00212577">
      <w:pPr>
        <w:pStyle w:val="P68B1DB1-Normal94"/>
        <w:spacing w:after="200" w:line="276" w:lineRule="auto"/>
        <w:rPr>
          <w:noProof/>
        </w:rPr>
      </w:pPr>
      <w:r>
        <w:rPr>
          <w:noProof/>
        </w:rPr>
        <w:t>La réforme est achevée au plus tard le 31 décembre 2024.</w:t>
      </w:r>
    </w:p>
    <w:p w14:paraId="01852F50" w14:textId="77777777" w:rsidR="00553430" w:rsidRDefault="00212577">
      <w:pPr>
        <w:pStyle w:val="P68B1DB1-Normal93"/>
        <w:spacing w:after="200" w:line="276" w:lineRule="auto"/>
        <w:ind w:left="720"/>
        <w:rPr>
          <w:noProof/>
          <w:szCs w:val="24"/>
        </w:rPr>
      </w:pPr>
      <w:r>
        <w:rPr>
          <w:noProof/>
        </w:rPr>
        <w:t>Investissement C1.2 R1-I1 – Revitalisation, construction et numérisation du système énergétique et soutien aux infrastructures visant à décarbon</w:t>
      </w:r>
      <w:r>
        <w:rPr>
          <w:noProof/>
        </w:rPr>
        <w:t>er le secteur de l’énergie</w:t>
      </w:r>
    </w:p>
    <w:p w14:paraId="6D74B2AD" w14:textId="77777777" w:rsidR="00553430" w:rsidRDefault="00212577">
      <w:pPr>
        <w:pStyle w:val="P68B1DB1-Normal33"/>
        <w:spacing w:line="240" w:lineRule="auto"/>
        <w:jc w:val="both"/>
        <w:rPr>
          <w:noProof/>
        </w:rPr>
      </w:pPr>
      <w:r>
        <w:rPr>
          <w:noProof/>
        </w:rPr>
        <w:t xml:space="preserve">L’objectif de cet investissement est de soutenir l’électrification et la décarbonation du secteur de l’énergie et d’améliorer le raccordement du réseau sud-nord en Croatie. </w:t>
      </w:r>
    </w:p>
    <w:p w14:paraId="30F793E8" w14:textId="18CFF378" w:rsidR="00553430" w:rsidRDefault="00212577">
      <w:pPr>
        <w:pStyle w:val="P68B1DB1-Normal33"/>
        <w:spacing w:line="240" w:lineRule="auto"/>
        <w:jc w:val="both"/>
        <w:rPr>
          <w:noProof/>
        </w:rPr>
      </w:pPr>
      <w:r>
        <w:rPr>
          <w:noProof/>
        </w:rPr>
        <w:t>L'investissement consiste à moderniser le réseau à haut</w:t>
      </w:r>
      <w:r>
        <w:rPr>
          <w:noProof/>
        </w:rPr>
        <w:t xml:space="preserve">e tension et les câbles sous-marins installés, à moderniser les câbles souterrains reliant 6 îles au réseau continental, à installer des compteurs intelligents et à installer de nouvelles capacités de stockage d'énergie. </w:t>
      </w:r>
    </w:p>
    <w:p w14:paraId="24F1F071" w14:textId="77777777" w:rsidR="00553430" w:rsidRDefault="00212577">
      <w:pPr>
        <w:pStyle w:val="P68B1DB1-Normal94"/>
        <w:spacing w:after="200" w:line="276" w:lineRule="auto"/>
        <w:ind w:left="720"/>
        <w:jc w:val="both"/>
        <w:rPr>
          <w:noProof/>
          <w:u w:val="single"/>
        </w:rPr>
      </w:pPr>
      <w:r>
        <w:rPr>
          <w:noProof/>
          <w:u w:val="single"/>
        </w:rPr>
        <w:t>Investissement C1.2 R1-I2 – Favori</w:t>
      </w:r>
      <w:r>
        <w:rPr>
          <w:noProof/>
          <w:u w:val="single"/>
        </w:rPr>
        <w:t xml:space="preserve">ser l’efficacité énergétique, la chaleur et les énergies renouvelables pour décarboner le </w:t>
      </w:r>
      <w:r>
        <w:rPr>
          <w:noProof/>
          <w:u w:val="double"/>
        </w:rPr>
        <w:t>secteur</w:t>
      </w:r>
      <w:r>
        <w:rPr>
          <w:noProof/>
          <w:u w:val="single"/>
        </w:rPr>
        <w:t xml:space="preserve"> de l’énergie</w:t>
      </w:r>
    </w:p>
    <w:p w14:paraId="70A1EBA0" w14:textId="77777777" w:rsidR="00553430" w:rsidRDefault="00212577">
      <w:pPr>
        <w:pStyle w:val="P68B1DB1-Normal33"/>
        <w:spacing w:after="200" w:line="276" w:lineRule="auto"/>
        <w:jc w:val="both"/>
        <w:rPr>
          <w:noProof/>
        </w:rPr>
      </w:pPr>
      <w:r>
        <w:rPr>
          <w:noProof/>
        </w:rPr>
        <w:t>L'objectif de cet investissement est d'accroître l'efficacité énergétique dans l'industrie et d'accroître l'utilisation des sources renouvelables</w:t>
      </w:r>
      <w:r>
        <w:rPr>
          <w:noProof/>
        </w:rPr>
        <w:t xml:space="preserve">. </w:t>
      </w:r>
    </w:p>
    <w:p w14:paraId="0ED94B65" w14:textId="77777777" w:rsidR="00553430" w:rsidRDefault="00212577">
      <w:pPr>
        <w:pStyle w:val="P68B1DB1-Normal33"/>
        <w:spacing w:after="200" w:line="276" w:lineRule="auto"/>
        <w:jc w:val="both"/>
        <w:rPr>
          <w:noProof/>
        </w:rPr>
      </w:pPr>
      <w:r>
        <w:rPr>
          <w:noProof/>
        </w:rPr>
        <w:t xml:space="preserve">L'investissement consiste à explorer le potentiel géothermique, à soutenir l'efficacité énergétique et l'utilisation des énergies renouvelables dans l'industrie pour les entreprises et à adopter le programme d'efficacité énergétique. </w:t>
      </w:r>
    </w:p>
    <w:p w14:paraId="412E1551" w14:textId="77777777" w:rsidR="00553430" w:rsidRDefault="00212577">
      <w:pPr>
        <w:pStyle w:val="P68B1DB1-Normal93"/>
        <w:spacing w:after="200" w:line="276" w:lineRule="auto"/>
        <w:ind w:left="850"/>
        <w:jc w:val="both"/>
        <w:rPr>
          <w:noProof/>
          <w:szCs w:val="24"/>
        </w:rPr>
      </w:pPr>
      <w:r>
        <w:rPr>
          <w:noProof/>
        </w:rPr>
        <w:t>Investissement C1.</w:t>
      </w:r>
      <w:r>
        <w:rPr>
          <w:noProof/>
        </w:rPr>
        <w:t>2 R1-I3 – Utilisation de l’hydrogène et nouvelles technologies</w:t>
      </w:r>
    </w:p>
    <w:p w14:paraId="1FF4A409" w14:textId="77777777" w:rsidR="00553430" w:rsidRDefault="00212577">
      <w:pPr>
        <w:pStyle w:val="P68B1DB1-Normal95"/>
        <w:spacing w:line="240" w:lineRule="auto"/>
        <w:jc w:val="both"/>
        <w:rPr>
          <w:noProof/>
          <w:szCs w:val="24"/>
        </w:rPr>
      </w:pPr>
      <w:r>
        <w:rPr>
          <w:noProof/>
          <w:szCs w:val="24"/>
        </w:rPr>
        <w:t>L’objectif de cet investissement est d’améliorer l’utilisation de l’hydrogène et des nouvelles technologies en Croatie, afin de réduire les émissions de gaz à effet de serre (GES) dans le secte</w:t>
      </w:r>
      <w:r>
        <w:rPr>
          <w:noProof/>
          <w:szCs w:val="24"/>
        </w:rPr>
        <w:t xml:space="preserve">ur des transports et l’industrie, en adoptant </w:t>
      </w:r>
      <w:r>
        <w:rPr>
          <w:noProof/>
          <w:szCs w:val="28"/>
        </w:rPr>
        <w:t xml:space="preserve">la </w:t>
      </w:r>
      <w:r>
        <w:rPr>
          <w:noProof/>
          <w:szCs w:val="24"/>
        </w:rPr>
        <w:t xml:space="preserve">loi sur les carburants de substitution pour les transports et </w:t>
      </w:r>
      <w:r>
        <w:rPr>
          <w:noProof/>
          <w:szCs w:val="28"/>
        </w:rPr>
        <w:t xml:space="preserve">la stratégie de développement de l’hydrogène. </w:t>
      </w:r>
      <w:r>
        <w:rPr>
          <w:noProof/>
          <w:szCs w:val="24"/>
        </w:rPr>
        <w:t xml:space="preserve"> </w:t>
      </w:r>
    </w:p>
    <w:p w14:paraId="0745BE6C" w14:textId="77777777" w:rsidR="00553430" w:rsidRDefault="00212577">
      <w:pPr>
        <w:pStyle w:val="P68B1DB1-Normal94"/>
        <w:spacing w:after="200" w:line="276" w:lineRule="auto"/>
        <w:jc w:val="both"/>
        <w:rPr>
          <w:noProof/>
          <w:szCs w:val="24"/>
        </w:rPr>
      </w:pPr>
      <w:r>
        <w:rPr>
          <w:noProof/>
        </w:rPr>
        <w:t>Cet investissement est achevé au plus tard le 31 mars 2022.</w:t>
      </w:r>
    </w:p>
    <w:p w14:paraId="19A6DDD9" w14:textId="77777777" w:rsidR="00553430" w:rsidRDefault="00553430">
      <w:pPr>
        <w:rPr>
          <w:noProof/>
        </w:rPr>
        <w:sectPr w:rsidR="00553430" w:rsidSect="00FA29B2">
          <w:headerReference w:type="even" r:id="rId39"/>
          <w:headerReference w:type="default" r:id="rId40"/>
          <w:footerReference w:type="even" r:id="rId41"/>
          <w:footerReference w:type="default" r:id="rId42"/>
          <w:headerReference w:type="first" r:id="rId43"/>
          <w:footerReference w:type="first" r:id="rId44"/>
          <w:pgSz w:w="11906" w:h="16838"/>
          <w:pgMar w:top="1134" w:right="1134" w:bottom="1134" w:left="1134" w:header="567" w:footer="567" w:gutter="0"/>
          <w:cols w:space="708"/>
          <w:docGrid w:linePitch="360"/>
        </w:sectPr>
      </w:pPr>
    </w:p>
    <w:p w14:paraId="3199928B" w14:textId="77777777" w:rsidR="00553430" w:rsidRDefault="00212577">
      <w:pPr>
        <w:pStyle w:val="P68B1DB1-Normal80"/>
        <w:keepNext/>
        <w:tabs>
          <w:tab w:val="num" w:pos="850"/>
        </w:tabs>
        <w:spacing w:after="200" w:line="276" w:lineRule="auto"/>
        <w:ind w:left="851" w:right="-873"/>
        <w:jc w:val="both"/>
        <w:outlineLvl w:val="1"/>
        <w:rPr>
          <w:rFonts w:ascii="Times New Roman" w:eastAsia="Calibri" w:hAnsi="Times New Roman" w:cs="Times New Roman"/>
          <w:noProof/>
        </w:rPr>
      </w:pPr>
      <w:r>
        <w:rPr>
          <w:rFonts w:ascii="Times New Roman" w:eastAsia="SimSun" w:hAnsi="Times New Roman" w:cs="Times New Roman"/>
          <w:b/>
          <w:noProof/>
        </w:rPr>
        <w:t xml:space="preserve">B.2. </w:t>
      </w:r>
      <w:r>
        <w:rPr>
          <w:rFonts w:ascii="Times New Roman" w:hAnsi="Times New Roman" w:cs="Times New Roman"/>
          <w:noProof/>
        </w:rPr>
        <w:t xml:space="preserve"> </w:t>
      </w:r>
      <w:r>
        <w:rPr>
          <w:rFonts w:ascii="Times New Roman" w:eastAsia="SimSun" w:hAnsi="Times New Roman" w:cs="Times New Roman"/>
          <w:b/>
          <w:noProof/>
        </w:rPr>
        <w:t>Étapes, cibles, indicateurs et calendrier pour le suivi et la mise en œuvre du soutien financier non remboursable</w:t>
      </w:r>
    </w:p>
    <w:tbl>
      <w:tblPr>
        <w:tblW w:w="15826" w:type="dxa"/>
        <w:jc w:val="center"/>
        <w:tblCellMar>
          <w:top w:w="28" w:type="dxa"/>
          <w:left w:w="28" w:type="dxa"/>
          <w:bottom w:w="28" w:type="dxa"/>
          <w:right w:w="28" w:type="dxa"/>
        </w:tblCellMar>
        <w:tblLook w:val="04A0" w:firstRow="1" w:lastRow="0" w:firstColumn="1" w:lastColumn="0" w:noHBand="0" w:noVBand="1"/>
      </w:tblPr>
      <w:tblGrid>
        <w:gridCol w:w="768"/>
        <w:gridCol w:w="1077"/>
        <w:gridCol w:w="1030"/>
        <w:gridCol w:w="1825"/>
        <w:gridCol w:w="2017"/>
        <w:gridCol w:w="901"/>
        <w:gridCol w:w="852"/>
        <w:gridCol w:w="756"/>
        <w:gridCol w:w="893"/>
        <w:gridCol w:w="601"/>
        <w:gridCol w:w="5577"/>
      </w:tblGrid>
      <w:tr w:rsidR="00553430" w14:paraId="47DE3837" w14:textId="77777777">
        <w:trPr>
          <w:trHeight w:val="438"/>
          <w:tblHeader/>
          <w:jc w:val="center"/>
        </w:trPr>
        <w:tc>
          <w:tcPr>
            <w:tcW w:w="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97A7A0" w14:textId="77777777" w:rsidR="00553430" w:rsidRDefault="00212577">
            <w:pPr>
              <w:pStyle w:val="P68B1DB1-Normal58"/>
              <w:spacing w:after="200" w:line="276" w:lineRule="auto"/>
              <w:jc w:val="center"/>
              <w:rPr>
                <w:rFonts w:eastAsia="Calibri"/>
                <w:noProof/>
              </w:rPr>
            </w:pPr>
            <w:r>
              <w:rPr>
                <w:noProof/>
              </w:rPr>
              <w:t>Numéro</w:t>
            </w:r>
          </w:p>
        </w:tc>
        <w:tc>
          <w:tcPr>
            <w:tcW w:w="107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0689C1" w14:textId="77777777" w:rsidR="00553430" w:rsidRDefault="00212577">
            <w:pPr>
              <w:pStyle w:val="P68B1DB1-Normal58"/>
              <w:spacing w:after="200" w:line="276" w:lineRule="auto"/>
              <w:jc w:val="center"/>
              <w:rPr>
                <w:rFonts w:eastAsia="Calibri"/>
                <w:noProof/>
              </w:rPr>
            </w:pPr>
            <w:r>
              <w:rPr>
                <w:noProof/>
              </w:rPr>
              <w:t>Mesure</w:t>
            </w:r>
          </w:p>
        </w:tc>
        <w:tc>
          <w:tcPr>
            <w:tcW w:w="10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DF88DA" w14:textId="77777777" w:rsidR="00553430" w:rsidRDefault="00212577">
            <w:pPr>
              <w:pStyle w:val="P68B1DB1-Normal58"/>
              <w:spacing w:after="200" w:line="276" w:lineRule="auto"/>
              <w:jc w:val="center"/>
              <w:rPr>
                <w:rFonts w:eastAsia="Calibri"/>
                <w:noProof/>
              </w:rPr>
            </w:pPr>
            <w:r>
              <w:rPr>
                <w:noProof/>
              </w:rPr>
              <w:t>Étape/cible</w:t>
            </w:r>
          </w:p>
        </w:tc>
        <w:tc>
          <w:tcPr>
            <w:tcW w:w="18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F9207F0" w14:textId="77777777" w:rsidR="00553430" w:rsidRDefault="00212577">
            <w:pPr>
              <w:pStyle w:val="P68B1DB1-Normal58"/>
              <w:spacing w:after="200" w:line="276" w:lineRule="auto"/>
              <w:jc w:val="center"/>
              <w:rPr>
                <w:rFonts w:eastAsia="Calibri"/>
                <w:noProof/>
              </w:rPr>
            </w:pPr>
            <w:r>
              <w:rPr>
                <w:noProof/>
              </w:rPr>
              <w:t>Nom</w:t>
            </w:r>
          </w:p>
        </w:tc>
        <w:tc>
          <w:tcPr>
            <w:tcW w:w="20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4735A9" w14:textId="77777777" w:rsidR="00553430" w:rsidRDefault="00212577">
            <w:pPr>
              <w:pStyle w:val="P68B1DB1-Normal58"/>
              <w:spacing w:after="200" w:line="276" w:lineRule="auto"/>
              <w:jc w:val="center"/>
              <w:rPr>
                <w:rFonts w:eastAsia="Calibri"/>
                <w:noProof/>
              </w:rPr>
            </w:pPr>
            <w:r>
              <w:rPr>
                <w:noProof/>
              </w:rPr>
              <w:t xml:space="preserve">Indicateurs qualitatifs </w:t>
            </w:r>
            <w:r>
              <w:rPr>
                <w:noProof/>
              </w:rPr>
              <w:br/>
              <w:t>(pour les jalons)</w:t>
            </w:r>
          </w:p>
        </w:tc>
        <w:tc>
          <w:tcPr>
            <w:tcW w:w="220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6E28C6D" w14:textId="77777777" w:rsidR="00553430" w:rsidRDefault="00212577">
            <w:pPr>
              <w:pStyle w:val="P68B1DB1-Normal58"/>
              <w:spacing w:after="200" w:line="276" w:lineRule="auto"/>
              <w:jc w:val="center"/>
              <w:rPr>
                <w:rFonts w:eastAsia="Calibri"/>
                <w:noProof/>
              </w:rPr>
            </w:pPr>
            <w:r>
              <w:rPr>
                <w:noProof/>
              </w:rPr>
              <w:t xml:space="preserve">Indicateurs quantitatifs </w:t>
            </w:r>
            <w:r>
              <w:rPr>
                <w:noProof/>
              </w:rPr>
              <w:br/>
              <w:t>(pour les o</w:t>
            </w:r>
            <w:r>
              <w:rPr>
                <w:noProof/>
              </w:rPr>
              <w:t>bjectifs)</w:t>
            </w:r>
          </w:p>
        </w:tc>
        <w:tc>
          <w:tcPr>
            <w:tcW w:w="1323"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6C32317F" w14:textId="77777777" w:rsidR="00553430" w:rsidRDefault="00212577">
            <w:pPr>
              <w:pStyle w:val="P68B1DB1-Normal58"/>
              <w:spacing w:after="200" w:line="276" w:lineRule="auto"/>
              <w:jc w:val="center"/>
              <w:rPr>
                <w:rFonts w:eastAsia="Calibri"/>
                <w:noProof/>
              </w:rPr>
            </w:pPr>
            <w:r>
              <w:rPr>
                <w:noProof/>
              </w:rPr>
              <w:t>Temps</w:t>
            </w:r>
          </w:p>
        </w:tc>
        <w:tc>
          <w:tcPr>
            <w:tcW w:w="5577" w:type="dxa"/>
            <w:vMerge w:val="restart"/>
            <w:tcBorders>
              <w:top w:val="single" w:sz="4" w:space="0" w:color="auto"/>
              <w:left w:val="single" w:sz="4" w:space="0" w:color="auto"/>
              <w:right w:val="single" w:sz="4" w:space="0" w:color="auto"/>
            </w:tcBorders>
            <w:shd w:val="clear" w:color="auto" w:fill="BDD7EE"/>
            <w:vAlign w:val="center"/>
            <w:hideMark/>
          </w:tcPr>
          <w:p w14:paraId="5CA1D7BC" w14:textId="77777777" w:rsidR="00553430" w:rsidRDefault="00212577">
            <w:pPr>
              <w:pStyle w:val="P68B1DB1-Normal58"/>
              <w:spacing w:after="200" w:line="276" w:lineRule="auto"/>
              <w:jc w:val="center"/>
              <w:rPr>
                <w:rFonts w:eastAsia="Calibri"/>
                <w:noProof/>
              </w:rPr>
            </w:pPr>
            <w:r>
              <w:rPr>
                <w:noProof/>
              </w:rPr>
              <w:t>Description de chaque jalon et cible</w:t>
            </w:r>
          </w:p>
        </w:tc>
      </w:tr>
      <w:tr w:rsidR="00553430" w14:paraId="7AC6AE3C" w14:textId="77777777">
        <w:trPr>
          <w:trHeight w:val="122"/>
          <w:tblHeader/>
          <w:jc w:val="center"/>
        </w:trPr>
        <w:tc>
          <w:tcPr>
            <w:tcW w:w="768" w:type="dxa"/>
            <w:vMerge/>
            <w:tcBorders>
              <w:top w:val="single" w:sz="4" w:space="0" w:color="auto"/>
              <w:left w:val="single" w:sz="4" w:space="0" w:color="auto"/>
              <w:bottom w:val="single" w:sz="4" w:space="0" w:color="auto"/>
              <w:right w:val="single" w:sz="4" w:space="0" w:color="auto"/>
            </w:tcBorders>
            <w:hideMark/>
          </w:tcPr>
          <w:p w14:paraId="331F658E" w14:textId="77777777" w:rsidR="00553430" w:rsidRDefault="00553430">
            <w:pPr>
              <w:spacing w:after="0" w:line="276" w:lineRule="auto"/>
              <w:rPr>
                <w:rFonts w:ascii="Times New Roman" w:eastAsia="Times New Roman" w:hAnsi="Times New Roman" w:cs="Times New Roman"/>
                <w:b/>
                <w:noProof/>
                <w:sz w:val="20"/>
                <w:szCs w:val="20"/>
              </w:rPr>
            </w:pPr>
          </w:p>
        </w:tc>
        <w:tc>
          <w:tcPr>
            <w:tcW w:w="1077" w:type="dxa"/>
            <w:vMerge/>
            <w:tcBorders>
              <w:top w:val="single" w:sz="4" w:space="0" w:color="auto"/>
              <w:left w:val="single" w:sz="4" w:space="0" w:color="auto"/>
              <w:bottom w:val="single" w:sz="4" w:space="0" w:color="auto"/>
              <w:right w:val="single" w:sz="4" w:space="0" w:color="auto"/>
            </w:tcBorders>
            <w:hideMark/>
          </w:tcPr>
          <w:p w14:paraId="5687CEAD" w14:textId="77777777" w:rsidR="00553430" w:rsidRDefault="00553430">
            <w:pPr>
              <w:spacing w:after="0" w:line="276" w:lineRule="auto"/>
              <w:rPr>
                <w:rFonts w:ascii="Times New Roman" w:eastAsia="Times New Roman" w:hAnsi="Times New Roman" w:cs="Times New Roman"/>
                <w:b/>
                <w:noProof/>
                <w:sz w:val="20"/>
                <w:szCs w:val="20"/>
              </w:rPr>
            </w:pPr>
          </w:p>
        </w:tc>
        <w:tc>
          <w:tcPr>
            <w:tcW w:w="1030" w:type="dxa"/>
            <w:vMerge/>
            <w:tcBorders>
              <w:top w:val="single" w:sz="4" w:space="0" w:color="auto"/>
              <w:left w:val="single" w:sz="4" w:space="0" w:color="auto"/>
              <w:bottom w:val="single" w:sz="4" w:space="0" w:color="auto"/>
              <w:right w:val="single" w:sz="4" w:space="0" w:color="auto"/>
            </w:tcBorders>
            <w:hideMark/>
          </w:tcPr>
          <w:p w14:paraId="3310B7BD"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825" w:type="dxa"/>
            <w:vMerge/>
            <w:tcBorders>
              <w:top w:val="single" w:sz="4" w:space="0" w:color="auto"/>
              <w:left w:val="single" w:sz="4" w:space="0" w:color="auto"/>
              <w:bottom w:val="single" w:sz="4" w:space="0" w:color="auto"/>
              <w:right w:val="single" w:sz="4" w:space="0" w:color="auto"/>
            </w:tcBorders>
            <w:hideMark/>
          </w:tcPr>
          <w:p w14:paraId="23658EED" w14:textId="77777777" w:rsidR="00553430" w:rsidRDefault="00553430">
            <w:pPr>
              <w:spacing w:after="0" w:line="276" w:lineRule="auto"/>
              <w:rPr>
                <w:rFonts w:ascii="Times New Roman" w:eastAsia="Times New Roman" w:hAnsi="Times New Roman" w:cs="Times New Roman"/>
                <w:b/>
                <w:noProof/>
                <w:sz w:val="20"/>
                <w:szCs w:val="20"/>
              </w:rPr>
            </w:pPr>
          </w:p>
        </w:tc>
        <w:tc>
          <w:tcPr>
            <w:tcW w:w="2017" w:type="dxa"/>
            <w:vMerge/>
            <w:tcBorders>
              <w:top w:val="single" w:sz="4" w:space="0" w:color="auto"/>
              <w:left w:val="single" w:sz="4" w:space="0" w:color="auto"/>
              <w:bottom w:val="single" w:sz="4" w:space="0" w:color="auto"/>
              <w:right w:val="single" w:sz="4" w:space="0" w:color="auto"/>
            </w:tcBorders>
            <w:hideMark/>
          </w:tcPr>
          <w:p w14:paraId="0A28D598" w14:textId="77777777" w:rsidR="00553430" w:rsidRDefault="00553430">
            <w:pPr>
              <w:spacing w:after="0" w:line="276" w:lineRule="auto"/>
              <w:rPr>
                <w:rFonts w:ascii="Times New Roman" w:eastAsia="Times New Roman" w:hAnsi="Times New Roman" w:cs="Times New Roman"/>
                <w:b/>
                <w:noProof/>
                <w:sz w:val="20"/>
                <w:szCs w:val="20"/>
              </w:rPr>
            </w:pPr>
          </w:p>
        </w:tc>
        <w:tc>
          <w:tcPr>
            <w:tcW w:w="725" w:type="dxa"/>
            <w:tcBorders>
              <w:top w:val="nil"/>
              <w:left w:val="single" w:sz="4" w:space="0" w:color="auto"/>
              <w:bottom w:val="single" w:sz="4" w:space="0" w:color="auto"/>
              <w:right w:val="single" w:sz="4" w:space="0" w:color="auto"/>
            </w:tcBorders>
            <w:shd w:val="clear" w:color="auto" w:fill="BDD7EE"/>
            <w:hideMark/>
          </w:tcPr>
          <w:p w14:paraId="5B96E43C" w14:textId="77777777" w:rsidR="00553430" w:rsidRDefault="00212577">
            <w:pPr>
              <w:pStyle w:val="P68B1DB1-Normal58"/>
              <w:spacing w:after="200" w:line="276" w:lineRule="auto"/>
              <w:jc w:val="center"/>
              <w:rPr>
                <w:rFonts w:eastAsia="Calibri"/>
                <w:noProof/>
              </w:rPr>
            </w:pPr>
            <w:r>
              <w:rPr>
                <w:noProof/>
              </w:rPr>
              <w:t>Unité</w:t>
            </w:r>
          </w:p>
        </w:tc>
        <w:tc>
          <w:tcPr>
            <w:tcW w:w="775" w:type="dxa"/>
            <w:tcBorders>
              <w:top w:val="nil"/>
              <w:left w:val="nil"/>
              <w:bottom w:val="single" w:sz="4" w:space="0" w:color="auto"/>
              <w:right w:val="single" w:sz="4" w:space="0" w:color="auto"/>
            </w:tcBorders>
            <w:shd w:val="clear" w:color="auto" w:fill="BDD7EE"/>
            <w:hideMark/>
          </w:tcPr>
          <w:p w14:paraId="46BEBE98" w14:textId="77777777" w:rsidR="00553430" w:rsidRDefault="00212577">
            <w:pPr>
              <w:pStyle w:val="P68B1DB1-Normal58"/>
              <w:spacing w:after="200" w:line="276" w:lineRule="auto"/>
              <w:jc w:val="center"/>
              <w:rPr>
                <w:rFonts w:eastAsia="Calibri"/>
                <w:noProof/>
              </w:rPr>
            </w:pPr>
            <w:r>
              <w:rPr>
                <w:noProof/>
              </w:rPr>
              <w:t>Données de référence</w:t>
            </w:r>
          </w:p>
        </w:tc>
        <w:tc>
          <w:tcPr>
            <w:tcW w:w="709" w:type="dxa"/>
            <w:tcBorders>
              <w:top w:val="nil"/>
              <w:left w:val="nil"/>
              <w:bottom w:val="single" w:sz="4" w:space="0" w:color="auto"/>
              <w:right w:val="single" w:sz="4" w:space="0" w:color="auto"/>
            </w:tcBorders>
            <w:shd w:val="clear" w:color="auto" w:fill="BDD7EE"/>
            <w:hideMark/>
          </w:tcPr>
          <w:p w14:paraId="1EA29D2B" w14:textId="77777777" w:rsidR="00553430" w:rsidRDefault="00212577">
            <w:pPr>
              <w:pStyle w:val="P68B1DB1-Normal58"/>
              <w:spacing w:after="200" w:line="276" w:lineRule="auto"/>
              <w:jc w:val="center"/>
              <w:rPr>
                <w:rFonts w:eastAsia="Calibri"/>
                <w:noProof/>
              </w:rPr>
            </w:pPr>
            <w:r>
              <w:rPr>
                <w:noProof/>
              </w:rPr>
              <w:t>Objectif</w:t>
            </w:r>
          </w:p>
        </w:tc>
        <w:tc>
          <w:tcPr>
            <w:tcW w:w="756" w:type="dxa"/>
            <w:tcBorders>
              <w:top w:val="nil"/>
              <w:left w:val="nil"/>
              <w:bottom w:val="single" w:sz="4" w:space="0" w:color="auto"/>
              <w:right w:val="single" w:sz="4" w:space="0" w:color="auto"/>
            </w:tcBorders>
            <w:shd w:val="clear" w:color="auto" w:fill="BDD7EE"/>
            <w:hideMark/>
          </w:tcPr>
          <w:p w14:paraId="5F744D31" w14:textId="77777777" w:rsidR="00553430" w:rsidRDefault="00212577">
            <w:pPr>
              <w:pStyle w:val="P68B1DB1-Normal58"/>
              <w:spacing w:after="200" w:line="276" w:lineRule="auto"/>
              <w:jc w:val="center"/>
              <w:rPr>
                <w:rFonts w:eastAsia="Calibri"/>
                <w:noProof/>
              </w:rPr>
            </w:pPr>
            <w:r>
              <w:rPr>
                <w:noProof/>
              </w:rPr>
              <w:t>Trimestre</w:t>
            </w:r>
          </w:p>
        </w:tc>
        <w:tc>
          <w:tcPr>
            <w:tcW w:w="567" w:type="dxa"/>
            <w:tcBorders>
              <w:top w:val="nil"/>
              <w:left w:val="nil"/>
              <w:bottom w:val="single" w:sz="4" w:space="0" w:color="auto"/>
              <w:right w:val="single" w:sz="4" w:space="0" w:color="auto"/>
            </w:tcBorders>
            <w:shd w:val="clear" w:color="auto" w:fill="BDD7EE"/>
            <w:hideMark/>
          </w:tcPr>
          <w:p w14:paraId="0BC23116" w14:textId="77777777" w:rsidR="00553430" w:rsidRDefault="00212577">
            <w:pPr>
              <w:pStyle w:val="P68B1DB1-Normal58"/>
              <w:spacing w:after="200" w:line="276" w:lineRule="auto"/>
              <w:jc w:val="center"/>
              <w:rPr>
                <w:rFonts w:eastAsia="Calibri"/>
                <w:noProof/>
              </w:rPr>
            </w:pPr>
            <w:r>
              <w:rPr>
                <w:noProof/>
              </w:rPr>
              <w:t>Année</w:t>
            </w:r>
          </w:p>
        </w:tc>
        <w:tc>
          <w:tcPr>
            <w:tcW w:w="5577" w:type="dxa"/>
            <w:vMerge/>
            <w:tcBorders>
              <w:left w:val="single" w:sz="4" w:space="0" w:color="auto"/>
              <w:right w:val="single" w:sz="4" w:space="0" w:color="auto"/>
            </w:tcBorders>
            <w:hideMark/>
          </w:tcPr>
          <w:p w14:paraId="33E1DC21"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24B8812C"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317223E" w14:textId="77777777" w:rsidR="00553430" w:rsidRDefault="00212577">
            <w:pPr>
              <w:pStyle w:val="P68B1DB1-Normal66"/>
              <w:spacing w:after="0" w:line="276" w:lineRule="auto"/>
              <w:jc w:val="center"/>
              <w:rPr>
                <w:noProof/>
              </w:rPr>
            </w:pPr>
            <w:r>
              <w:rPr>
                <w:noProof/>
              </w:rPr>
              <w:t>36</w:t>
            </w:r>
          </w:p>
        </w:tc>
        <w:tc>
          <w:tcPr>
            <w:tcW w:w="1077" w:type="dxa"/>
            <w:tcBorders>
              <w:top w:val="single" w:sz="4" w:space="0" w:color="auto"/>
              <w:left w:val="nil"/>
              <w:bottom w:val="single" w:sz="4" w:space="0" w:color="auto"/>
              <w:right w:val="single" w:sz="4" w:space="0" w:color="auto"/>
            </w:tcBorders>
            <w:shd w:val="clear" w:color="auto" w:fill="C6EFCE"/>
            <w:noWrap/>
          </w:tcPr>
          <w:p w14:paraId="19897479" w14:textId="77777777" w:rsidR="00553430" w:rsidRDefault="00212577">
            <w:pPr>
              <w:pStyle w:val="P68B1DB1-Normal66"/>
              <w:spacing w:after="200" w:line="276" w:lineRule="auto"/>
              <w:jc w:val="center"/>
              <w:rPr>
                <w:noProof/>
              </w:rPr>
            </w:pPr>
            <w:r>
              <w:rPr>
                <w:noProof/>
              </w:rPr>
              <w:t>C1.2. R1</w:t>
            </w:r>
          </w:p>
        </w:tc>
        <w:tc>
          <w:tcPr>
            <w:tcW w:w="1030" w:type="dxa"/>
            <w:tcBorders>
              <w:top w:val="single" w:sz="4" w:space="0" w:color="auto"/>
              <w:left w:val="nil"/>
              <w:bottom w:val="single" w:sz="4" w:space="0" w:color="auto"/>
              <w:right w:val="single" w:sz="4" w:space="0" w:color="auto"/>
            </w:tcBorders>
            <w:shd w:val="clear" w:color="auto" w:fill="C6EFCE"/>
            <w:noWrap/>
          </w:tcPr>
          <w:p w14:paraId="49461887" w14:textId="77777777" w:rsidR="00553430" w:rsidRDefault="00212577">
            <w:pPr>
              <w:pStyle w:val="P68B1DB1-Normal66"/>
              <w:spacing w:after="200" w:line="276" w:lineRule="auto"/>
              <w:jc w:val="center"/>
              <w:rPr>
                <w:noProof/>
              </w:rPr>
            </w:pPr>
            <w:r>
              <w:rPr>
                <w:noProof/>
              </w:rPr>
              <w:t>M</w:t>
            </w:r>
          </w:p>
        </w:tc>
        <w:tc>
          <w:tcPr>
            <w:tcW w:w="1825" w:type="dxa"/>
            <w:tcBorders>
              <w:top w:val="single" w:sz="4" w:space="0" w:color="auto"/>
              <w:left w:val="nil"/>
              <w:bottom w:val="single" w:sz="4" w:space="0" w:color="auto"/>
              <w:right w:val="single" w:sz="4" w:space="0" w:color="auto"/>
            </w:tcBorders>
            <w:shd w:val="clear" w:color="auto" w:fill="C6EFCE"/>
            <w:noWrap/>
          </w:tcPr>
          <w:p w14:paraId="2127D354" w14:textId="77777777" w:rsidR="00553430" w:rsidRDefault="00212577">
            <w:pPr>
              <w:pStyle w:val="P68B1DB1-Normal66"/>
              <w:spacing w:after="200" w:line="276" w:lineRule="auto"/>
              <w:rPr>
                <w:noProof/>
              </w:rPr>
            </w:pPr>
            <w:r>
              <w:rPr>
                <w:noProof/>
              </w:rPr>
              <w:t xml:space="preserve">Publication d’un document d’évaluation contenant des recommandations visant à réduire les obstacles et les procédures </w:t>
            </w:r>
            <w:r>
              <w:rPr>
                <w:noProof/>
              </w:rPr>
              <w:t>administratives entravant une utilisation accrue des sources d’énergie renouvelables</w:t>
            </w:r>
          </w:p>
        </w:tc>
        <w:tc>
          <w:tcPr>
            <w:tcW w:w="2017" w:type="dxa"/>
            <w:tcBorders>
              <w:top w:val="single" w:sz="4" w:space="0" w:color="auto"/>
              <w:left w:val="nil"/>
              <w:bottom w:val="single" w:sz="4" w:space="0" w:color="auto"/>
              <w:right w:val="single" w:sz="4" w:space="0" w:color="auto"/>
            </w:tcBorders>
            <w:shd w:val="clear" w:color="auto" w:fill="C6EFCE"/>
            <w:noWrap/>
          </w:tcPr>
          <w:p w14:paraId="0FE300A8" w14:textId="77777777" w:rsidR="00553430" w:rsidRDefault="00212577">
            <w:pPr>
              <w:pStyle w:val="P68B1DB1-Normal66"/>
              <w:spacing w:after="200" w:line="276" w:lineRule="auto"/>
              <w:rPr>
                <w:noProof/>
              </w:rPr>
            </w:pPr>
            <w:r>
              <w:rPr>
                <w:noProof/>
              </w:rPr>
              <w:t xml:space="preserve">Publication d’un document d’évaluation par le ministère de l’économie et du développement durable </w:t>
            </w:r>
          </w:p>
        </w:tc>
        <w:tc>
          <w:tcPr>
            <w:tcW w:w="725" w:type="dxa"/>
            <w:tcBorders>
              <w:top w:val="single" w:sz="4" w:space="0" w:color="auto"/>
              <w:left w:val="nil"/>
              <w:bottom w:val="single" w:sz="4" w:space="0" w:color="auto"/>
              <w:right w:val="single" w:sz="4" w:space="0" w:color="auto"/>
            </w:tcBorders>
            <w:shd w:val="clear" w:color="auto" w:fill="C6EFCE"/>
            <w:noWrap/>
          </w:tcPr>
          <w:p w14:paraId="129CD6EB" w14:textId="77777777" w:rsidR="00553430" w:rsidRDefault="00212577">
            <w:pPr>
              <w:pStyle w:val="P68B1DB1-Normal66"/>
              <w:spacing w:after="200" w:line="276" w:lineRule="auto"/>
              <w:jc w:val="center"/>
              <w:rPr>
                <w:noProof/>
              </w:rPr>
            </w:pPr>
            <w:r>
              <w:rPr>
                <w:noProof/>
              </w:rPr>
              <w:t> </w:t>
            </w:r>
          </w:p>
        </w:tc>
        <w:tc>
          <w:tcPr>
            <w:tcW w:w="775" w:type="dxa"/>
            <w:tcBorders>
              <w:top w:val="nil"/>
              <w:left w:val="nil"/>
              <w:bottom w:val="single" w:sz="4" w:space="0" w:color="auto"/>
              <w:right w:val="single" w:sz="4" w:space="0" w:color="auto"/>
            </w:tcBorders>
            <w:shd w:val="clear" w:color="auto" w:fill="C6EFCE"/>
            <w:noWrap/>
          </w:tcPr>
          <w:p w14:paraId="25EDBD74" w14:textId="77777777" w:rsidR="00553430" w:rsidRDefault="00212577">
            <w:pPr>
              <w:pStyle w:val="P68B1DB1-Normal66"/>
              <w:spacing w:after="200" w:line="276" w:lineRule="auto"/>
              <w:jc w:val="center"/>
              <w:rPr>
                <w:noProof/>
              </w:rPr>
            </w:pPr>
            <w:r>
              <w:rPr>
                <w:noProof/>
              </w:rPr>
              <w:t> </w:t>
            </w:r>
          </w:p>
        </w:tc>
        <w:tc>
          <w:tcPr>
            <w:tcW w:w="709" w:type="dxa"/>
            <w:tcBorders>
              <w:top w:val="nil"/>
              <w:left w:val="nil"/>
              <w:bottom w:val="single" w:sz="4" w:space="0" w:color="auto"/>
              <w:right w:val="single" w:sz="4" w:space="0" w:color="auto"/>
            </w:tcBorders>
            <w:shd w:val="clear" w:color="auto" w:fill="C6EFCE"/>
            <w:noWrap/>
          </w:tcPr>
          <w:p w14:paraId="2C89DAF1" w14:textId="77777777" w:rsidR="00553430" w:rsidRDefault="00212577">
            <w:pPr>
              <w:pStyle w:val="P68B1DB1-Normal66"/>
              <w:spacing w:after="200" w:line="276" w:lineRule="auto"/>
              <w:jc w:val="center"/>
              <w:rPr>
                <w:noProof/>
              </w:rPr>
            </w:pPr>
            <w:r>
              <w:rPr>
                <w:noProof/>
              </w:rPr>
              <w:t> </w:t>
            </w:r>
          </w:p>
        </w:tc>
        <w:tc>
          <w:tcPr>
            <w:tcW w:w="756" w:type="dxa"/>
            <w:tcBorders>
              <w:top w:val="nil"/>
              <w:left w:val="nil"/>
              <w:bottom w:val="single" w:sz="4" w:space="0" w:color="auto"/>
              <w:right w:val="single" w:sz="4" w:space="0" w:color="auto"/>
            </w:tcBorders>
            <w:shd w:val="clear" w:color="auto" w:fill="C6EFCE"/>
            <w:noWrap/>
          </w:tcPr>
          <w:p w14:paraId="3FA1142F" w14:textId="77777777" w:rsidR="00553430" w:rsidRDefault="00212577">
            <w:pPr>
              <w:pStyle w:val="P68B1DB1-Normal66"/>
              <w:spacing w:after="200" w:line="276" w:lineRule="auto"/>
              <w:jc w:val="center"/>
              <w:rPr>
                <w:noProof/>
              </w:rPr>
            </w:pPr>
            <w:r>
              <w:rPr>
                <w:noProof/>
              </w:rPr>
              <w:t>T2</w:t>
            </w:r>
          </w:p>
        </w:tc>
        <w:tc>
          <w:tcPr>
            <w:tcW w:w="567" w:type="dxa"/>
            <w:tcBorders>
              <w:top w:val="nil"/>
              <w:left w:val="nil"/>
              <w:bottom w:val="single" w:sz="4" w:space="0" w:color="auto"/>
              <w:right w:val="single" w:sz="4" w:space="0" w:color="auto"/>
            </w:tcBorders>
            <w:shd w:val="clear" w:color="auto" w:fill="C6EFCE"/>
            <w:noWrap/>
          </w:tcPr>
          <w:p w14:paraId="2190379A" w14:textId="77777777" w:rsidR="00553430" w:rsidRDefault="00212577">
            <w:pPr>
              <w:pStyle w:val="P68B1DB1-Normal66"/>
              <w:spacing w:after="200" w:line="276" w:lineRule="auto"/>
              <w:jc w:val="center"/>
              <w:rPr>
                <w:noProof/>
              </w:rPr>
            </w:pPr>
            <w:r>
              <w:rPr>
                <w:noProof/>
              </w:rPr>
              <w:t>2022</w:t>
            </w:r>
          </w:p>
        </w:tc>
        <w:tc>
          <w:tcPr>
            <w:tcW w:w="5577" w:type="dxa"/>
            <w:tcBorders>
              <w:top w:val="single" w:sz="4" w:space="0" w:color="auto"/>
              <w:left w:val="nil"/>
              <w:bottom w:val="single" w:sz="4" w:space="0" w:color="auto"/>
              <w:right w:val="single" w:sz="4" w:space="0" w:color="auto"/>
            </w:tcBorders>
            <w:shd w:val="clear" w:color="auto" w:fill="C6EFCE"/>
            <w:noWrap/>
          </w:tcPr>
          <w:p w14:paraId="34B1D155" w14:textId="77777777" w:rsidR="00553430" w:rsidRDefault="00212577">
            <w:pPr>
              <w:pStyle w:val="P68B1DB1-Normal66"/>
              <w:spacing w:after="200" w:line="276" w:lineRule="auto"/>
              <w:rPr>
                <w:noProof/>
              </w:rPr>
            </w:pPr>
            <w:r>
              <w:rPr>
                <w:noProof/>
              </w:rPr>
              <w:t xml:space="preserve">Le document fournit une évaluation et des recommandations </w:t>
            </w:r>
            <w:r>
              <w:rPr>
                <w:noProof/>
              </w:rPr>
              <w:t>sur les mesures politiques visant à réduire les obstacles et les procédures administratives entravant une plus grande adoption des sources d’énergie renouvelables. L’analyse et les recommandations comprennent également des mesures visant à promouvoir l’aut</w:t>
            </w:r>
            <w:r>
              <w:rPr>
                <w:noProof/>
              </w:rPr>
              <w:t xml:space="preserve">oconsommation d’énergie renouvelable et les communautés d’énergie renouvelable. </w:t>
            </w:r>
          </w:p>
        </w:tc>
      </w:tr>
      <w:tr w:rsidR="00553430" w14:paraId="0E3C67A3" w14:textId="77777777">
        <w:trPr>
          <w:jc w:val="center"/>
        </w:trPr>
        <w:tc>
          <w:tcPr>
            <w:tcW w:w="768" w:type="dxa"/>
            <w:tcBorders>
              <w:top w:val="nil"/>
              <w:left w:val="single" w:sz="4" w:space="0" w:color="auto"/>
              <w:bottom w:val="single" w:sz="4" w:space="0" w:color="auto"/>
              <w:right w:val="single" w:sz="4" w:space="0" w:color="auto"/>
            </w:tcBorders>
            <w:shd w:val="clear" w:color="auto" w:fill="C6EFCE"/>
            <w:noWrap/>
          </w:tcPr>
          <w:p w14:paraId="55403FE9" w14:textId="77777777" w:rsidR="00553430" w:rsidRDefault="00212577">
            <w:pPr>
              <w:pStyle w:val="P68B1DB1-Normal66"/>
              <w:spacing w:after="200" w:line="276" w:lineRule="auto"/>
              <w:jc w:val="center"/>
              <w:rPr>
                <w:noProof/>
              </w:rPr>
            </w:pPr>
            <w:r>
              <w:rPr>
                <w:noProof/>
              </w:rPr>
              <w:t>37</w:t>
            </w:r>
          </w:p>
        </w:tc>
        <w:tc>
          <w:tcPr>
            <w:tcW w:w="1077" w:type="dxa"/>
            <w:tcBorders>
              <w:top w:val="nil"/>
              <w:left w:val="nil"/>
              <w:bottom w:val="single" w:sz="4" w:space="0" w:color="auto"/>
              <w:right w:val="single" w:sz="4" w:space="0" w:color="auto"/>
            </w:tcBorders>
            <w:shd w:val="clear" w:color="auto" w:fill="C6EFCE"/>
            <w:noWrap/>
          </w:tcPr>
          <w:p w14:paraId="1CE0C010" w14:textId="77777777" w:rsidR="00553430" w:rsidRDefault="00212577">
            <w:pPr>
              <w:pStyle w:val="P68B1DB1-Normal66"/>
              <w:spacing w:after="200" w:line="276" w:lineRule="auto"/>
              <w:jc w:val="center"/>
              <w:rPr>
                <w:noProof/>
              </w:rPr>
            </w:pPr>
            <w:r>
              <w:rPr>
                <w:noProof/>
              </w:rPr>
              <w:t>C1.2. R1</w:t>
            </w:r>
          </w:p>
        </w:tc>
        <w:tc>
          <w:tcPr>
            <w:tcW w:w="1030" w:type="dxa"/>
            <w:tcBorders>
              <w:top w:val="nil"/>
              <w:left w:val="nil"/>
              <w:bottom w:val="single" w:sz="4" w:space="0" w:color="auto"/>
              <w:right w:val="single" w:sz="4" w:space="0" w:color="auto"/>
            </w:tcBorders>
            <w:shd w:val="clear" w:color="auto" w:fill="C6EFCE"/>
            <w:noWrap/>
          </w:tcPr>
          <w:p w14:paraId="7534E74C" w14:textId="77777777" w:rsidR="00553430" w:rsidRDefault="00212577">
            <w:pPr>
              <w:pStyle w:val="P68B1DB1-Normal66"/>
              <w:spacing w:after="200" w:line="276" w:lineRule="auto"/>
              <w:jc w:val="center"/>
              <w:rPr>
                <w:noProof/>
              </w:rPr>
            </w:pPr>
            <w:r>
              <w:rPr>
                <w:noProof/>
              </w:rPr>
              <w:t>M</w:t>
            </w:r>
          </w:p>
        </w:tc>
        <w:tc>
          <w:tcPr>
            <w:tcW w:w="1825" w:type="dxa"/>
            <w:tcBorders>
              <w:top w:val="nil"/>
              <w:left w:val="nil"/>
              <w:bottom w:val="single" w:sz="4" w:space="0" w:color="auto"/>
              <w:right w:val="single" w:sz="4" w:space="0" w:color="auto"/>
            </w:tcBorders>
            <w:shd w:val="clear" w:color="auto" w:fill="C6EFCE"/>
            <w:noWrap/>
          </w:tcPr>
          <w:p w14:paraId="099A4560" w14:textId="77777777" w:rsidR="00553430" w:rsidRDefault="00212577">
            <w:pPr>
              <w:pStyle w:val="P68B1DB1-Normal66"/>
              <w:spacing w:after="200" w:line="276" w:lineRule="auto"/>
              <w:rPr>
                <w:noProof/>
              </w:rPr>
            </w:pPr>
            <w:r>
              <w:rPr>
                <w:noProof/>
              </w:rPr>
              <w:t xml:space="preserve">Entrée en vigueur de la législation et/ou de la réglementation visant à améliorer l’utilisation des sources d’énergie renouvelables, y compris l’introduction </w:t>
            </w:r>
            <w:r>
              <w:rPr>
                <w:noProof/>
              </w:rPr>
              <w:t>d’un système fondé sur des primes pour le soutien aux sources d’énergie renouvelables.</w:t>
            </w:r>
          </w:p>
        </w:tc>
        <w:tc>
          <w:tcPr>
            <w:tcW w:w="2017" w:type="dxa"/>
            <w:tcBorders>
              <w:top w:val="nil"/>
              <w:left w:val="nil"/>
              <w:bottom w:val="single" w:sz="4" w:space="0" w:color="auto"/>
              <w:right w:val="single" w:sz="4" w:space="0" w:color="auto"/>
            </w:tcBorders>
            <w:shd w:val="clear" w:color="auto" w:fill="C6EFCE"/>
            <w:noWrap/>
          </w:tcPr>
          <w:p w14:paraId="7E64239A" w14:textId="77777777" w:rsidR="00553430" w:rsidRDefault="00212577">
            <w:pPr>
              <w:pStyle w:val="P68B1DB1-Normal66"/>
              <w:spacing w:after="200" w:line="276" w:lineRule="auto"/>
              <w:rPr>
                <w:noProof/>
              </w:rPr>
            </w:pPr>
            <w:r>
              <w:rPr>
                <w:noProof/>
              </w:rPr>
              <w:t xml:space="preserve">Entrée en vigueur de la législation et/ou de la réglementation </w:t>
            </w:r>
          </w:p>
        </w:tc>
        <w:tc>
          <w:tcPr>
            <w:tcW w:w="725" w:type="dxa"/>
            <w:tcBorders>
              <w:top w:val="nil"/>
              <w:left w:val="nil"/>
              <w:bottom w:val="single" w:sz="4" w:space="0" w:color="auto"/>
              <w:right w:val="single" w:sz="4" w:space="0" w:color="auto"/>
            </w:tcBorders>
            <w:shd w:val="clear" w:color="auto" w:fill="C6EFCE"/>
            <w:noWrap/>
          </w:tcPr>
          <w:p w14:paraId="62B6BFD5" w14:textId="77777777" w:rsidR="00553430" w:rsidRDefault="00212577">
            <w:pPr>
              <w:pStyle w:val="P68B1DB1-Normal66"/>
              <w:spacing w:after="200" w:line="276" w:lineRule="auto"/>
              <w:jc w:val="center"/>
              <w:rPr>
                <w:noProof/>
              </w:rPr>
            </w:pPr>
            <w:r>
              <w:rPr>
                <w:noProof/>
              </w:rPr>
              <w:t> </w:t>
            </w:r>
          </w:p>
        </w:tc>
        <w:tc>
          <w:tcPr>
            <w:tcW w:w="775" w:type="dxa"/>
            <w:tcBorders>
              <w:top w:val="nil"/>
              <w:left w:val="nil"/>
              <w:bottom w:val="single" w:sz="4" w:space="0" w:color="auto"/>
              <w:right w:val="single" w:sz="4" w:space="0" w:color="auto"/>
            </w:tcBorders>
            <w:shd w:val="clear" w:color="auto" w:fill="C6EFCE"/>
            <w:noWrap/>
          </w:tcPr>
          <w:p w14:paraId="17EA3602" w14:textId="77777777" w:rsidR="00553430" w:rsidRDefault="00212577">
            <w:pPr>
              <w:pStyle w:val="P68B1DB1-Normal66"/>
              <w:spacing w:after="200" w:line="276" w:lineRule="auto"/>
              <w:jc w:val="center"/>
              <w:rPr>
                <w:noProof/>
              </w:rPr>
            </w:pPr>
            <w:r>
              <w:rPr>
                <w:noProof/>
              </w:rPr>
              <w:t> </w:t>
            </w:r>
          </w:p>
        </w:tc>
        <w:tc>
          <w:tcPr>
            <w:tcW w:w="709" w:type="dxa"/>
            <w:tcBorders>
              <w:top w:val="nil"/>
              <w:left w:val="nil"/>
              <w:bottom w:val="single" w:sz="4" w:space="0" w:color="auto"/>
              <w:right w:val="single" w:sz="4" w:space="0" w:color="auto"/>
            </w:tcBorders>
            <w:shd w:val="clear" w:color="auto" w:fill="C6EFCE"/>
            <w:noWrap/>
          </w:tcPr>
          <w:p w14:paraId="0F26A639" w14:textId="77777777" w:rsidR="00553430" w:rsidRDefault="00212577">
            <w:pPr>
              <w:pStyle w:val="P68B1DB1-Normal66"/>
              <w:spacing w:after="200" w:line="276" w:lineRule="auto"/>
              <w:jc w:val="center"/>
              <w:rPr>
                <w:noProof/>
              </w:rPr>
            </w:pPr>
            <w:r>
              <w:rPr>
                <w:noProof/>
              </w:rPr>
              <w:t> </w:t>
            </w:r>
          </w:p>
        </w:tc>
        <w:tc>
          <w:tcPr>
            <w:tcW w:w="756" w:type="dxa"/>
            <w:tcBorders>
              <w:top w:val="nil"/>
              <w:left w:val="nil"/>
              <w:bottom w:val="single" w:sz="4" w:space="0" w:color="auto"/>
              <w:right w:val="single" w:sz="4" w:space="0" w:color="auto"/>
            </w:tcBorders>
            <w:shd w:val="clear" w:color="auto" w:fill="C6EFCE"/>
            <w:noWrap/>
          </w:tcPr>
          <w:p w14:paraId="58C394B9" w14:textId="77777777" w:rsidR="00553430" w:rsidRDefault="00212577">
            <w:pPr>
              <w:pStyle w:val="P68B1DB1-Normal66"/>
              <w:spacing w:after="200" w:line="276" w:lineRule="auto"/>
              <w:jc w:val="center"/>
              <w:rPr>
                <w:noProof/>
              </w:rPr>
            </w:pPr>
            <w:r>
              <w:rPr>
                <w:noProof/>
              </w:rPr>
              <w:t>T4</w:t>
            </w:r>
          </w:p>
        </w:tc>
        <w:tc>
          <w:tcPr>
            <w:tcW w:w="567" w:type="dxa"/>
            <w:tcBorders>
              <w:top w:val="nil"/>
              <w:left w:val="nil"/>
              <w:bottom w:val="single" w:sz="4" w:space="0" w:color="auto"/>
              <w:right w:val="single" w:sz="4" w:space="0" w:color="auto"/>
            </w:tcBorders>
            <w:shd w:val="clear" w:color="auto" w:fill="C6EFCE"/>
            <w:noWrap/>
          </w:tcPr>
          <w:p w14:paraId="622D6A00" w14:textId="77777777" w:rsidR="00553430" w:rsidRDefault="00212577">
            <w:pPr>
              <w:pStyle w:val="P68B1DB1-Normal66"/>
              <w:spacing w:after="200" w:line="276" w:lineRule="auto"/>
              <w:jc w:val="center"/>
              <w:rPr>
                <w:noProof/>
              </w:rPr>
            </w:pPr>
            <w:r>
              <w:rPr>
                <w:noProof/>
              </w:rPr>
              <w:t>2022</w:t>
            </w:r>
          </w:p>
        </w:tc>
        <w:tc>
          <w:tcPr>
            <w:tcW w:w="5577" w:type="dxa"/>
            <w:tcBorders>
              <w:top w:val="nil"/>
              <w:left w:val="nil"/>
              <w:bottom w:val="single" w:sz="4" w:space="0" w:color="auto"/>
              <w:right w:val="single" w:sz="4" w:space="0" w:color="auto"/>
            </w:tcBorders>
            <w:shd w:val="clear" w:color="auto" w:fill="C6EFCE"/>
            <w:noWrap/>
          </w:tcPr>
          <w:p w14:paraId="03487851" w14:textId="77777777" w:rsidR="00553430" w:rsidRDefault="00212577">
            <w:pPr>
              <w:pStyle w:val="P68B1DB1-Normal66"/>
              <w:spacing w:after="200" w:line="276" w:lineRule="auto"/>
              <w:rPr>
                <w:noProof/>
              </w:rPr>
            </w:pPr>
            <w:r>
              <w:rPr>
                <w:noProof/>
              </w:rPr>
              <w:t>La loi révisée sur le marché de l’électricité et la loi sur la cogénération à haut rendemen</w:t>
            </w:r>
            <w:r>
              <w:rPr>
                <w:noProof/>
              </w:rPr>
              <w:t>t allègent les obstacles et les procédures administratives entravant l’utilisation accrue des sources d’énergie renouvelables, y compris les mesures visant à promouvoir l’autoconsommation d’énergie renouvelable et les communautés d’énergie renouvelable. Le</w:t>
            </w:r>
            <w:r>
              <w:rPr>
                <w:noProof/>
              </w:rPr>
              <w:t xml:space="preserve"> système de primes pour le soutien aux sources d'énergie renouvelables sera pleinement opérationnel.</w:t>
            </w:r>
          </w:p>
        </w:tc>
      </w:tr>
      <w:tr w:rsidR="00553430" w14:paraId="5025887D"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E609223" w14:textId="77777777" w:rsidR="00553430" w:rsidRDefault="00212577">
            <w:pPr>
              <w:pStyle w:val="P68B1DB1-Normal66"/>
              <w:spacing w:after="200" w:line="276" w:lineRule="auto"/>
              <w:jc w:val="center"/>
              <w:rPr>
                <w:noProof/>
              </w:rPr>
            </w:pPr>
            <w:r>
              <w:rPr>
                <w:noProof/>
              </w:rPr>
              <w:t>38</w:t>
            </w:r>
          </w:p>
        </w:tc>
        <w:tc>
          <w:tcPr>
            <w:tcW w:w="1077" w:type="dxa"/>
            <w:tcBorders>
              <w:top w:val="single" w:sz="4" w:space="0" w:color="auto"/>
              <w:left w:val="nil"/>
              <w:bottom w:val="single" w:sz="4" w:space="0" w:color="auto"/>
              <w:right w:val="single" w:sz="4" w:space="0" w:color="auto"/>
            </w:tcBorders>
            <w:shd w:val="clear" w:color="auto" w:fill="C6EFCE"/>
            <w:noWrap/>
          </w:tcPr>
          <w:p w14:paraId="19D322DB" w14:textId="77777777" w:rsidR="00553430" w:rsidRDefault="00212577">
            <w:pPr>
              <w:pStyle w:val="P68B1DB1-Normal66"/>
              <w:spacing w:after="200" w:line="276" w:lineRule="auto"/>
              <w:jc w:val="center"/>
              <w:rPr>
                <w:noProof/>
              </w:rPr>
            </w:pPr>
            <w:r>
              <w:rPr>
                <w:noProof/>
              </w:rPr>
              <w:t>C1.2. R1</w:t>
            </w:r>
          </w:p>
        </w:tc>
        <w:tc>
          <w:tcPr>
            <w:tcW w:w="1030" w:type="dxa"/>
            <w:tcBorders>
              <w:top w:val="single" w:sz="4" w:space="0" w:color="auto"/>
              <w:left w:val="nil"/>
              <w:bottom w:val="single" w:sz="4" w:space="0" w:color="auto"/>
              <w:right w:val="single" w:sz="4" w:space="0" w:color="auto"/>
            </w:tcBorders>
            <w:shd w:val="clear" w:color="auto" w:fill="C6EFCE"/>
            <w:noWrap/>
          </w:tcPr>
          <w:p w14:paraId="53ECF2BD" w14:textId="77777777" w:rsidR="00553430" w:rsidRDefault="00212577">
            <w:pPr>
              <w:pStyle w:val="P68B1DB1-Normal66"/>
              <w:spacing w:after="200" w:line="276" w:lineRule="auto"/>
              <w:jc w:val="center"/>
              <w:rPr>
                <w:noProof/>
              </w:rPr>
            </w:pPr>
            <w:r>
              <w:rPr>
                <w:noProof/>
              </w:rPr>
              <w:t>M</w:t>
            </w:r>
          </w:p>
        </w:tc>
        <w:tc>
          <w:tcPr>
            <w:tcW w:w="1825" w:type="dxa"/>
            <w:tcBorders>
              <w:top w:val="single" w:sz="4" w:space="0" w:color="auto"/>
              <w:left w:val="nil"/>
              <w:bottom w:val="single" w:sz="4" w:space="0" w:color="auto"/>
              <w:right w:val="single" w:sz="4" w:space="0" w:color="auto"/>
            </w:tcBorders>
            <w:shd w:val="clear" w:color="auto" w:fill="C6EFCE"/>
            <w:noWrap/>
          </w:tcPr>
          <w:p w14:paraId="44292BEE" w14:textId="77777777" w:rsidR="00553430" w:rsidRDefault="00212577">
            <w:pPr>
              <w:pStyle w:val="P68B1DB1-Normal66"/>
              <w:spacing w:after="200" w:line="276" w:lineRule="auto"/>
              <w:rPr>
                <w:noProof/>
              </w:rPr>
            </w:pPr>
            <w:r>
              <w:rPr>
                <w:noProof/>
              </w:rPr>
              <w:t>Certification Plinacro par le régulateur national croate de l'énergie (HERA)</w:t>
            </w:r>
          </w:p>
        </w:tc>
        <w:tc>
          <w:tcPr>
            <w:tcW w:w="2017" w:type="dxa"/>
            <w:tcBorders>
              <w:top w:val="single" w:sz="4" w:space="0" w:color="auto"/>
              <w:left w:val="nil"/>
              <w:bottom w:val="single" w:sz="4" w:space="0" w:color="auto"/>
              <w:right w:val="single" w:sz="4" w:space="0" w:color="auto"/>
            </w:tcBorders>
            <w:shd w:val="clear" w:color="auto" w:fill="C6EFCE"/>
            <w:noWrap/>
          </w:tcPr>
          <w:p w14:paraId="7A87192E" w14:textId="77777777" w:rsidR="00553430" w:rsidRDefault="00212577">
            <w:pPr>
              <w:pStyle w:val="P68B1DB1-Normal66"/>
              <w:spacing w:after="200" w:line="276" w:lineRule="auto"/>
              <w:rPr>
                <w:noProof/>
              </w:rPr>
            </w:pPr>
            <w:r>
              <w:rPr>
                <w:noProof/>
              </w:rPr>
              <w:t xml:space="preserve">Décision relative à la délivrance d’un certirficate adoptée par le régulateur national croate de l’énergie (HERA) </w:t>
            </w:r>
          </w:p>
        </w:tc>
        <w:tc>
          <w:tcPr>
            <w:tcW w:w="725" w:type="dxa"/>
            <w:tcBorders>
              <w:top w:val="single" w:sz="4" w:space="0" w:color="auto"/>
              <w:left w:val="nil"/>
              <w:bottom w:val="single" w:sz="4" w:space="0" w:color="auto"/>
              <w:right w:val="single" w:sz="4" w:space="0" w:color="auto"/>
            </w:tcBorders>
            <w:shd w:val="clear" w:color="auto" w:fill="C6EFCE"/>
            <w:noWrap/>
          </w:tcPr>
          <w:p w14:paraId="2BDE041B" w14:textId="77777777" w:rsidR="00553430" w:rsidRDefault="00212577">
            <w:pPr>
              <w:pStyle w:val="P68B1DB1-Normal66"/>
              <w:spacing w:after="200" w:line="276" w:lineRule="auto"/>
              <w:jc w:val="center"/>
              <w:rPr>
                <w:noProof/>
              </w:rPr>
            </w:pPr>
            <w:r>
              <w:rPr>
                <w:noProof/>
              </w:rPr>
              <w:t> </w:t>
            </w:r>
          </w:p>
        </w:tc>
        <w:tc>
          <w:tcPr>
            <w:tcW w:w="775" w:type="dxa"/>
            <w:tcBorders>
              <w:top w:val="single" w:sz="4" w:space="0" w:color="auto"/>
              <w:left w:val="nil"/>
              <w:bottom w:val="single" w:sz="4" w:space="0" w:color="auto"/>
              <w:right w:val="single" w:sz="4" w:space="0" w:color="auto"/>
            </w:tcBorders>
            <w:shd w:val="clear" w:color="auto" w:fill="C6EFCE"/>
            <w:noWrap/>
          </w:tcPr>
          <w:p w14:paraId="7F50462A" w14:textId="77777777" w:rsidR="00553430" w:rsidRDefault="00212577">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45A0A89A" w14:textId="77777777" w:rsidR="00553430" w:rsidRDefault="00212577">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3F70F2CA" w14:textId="77777777" w:rsidR="00553430" w:rsidRDefault="00212577">
            <w:pPr>
              <w:pStyle w:val="P68B1DB1-Normal66"/>
              <w:spacing w:after="200" w:line="276" w:lineRule="auto"/>
              <w:jc w:val="center"/>
              <w:rPr>
                <w:noProof/>
              </w:rPr>
            </w:pPr>
            <w:r>
              <w:rPr>
                <w:noProof/>
              </w:rPr>
              <w:t>T4</w:t>
            </w:r>
          </w:p>
        </w:tc>
        <w:tc>
          <w:tcPr>
            <w:tcW w:w="567" w:type="dxa"/>
            <w:tcBorders>
              <w:top w:val="single" w:sz="4" w:space="0" w:color="auto"/>
              <w:left w:val="nil"/>
              <w:bottom w:val="single" w:sz="4" w:space="0" w:color="auto"/>
              <w:right w:val="single" w:sz="4" w:space="0" w:color="auto"/>
            </w:tcBorders>
            <w:shd w:val="clear" w:color="auto" w:fill="C6EFCE"/>
            <w:noWrap/>
          </w:tcPr>
          <w:p w14:paraId="6B1EF6DD" w14:textId="77777777" w:rsidR="00553430" w:rsidRDefault="00212577">
            <w:pPr>
              <w:pStyle w:val="P68B1DB1-Normal66"/>
              <w:spacing w:after="200" w:line="276" w:lineRule="auto"/>
              <w:jc w:val="center"/>
              <w:rPr>
                <w:noProof/>
              </w:rPr>
            </w:pPr>
            <w:r>
              <w:rPr>
                <w:noProof/>
              </w:rPr>
              <w:t>2023</w:t>
            </w:r>
          </w:p>
        </w:tc>
        <w:tc>
          <w:tcPr>
            <w:tcW w:w="5577" w:type="dxa"/>
            <w:tcBorders>
              <w:top w:val="single" w:sz="4" w:space="0" w:color="auto"/>
              <w:left w:val="nil"/>
              <w:bottom w:val="single" w:sz="4" w:space="0" w:color="auto"/>
              <w:right w:val="single" w:sz="4" w:space="0" w:color="auto"/>
            </w:tcBorders>
            <w:shd w:val="clear" w:color="auto" w:fill="C6EFCE"/>
            <w:noWrap/>
          </w:tcPr>
          <w:p w14:paraId="1DF16111" w14:textId="77777777" w:rsidR="00553430" w:rsidRDefault="00212577">
            <w:pPr>
              <w:pStyle w:val="P68B1DB1-Normal66"/>
              <w:spacing w:after="200" w:line="276" w:lineRule="auto"/>
              <w:rPr>
                <w:noProof/>
              </w:rPr>
            </w:pPr>
            <w:r>
              <w:rPr>
                <w:noProof/>
              </w:rPr>
              <w:t>Séparation totale de la gestion du gestionnaire du réseau de transport de gaz (Plinacro) des activités de fourniture et de prod</w:t>
            </w:r>
            <w:r>
              <w:rPr>
                <w:noProof/>
              </w:rPr>
              <w:t>uction de l’État et de sa certification par le régulateur national croate de l’énergie (HERA).</w:t>
            </w:r>
          </w:p>
        </w:tc>
      </w:tr>
      <w:tr w:rsidR="00553430" w14:paraId="146E859A"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AF20FE8" w14:textId="77777777" w:rsidR="00553430" w:rsidRDefault="00212577">
            <w:pPr>
              <w:pStyle w:val="P68B1DB1-Normal66"/>
              <w:spacing w:after="200" w:line="276" w:lineRule="auto"/>
              <w:jc w:val="center"/>
              <w:rPr>
                <w:noProof/>
              </w:rPr>
            </w:pPr>
            <w:r>
              <w:rPr>
                <w:noProof/>
              </w:rPr>
              <w:t>39</w:t>
            </w:r>
          </w:p>
        </w:tc>
        <w:tc>
          <w:tcPr>
            <w:tcW w:w="1077" w:type="dxa"/>
            <w:tcBorders>
              <w:top w:val="single" w:sz="4" w:space="0" w:color="auto"/>
              <w:left w:val="nil"/>
              <w:bottom w:val="single" w:sz="4" w:space="0" w:color="auto"/>
              <w:right w:val="single" w:sz="4" w:space="0" w:color="auto"/>
            </w:tcBorders>
            <w:shd w:val="clear" w:color="auto" w:fill="C6EFCE"/>
            <w:noWrap/>
          </w:tcPr>
          <w:p w14:paraId="435911B8" w14:textId="77777777" w:rsidR="00553430" w:rsidRDefault="00212577">
            <w:pPr>
              <w:pStyle w:val="P68B1DB1-Normal66"/>
              <w:spacing w:after="200" w:line="276" w:lineRule="auto"/>
              <w:jc w:val="center"/>
              <w:rPr>
                <w:noProof/>
              </w:rPr>
            </w:pPr>
            <w:r>
              <w:rPr>
                <w:noProof/>
              </w:rPr>
              <w:t>C1.2. R1-I1</w:t>
            </w:r>
          </w:p>
        </w:tc>
        <w:tc>
          <w:tcPr>
            <w:tcW w:w="1030" w:type="dxa"/>
            <w:tcBorders>
              <w:top w:val="single" w:sz="4" w:space="0" w:color="auto"/>
              <w:left w:val="nil"/>
              <w:bottom w:val="single" w:sz="4" w:space="0" w:color="auto"/>
              <w:right w:val="single" w:sz="4" w:space="0" w:color="auto"/>
            </w:tcBorders>
            <w:shd w:val="clear" w:color="auto" w:fill="C6EFCE"/>
            <w:noWrap/>
          </w:tcPr>
          <w:p w14:paraId="4B09A2E6" w14:textId="77777777" w:rsidR="00553430" w:rsidRDefault="00212577">
            <w:pPr>
              <w:pStyle w:val="P68B1DB1-Normal66"/>
              <w:spacing w:after="200" w:line="276" w:lineRule="auto"/>
              <w:jc w:val="center"/>
              <w:rPr>
                <w:noProof/>
              </w:rPr>
            </w:pPr>
            <w:r>
              <w:rPr>
                <w:noProof/>
              </w:rPr>
              <w:t>M</w:t>
            </w:r>
          </w:p>
        </w:tc>
        <w:tc>
          <w:tcPr>
            <w:tcW w:w="1825" w:type="dxa"/>
            <w:tcBorders>
              <w:top w:val="single" w:sz="4" w:space="0" w:color="auto"/>
              <w:left w:val="nil"/>
              <w:bottom w:val="single" w:sz="4" w:space="0" w:color="auto"/>
              <w:right w:val="single" w:sz="4" w:space="0" w:color="auto"/>
            </w:tcBorders>
            <w:shd w:val="clear" w:color="auto" w:fill="C6EFCE"/>
            <w:noWrap/>
          </w:tcPr>
          <w:p w14:paraId="4BBB3057" w14:textId="77777777" w:rsidR="00553430" w:rsidRDefault="00212577">
            <w:pPr>
              <w:pStyle w:val="P68B1DB1-Normal66"/>
              <w:spacing w:after="200" w:line="276" w:lineRule="auto"/>
              <w:rPr>
                <w:noProof/>
              </w:rPr>
            </w:pPr>
            <w:r>
              <w:rPr>
                <w:noProof/>
              </w:rPr>
              <w:t>Autorisation de construction accordée pour la mise à niveau du réseau à haute tension</w:t>
            </w:r>
          </w:p>
        </w:tc>
        <w:tc>
          <w:tcPr>
            <w:tcW w:w="2017" w:type="dxa"/>
            <w:tcBorders>
              <w:top w:val="single" w:sz="4" w:space="0" w:color="auto"/>
              <w:left w:val="nil"/>
              <w:bottom w:val="single" w:sz="4" w:space="0" w:color="auto"/>
              <w:right w:val="single" w:sz="4" w:space="0" w:color="auto"/>
            </w:tcBorders>
            <w:shd w:val="clear" w:color="auto" w:fill="C6EFCE"/>
            <w:noWrap/>
          </w:tcPr>
          <w:p w14:paraId="673A4AD3" w14:textId="77777777" w:rsidR="00553430" w:rsidRDefault="00212577">
            <w:pPr>
              <w:pStyle w:val="P68B1DB1-Normal66"/>
              <w:spacing w:after="200" w:line="276" w:lineRule="auto"/>
              <w:rPr>
                <w:noProof/>
              </w:rPr>
            </w:pPr>
            <w:r>
              <w:rPr>
                <w:noProof/>
              </w:rPr>
              <w:t xml:space="preserve">Permis de construire délivré par le ministère de </w:t>
            </w:r>
            <w:r>
              <w:rPr>
                <w:noProof/>
              </w:rPr>
              <w:t>l’aménagement du territoire, de la construction et des biens de l’État</w:t>
            </w:r>
          </w:p>
        </w:tc>
        <w:tc>
          <w:tcPr>
            <w:tcW w:w="725" w:type="dxa"/>
            <w:tcBorders>
              <w:top w:val="single" w:sz="4" w:space="0" w:color="auto"/>
              <w:left w:val="nil"/>
              <w:bottom w:val="single" w:sz="4" w:space="0" w:color="auto"/>
              <w:right w:val="single" w:sz="4" w:space="0" w:color="auto"/>
            </w:tcBorders>
            <w:shd w:val="clear" w:color="auto" w:fill="C6EFCE"/>
            <w:noWrap/>
          </w:tcPr>
          <w:p w14:paraId="42557CF5" w14:textId="77777777" w:rsidR="00553430" w:rsidRDefault="00212577">
            <w:pPr>
              <w:pStyle w:val="P68B1DB1-Normal66"/>
              <w:spacing w:after="200" w:line="276" w:lineRule="auto"/>
              <w:jc w:val="center"/>
              <w:rPr>
                <w:noProof/>
              </w:rPr>
            </w:pPr>
            <w:r>
              <w:rPr>
                <w:noProof/>
              </w:rPr>
              <w:t> </w:t>
            </w:r>
          </w:p>
        </w:tc>
        <w:tc>
          <w:tcPr>
            <w:tcW w:w="775" w:type="dxa"/>
            <w:tcBorders>
              <w:top w:val="single" w:sz="4" w:space="0" w:color="auto"/>
              <w:left w:val="nil"/>
              <w:bottom w:val="single" w:sz="4" w:space="0" w:color="auto"/>
              <w:right w:val="single" w:sz="4" w:space="0" w:color="auto"/>
            </w:tcBorders>
            <w:shd w:val="clear" w:color="auto" w:fill="C6EFCE"/>
            <w:noWrap/>
          </w:tcPr>
          <w:p w14:paraId="64A7A9F4" w14:textId="77777777" w:rsidR="00553430" w:rsidRDefault="00212577">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0F2FE583" w14:textId="77777777" w:rsidR="00553430" w:rsidRDefault="00212577">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3B848D56" w14:textId="77777777" w:rsidR="00553430" w:rsidRDefault="00212577">
            <w:pPr>
              <w:pStyle w:val="P68B1DB1-Normal66"/>
              <w:spacing w:after="200" w:line="276" w:lineRule="auto"/>
              <w:jc w:val="center"/>
              <w:rPr>
                <w:noProof/>
              </w:rPr>
            </w:pPr>
            <w:r>
              <w:rPr>
                <w:noProof/>
              </w:rPr>
              <w:t>T2</w:t>
            </w:r>
          </w:p>
        </w:tc>
        <w:tc>
          <w:tcPr>
            <w:tcW w:w="567" w:type="dxa"/>
            <w:tcBorders>
              <w:top w:val="single" w:sz="4" w:space="0" w:color="auto"/>
              <w:left w:val="nil"/>
              <w:bottom w:val="single" w:sz="4" w:space="0" w:color="auto"/>
              <w:right w:val="single" w:sz="4" w:space="0" w:color="auto"/>
            </w:tcBorders>
            <w:shd w:val="clear" w:color="auto" w:fill="C6EFCE"/>
            <w:noWrap/>
          </w:tcPr>
          <w:p w14:paraId="672EDF4D" w14:textId="77777777" w:rsidR="00553430" w:rsidRDefault="00212577">
            <w:pPr>
              <w:pStyle w:val="P68B1DB1-Normal66"/>
              <w:spacing w:after="200" w:line="276" w:lineRule="auto"/>
              <w:jc w:val="center"/>
              <w:rPr>
                <w:noProof/>
              </w:rPr>
            </w:pPr>
            <w:r>
              <w:rPr>
                <w:noProof/>
              </w:rPr>
              <w:t>2023</w:t>
            </w:r>
          </w:p>
        </w:tc>
        <w:tc>
          <w:tcPr>
            <w:tcW w:w="5577" w:type="dxa"/>
            <w:tcBorders>
              <w:top w:val="single" w:sz="4" w:space="0" w:color="auto"/>
              <w:left w:val="nil"/>
              <w:bottom w:val="single" w:sz="4" w:space="0" w:color="auto"/>
              <w:right w:val="single" w:sz="4" w:space="0" w:color="auto"/>
            </w:tcBorders>
            <w:shd w:val="clear" w:color="auto" w:fill="C6EFCE"/>
            <w:noWrap/>
          </w:tcPr>
          <w:p w14:paraId="0C397C9F" w14:textId="77777777" w:rsidR="00553430" w:rsidRDefault="00212577">
            <w:pPr>
              <w:pStyle w:val="P68B1DB1-Normal66"/>
              <w:spacing w:after="200" w:line="276" w:lineRule="auto"/>
              <w:rPr>
                <w:noProof/>
              </w:rPr>
            </w:pPr>
            <w:r>
              <w:rPr>
                <w:noProof/>
              </w:rPr>
              <w:t>Permis de construction délivré, à la suite d’un examen préalable et/ou d’une évaluation appropriée conformément à l’article 6, paragraphe 3, de la directive «Habitats», ré</w:t>
            </w:r>
            <w:r>
              <w:rPr>
                <w:noProof/>
              </w:rPr>
              <w:t xml:space="preserve">alisé au regard des objectifs de conservation spécifiques du site conformément aux exigences de la directive. Il convient de prouver que le projet n’a pas d’incidence significative sur l’intégrité des sites Natura 2 000 concernés. </w:t>
            </w:r>
          </w:p>
        </w:tc>
      </w:tr>
      <w:tr w:rsidR="00553430" w14:paraId="22B9C6E8"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F08345E" w14:textId="77777777" w:rsidR="00553430" w:rsidRDefault="00212577">
            <w:pPr>
              <w:pStyle w:val="P68B1DB1-Normal66"/>
              <w:spacing w:after="200" w:line="276" w:lineRule="auto"/>
              <w:jc w:val="center"/>
              <w:rPr>
                <w:noProof/>
              </w:rPr>
            </w:pPr>
            <w:r>
              <w:rPr>
                <w:noProof/>
              </w:rPr>
              <w:t>40</w:t>
            </w:r>
          </w:p>
        </w:tc>
        <w:tc>
          <w:tcPr>
            <w:tcW w:w="1077" w:type="dxa"/>
            <w:tcBorders>
              <w:top w:val="single" w:sz="4" w:space="0" w:color="auto"/>
              <w:left w:val="nil"/>
              <w:bottom w:val="single" w:sz="4" w:space="0" w:color="auto"/>
              <w:right w:val="single" w:sz="4" w:space="0" w:color="auto"/>
            </w:tcBorders>
            <w:shd w:val="clear" w:color="auto" w:fill="C6EFCE"/>
            <w:noWrap/>
          </w:tcPr>
          <w:p w14:paraId="28CDE8AB" w14:textId="77777777" w:rsidR="00553430" w:rsidRDefault="00212577">
            <w:pPr>
              <w:pStyle w:val="P68B1DB1-Normal66"/>
              <w:spacing w:after="200" w:line="276" w:lineRule="auto"/>
              <w:jc w:val="center"/>
              <w:rPr>
                <w:noProof/>
              </w:rPr>
            </w:pPr>
            <w:r>
              <w:rPr>
                <w:noProof/>
              </w:rPr>
              <w:t>C1.2. R1-I1</w:t>
            </w:r>
          </w:p>
        </w:tc>
        <w:tc>
          <w:tcPr>
            <w:tcW w:w="1030" w:type="dxa"/>
            <w:tcBorders>
              <w:top w:val="single" w:sz="4" w:space="0" w:color="auto"/>
              <w:left w:val="nil"/>
              <w:bottom w:val="single" w:sz="4" w:space="0" w:color="auto"/>
              <w:right w:val="single" w:sz="4" w:space="0" w:color="auto"/>
            </w:tcBorders>
            <w:shd w:val="clear" w:color="auto" w:fill="C6EFCE"/>
            <w:noWrap/>
          </w:tcPr>
          <w:p w14:paraId="7E63BEF6" w14:textId="77777777" w:rsidR="00553430" w:rsidRDefault="00212577">
            <w:pPr>
              <w:pStyle w:val="P68B1DB1-Normal66"/>
              <w:spacing w:after="200" w:line="276" w:lineRule="auto"/>
              <w:jc w:val="center"/>
              <w:rPr>
                <w:noProof/>
              </w:rPr>
            </w:pPr>
            <w:r>
              <w:rPr>
                <w:noProof/>
              </w:rPr>
              <w:t>T</w:t>
            </w:r>
          </w:p>
        </w:tc>
        <w:tc>
          <w:tcPr>
            <w:tcW w:w="1825" w:type="dxa"/>
            <w:tcBorders>
              <w:top w:val="single" w:sz="4" w:space="0" w:color="auto"/>
              <w:left w:val="nil"/>
              <w:bottom w:val="single" w:sz="4" w:space="0" w:color="auto"/>
              <w:right w:val="single" w:sz="4" w:space="0" w:color="auto"/>
            </w:tcBorders>
            <w:shd w:val="clear" w:color="auto" w:fill="C6EFCE"/>
            <w:noWrap/>
          </w:tcPr>
          <w:p w14:paraId="53A1D136" w14:textId="77777777" w:rsidR="00553430" w:rsidRDefault="00212577">
            <w:pPr>
              <w:pStyle w:val="P68B1DB1-Normal66"/>
              <w:spacing w:after="200" w:line="276" w:lineRule="auto"/>
              <w:rPr>
                <w:noProof/>
              </w:rPr>
            </w:pPr>
            <w:r>
              <w:rPr>
                <w:noProof/>
              </w:rPr>
              <w:t xml:space="preserve">Achèvement de la mise à niveau des câbles souterrains reliant 6 îles au réseau continental </w:t>
            </w:r>
          </w:p>
        </w:tc>
        <w:tc>
          <w:tcPr>
            <w:tcW w:w="2017" w:type="dxa"/>
            <w:tcBorders>
              <w:top w:val="single" w:sz="4" w:space="0" w:color="auto"/>
              <w:left w:val="nil"/>
              <w:bottom w:val="single" w:sz="4" w:space="0" w:color="auto"/>
              <w:right w:val="single" w:sz="4" w:space="0" w:color="auto"/>
            </w:tcBorders>
            <w:shd w:val="clear" w:color="auto" w:fill="C6EFCE"/>
            <w:noWrap/>
          </w:tcPr>
          <w:p w14:paraId="01E3E98D" w14:textId="77777777" w:rsidR="00553430" w:rsidRDefault="00212577">
            <w:pPr>
              <w:pStyle w:val="P68B1DB1-Normal66"/>
              <w:spacing w:after="200" w:line="276" w:lineRule="auto"/>
              <w:rPr>
                <w:noProof/>
              </w:rPr>
            </w:pPr>
            <w:r>
              <w:rPr>
                <w:noProof/>
              </w:rPr>
              <w:t xml:space="preserve"> </w:t>
            </w:r>
          </w:p>
        </w:tc>
        <w:tc>
          <w:tcPr>
            <w:tcW w:w="725" w:type="dxa"/>
            <w:tcBorders>
              <w:top w:val="single" w:sz="4" w:space="0" w:color="auto"/>
              <w:left w:val="nil"/>
              <w:bottom w:val="single" w:sz="4" w:space="0" w:color="auto"/>
              <w:right w:val="single" w:sz="4" w:space="0" w:color="auto"/>
            </w:tcBorders>
            <w:shd w:val="clear" w:color="auto" w:fill="C6EFCE"/>
            <w:noWrap/>
          </w:tcPr>
          <w:p w14:paraId="1F836D0A" w14:textId="77777777" w:rsidR="00553430" w:rsidRDefault="00212577">
            <w:pPr>
              <w:pStyle w:val="P68B1DB1-Normal66"/>
              <w:spacing w:after="200" w:line="276" w:lineRule="auto"/>
              <w:jc w:val="center"/>
              <w:rPr>
                <w:noProof/>
              </w:rPr>
            </w:pPr>
            <w:r>
              <w:rPr>
                <w:noProof/>
              </w:rPr>
              <w:t>Numéro</w:t>
            </w:r>
          </w:p>
        </w:tc>
        <w:tc>
          <w:tcPr>
            <w:tcW w:w="775" w:type="dxa"/>
            <w:tcBorders>
              <w:top w:val="single" w:sz="4" w:space="0" w:color="auto"/>
              <w:left w:val="nil"/>
              <w:bottom w:val="single" w:sz="4" w:space="0" w:color="auto"/>
              <w:right w:val="single" w:sz="4" w:space="0" w:color="auto"/>
            </w:tcBorders>
            <w:shd w:val="clear" w:color="auto" w:fill="C6EFCE"/>
            <w:noWrap/>
          </w:tcPr>
          <w:p w14:paraId="0FFACF90" w14:textId="77777777" w:rsidR="00553430" w:rsidRDefault="00212577">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23F970E6" w14:textId="77777777" w:rsidR="00553430" w:rsidRDefault="00212577">
            <w:pPr>
              <w:pStyle w:val="P68B1DB1-Normal66"/>
              <w:spacing w:after="200" w:line="276" w:lineRule="auto"/>
              <w:jc w:val="center"/>
              <w:rPr>
                <w:noProof/>
              </w:rPr>
            </w:pPr>
            <w:r>
              <w:rPr>
                <w:noProof/>
              </w:rPr>
              <w:t>6</w:t>
            </w:r>
          </w:p>
        </w:tc>
        <w:tc>
          <w:tcPr>
            <w:tcW w:w="756" w:type="dxa"/>
            <w:tcBorders>
              <w:top w:val="single" w:sz="4" w:space="0" w:color="auto"/>
              <w:left w:val="nil"/>
              <w:bottom w:val="single" w:sz="4" w:space="0" w:color="auto"/>
              <w:right w:val="single" w:sz="4" w:space="0" w:color="auto"/>
            </w:tcBorders>
            <w:shd w:val="clear" w:color="auto" w:fill="C6EFCE"/>
            <w:noWrap/>
          </w:tcPr>
          <w:p w14:paraId="336CFA20" w14:textId="77777777" w:rsidR="00553430" w:rsidRDefault="00212577">
            <w:pPr>
              <w:pStyle w:val="P68B1DB1-Normal66"/>
              <w:spacing w:after="200" w:line="276" w:lineRule="auto"/>
              <w:jc w:val="center"/>
              <w:rPr>
                <w:noProof/>
              </w:rPr>
            </w:pPr>
            <w:r>
              <w:rPr>
                <w:noProof/>
              </w:rPr>
              <w:t>T2</w:t>
            </w:r>
          </w:p>
        </w:tc>
        <w:tc>
          <w:tcPr>
            <w:tcW w:w="567" w:type="dxa"/>
            <w:tcBorders>
              <w:top w:val="single" w:sz="4" w:space="0" w:color="auto"/>
              <w:left w:val="nil"/>
              <w:bottom w:val="single" w:sz="4" w:space="0" w:color="auto"/>
              <w:right w:val="single" w:sz="4" w:space="0" w:color="auto"/>
            </w:tcBorders>
            <w:shd w:val="clear" w:color="auto" w:fill="C6EFCE"/>
            <w:noWrap/>
          </w:tcPr>
          <w:p w14:paraId="76C47DE8" w14:textId="77777777" w:rsidR="00553430" w:rsidRDefault="00212577">
            <w:pPr>
              <w:pStyle w:val="P68B1DB1-Normal66"/>
              <w:spacing w:after="200" w:line="276" w:lineRule="auto"/>
              <w:jc w:val="center"/>
              <w:rPr>
                <w:noProof/>
              </w:rPr>
            </w:pPr>
            <w:r>
              <w:rPr>
                <w:noProof/>
              </w:rPr>
              <w:t>2024</w:t>
            </w:r>
          </w:p>
        </w:tc>
        <w:tc>
          <w:tcPr>
            <w:tcW w:w="5577" w:type="dxa"/>
            <w:tcBorders>
              <w:top w:val="single" w:sz="4" w:space="0" w:color="auto"/>
              <w:left w:val="nil"/>
              <w:bottom w:val="single" w:sz="4" w:space="0" w:color="auto"/>
              <w:right w:val="single" w:sz="4" w:space="0" w:color="auto"/>
            </w:tcBorders>
            <w:shd w:val="clear" w:color="auto" w:fill="C6EFCE"/>
            <w:noWrap/>
          </w:tcPr>
          <w:p w14:paraId="6B1F16C7" w14:textId="77777777" w:rsidR="00553430" w:rsidRDefault="00212577">
            <w:pPr>
              <w:pStyle w:val="P68B1DB1-Normal66"/>
              <w:spacing w:after="200" w:line="276" w:lineRule="auto"/>
              <w:rPr>
                <w:noProof/>
              </w:rPr>
            </w:pPr>
            <w:r>
              <w:rPr>
                <w:noProof/>
              </w:rPr>
              <w:t>Au moins six îles disposent d’une connexion au réseau électrique modernisé vers le continent (les îles prévues sont Krk, Cres, Lošinj, Brač, Hv</w:t>
            </w:r>
            <w:r>
              <w:rPr>
                <w:noProof/>
              </w:rPr>
              <w:t>ar et Korčula). L'investissement comprendra le remplacement d'anciens câbles sous-marins par de nouveaux câbles respectueux de l'environnement.</w:t>
            </w:r>
          </w:p>
        </w:tc>
      </w:tr>
      <w:tr w:rsidR="00553430" w14:paraId="5ACF79F4"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C107A70" w14:textId="77777777" w:rsidR="00553430" w:rsidRDefault="00212577">
            <w:pPr>
              <w:pStyle w:val="P68B1DB1-Normal66"/>
              <w:spacing w:after="200" w:line="276" w:lineRule="auto"/>
              <w:jc w:val="center"/>
              <w:rPr>
                <w:noProof/>
              </w:rPr>
            </w:pPr>
            <w:r>
              <w:rPr>
                <w:noProof/>
              </w:rPr>
              <w:t>41</w:t>
            </w:r>
          </w:p>
        </w:tc>
        <w:tc>
          <w:tcPr>
            <w:tcW w:w="1077" w:type="dxa"/>
            <w:tcBorders>
              <w:top w:val="single" w:sz="4" w:space="0" w:color="auto"/>
              <w:left w:val="nil"/>
              <w:bottom w:val="single" w:sz="4" w:space="0" w:color="auto"/>
              <w:right w:val="single" w:sz="4" w:space="0" w:color="auto"/>
            </w:tcBorders>
            <w:shd w:val="clear" w:color="auto" w:fill="C6EFCE"/>
            <w:noWrap/>
          </w:tcPr>
          <w:p w14:paraId="2F35F175" w14:textId="77777777" w:rsidR="00553430" w:rsidRDefault="00212577">
            <w:pPr>
              <w:pStyle w:val="P68B1DB1-Normal66"/>
              <w:spacing w:after="200" w:line="276" w:lineRule="auto"/>
              <w:jc w:val="center"/>
              <w:rPr>
                <w:noProof/>
              </w:rPr>
            </w:pPr>
            <w:r>
              <w:rPr>
                <w:noProof/>
              </w:rPr>
              <w:t>C1.2. R1-I1</w:t>
            </w:r>
          </w:p>
        </w:tc>
        <w:tc>
          <w:tcPr>
            <w:tcW w:w="1030" w:type="dxa"/>
            <w:tcBorders>
              <w:top w:val="single" w:sz="4" w:space="0" w:color="auto"/>
              <w:left w:val="nil"/>
              <w:bottom w:val="single" w:sz="4" w:space="0" w:color="auto"/>
              <w:right w:val="single" w:sz="4" w:space="0" w:color="auto"/>
            </w:tcBorders>
            <w:shd w:val="clear" w:color="auto" w:fill="C6EFCE"/>
            <w:noWrap/>
          </w:tcPr>
          <w:p w14:paraId="437CD604" w14:textId="77777777" w:rsidR="00553430" w:rsidRDefault="00212577">
            <w:pPr>
              <w:pStyle w:val="P68B1DB1-Normal66"/>
              <w:spacing w:after="200" w:line="276" w:lineRule="auto"/>
              <w:rPr>
                <w:noProof/>
              </w:rPr>
            </w:pPr>
            <w:r>
              <w:rPr>
                <w:noProof/>
              </w:rPr>
              <w:t>T</w:t>
            </w:r>
          </w:p>
        </w:tc>
        <w:tc>
          <w:tcPr>
            <w:tcW w:w="1825" w:type="dxa"/>
            <w:tcBorders>
              <w:top w:val="single" w:sz="4" w:space="0" w:color="auto"/>
              <w:left w:val="nil"/>
              <w:bottom w:val="single" w:sz="4" w:space="0" w:color="auto"/>
              <w:right w:val="single" w:sz="4" w:space="0" w:color="auto"/>
            </w:tcBorders>
            <w:shd w:val="clear" w:color="auto" w:fill="C6EFCE"/>
            <w:noWrap/>
          </w:tcPr>
          <w:p w14:paraId="272B405B" w14:textId="77777777" w:rsidR="00553430" w:rsidRDefault="00212577">
            <w:pPr>
              <w:pStyle w:val="P68B1DB1-Normal66"/>
              <w:spacing w:after="200" w:line="276" w:lineRule="auto"/>
              <w:rPr>
                <w:noProof/>
              </w:rPr>
            </w:pPr>
            <w:r>
              <w:rPr>
                <w:noProof/>
              </w:rPr>
              <w:t xml:space="preserve">Achèvement de la mise à niveau du réseau haute tension (220/110 kV) </w:t>
            </w:r>
          </w:p>
        </w:tc>
        <w:tc>
          <w:tcPr>
            <w:tcW w:w="2017" w:type="dxa"/>
            <w:tcBorders>
              <w:top w:val="single" w:sz="4" w:space="0" w:color="auto"/>
              <w:left w:val="nil"/>
              <w:bottom w:val="single" w:sz="4" w:space="0" w:color="auto"/>
              <w:right w:val="single" w:sz="4" w:space="0" w:color="auto"/>
            </w:tcBorders>
            <w:shd w:val="clear" w:color="auto" w:fill="C6EFCE"/>
            <w:noWrap/>
          </w:tcPr>
          <w:p w14:paraId="4150A1EC" w14:textId="77777777" w:rsidR="00553430" w:rsidRDefault="00212577">
            <w:pPr>
              <w:pStyle w:val="P68B1DB1-Normal66"/>
              <w:spacing w:after="200" w:line="276" w:lineRule="auto"/>
              <w:rPr>
                <w:noProof/>
              </w:rPr>
            </w:pPr>
            <w:r>
              <w:rPr>
                <w:noProof/>
              </w:rPr>
              <w:t xml:space="preserve">Achèvement de la mise à </w:t>
            </w:r>
            <w:r>
              <w:rPr>
                <w:noProof/>
              </w:rPr>
              <w:t>niveau du réseau haute et moyenne tension (220/110 kV)</w:t>
            </w:r>
          </w:p>
        </w:tc>
        <w:tc>
          <w:tcPr>
            <w:tcW w:w="725" w:type="dxa"/>
            <w:tcBorders>
              <w:top w:val="single" w:sz="4" w:space="0" w:color="auto"/>
              <w:left w:val="nil"/>
              <w:bottom w:val="single" w:sz="4" w:space="0" w:color="auto"/>
              <w:right w:val="single" w:sz="4" w:space="0" w:color="auto"/>
            </w:tcBorders>
            <w:shd w:val="clear" w:color="auto" w:fill="C6EFCE"/>
            <w:noWrap/>
          </w:tcPr>
          <w:p w14:paraId="4D60C3C9" w14:textId="77777777" w:rsidR="00553430" w:rsidRDefault="00212577">
            <w:pPr>
              <w:pStyle w:val="P68B1DB1-Normal66"/>
              <w:spacing w:after="200" w:line="276" w:lineRule="auto"/>
              <w:jc w:val="center"/>
              <w:rPr>
                <w:noProof/>
              </w:rPr>
            </w:pPr>
            <w:r>
              <w:rPr>
                <w:noProof/>
              </w:rPr>
              <w:t>kilomètres</w:t>
            </w:r>
          </w:p>
        </w:tc>
        <w:tc>
          <w:tcPr>
            <w:tcW w:w="775" w:type="dxa"/>
            <w:tcBorders>
              <w:top w:val="single" w:sz="4" w:space="0" w:color="auto"/>
              <w:left w:val="nil"/>
              <w:bottom w:val="single" w:sz="4" w:space="0" w:color="auto"/>
              <w:right w:val="single" w:sz="4" w:space="0" w:color="auto"/>
            </w:tcBorders>
            <w:shd w:val="clear" w:color="auto" w:fill="C6EFCE"/>
            <w:noWrap/>
          </w:tcPr>
          <w:p w14:paraId="1443C2D3" w14:textId="77777777" w:rsidR="00553430" w:rsidRDefault="00212577">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0695D31A" w14:textId="77777777" w:rsidR="00553430" w:rsidRDefault="00212577">
            <w:pPr>
              <w:pStyle w:val="P68B1DB1-Normal66"/>
              <w:spacing w:after="200" w:line="276" w:lineRule="auto"/>
              <w:jc w:val="center"/>
              <w:rPr>
                <w:noProof/>
              </w:rPr>
            </w:pPr>
            <w:r>
              <w:rPr>
                <w:noProof/>
              </w:rPr>
              <w:t>300</w:t>
            </w:r>
          </w:p>
        </w:tc>
        <w:tc>
          <w:tcPr>
            <w:tcW w:w="756" w:type="dxa"/>
            <w:tcBorders>
              <w:top w:val="single" w:sz="4" w:space="0" w:color="auto"/>
              <w:left w:val="nil"/>
              <w:bottom w:val="single" w:sz="4" w:space="0" w:color="auto"/>
              <w:right w:val="single" w:sz="4" w:space="0" w:color="auto"/>
            </w:tcBorders>
            <w:shd w:val="clear" w:color="auto" w:fill="C6EFCE"/>
            <w:noWrap/>
          </w:tcPr>
          <w:p w14:paraId="3CD033A2" w14:textId="77777777" w:rsidR="00553430" w:rsidRDefault="00212577">
            <w:pPr>
              <w:pStyle w:val="P68B1DB1-Normal66"/>
              <w:spacing w:after="200" w:line="276" w:lineRule="auto"/>
              <w:jc w:val="center"/>
              <w:rPr>
                <w:noProof/>
              </w:rPr>
            </w:pPr>
            <w:r>
              <w:rPr>
                <w:noProof/>
              </w:rPr>
              <w:t>T3</w:t>
            </w:r>
          </w:p>
        </w:tc>
        <w:tc>
          <w:tcPr>
            <w:tcW w:w="567" w:type="dxa"/>
            <w:tcBorders>
              <w:top w:val="single" w:sz="4" w:space="0" w:color="auto"/>
              <w:left w:val="nil"/>
              <w:bottom w:val="single" w:sz="4" w:space="0" w:color="auto"/>
              <w:right w:val="single" w:sz="4" w:space="0" w:color="auto"/>
            </w:tcBorders>
            <w:shd w:val="clear" w:color="auto" w:fill="C6EFCE"/>
            <w:noWrap/>
          </w:tcPr>
          <w:p w14:paraId="1A59A79E" w14:textId="77777777" w:rsidR="00553430" w:rsidRDefault="00212577">
            <w:pPr>
              <w:pStyle w:val="P68B1DB1-Normal66"/>
              <w:spacing w:after="200" w:line="276" w:lineRule="auto"/>
              <w:jc w:val="center"/>
              <w:rPr>
                <w:noProof/>
              </w:rPr>
            </w:pPr>
            <w:r>
              <w:rPr>
                <w:noProof/>
              </w:rPr>
              <w:t>2024</w:t>
            </w:r>
          </w:p>
        </w:tc>
        <w:tc>
          <w:tcPr>
            <w:tcW w:w="5577" w:type="dxa"/>
            <w:tcBorders>
              <w:top w:val="single" w:sz="4" w:space="0" w:color="auto"/>
              <w:left w:val="nil"/>
              <w:bottom w:val="single" w:sz="4" w:space="0" w:color="auto"/>
              <w:right w:val="single" w:sz="4" w:space="0" w:color="auto"/>
            </w:tcBorders>
            <w:shd w:val="clear" w:color="auto" w:fill="C6EFCE"/>
            <w:noWrap/>
          </w:tcPr>
          <w:p w14:paraId="7C802319" w14:textId="3C5646CF" w:rsidR="00553430" w:rsidRDefault="00212577">
            <w:pPr>
              <w:pStyle w:val="P68B1DB1-Normal66"/>
              <w:spacing w:after="200" w:line="276" w:lineRule="auto"/>
              <w:rPr>
                <w:noProof/>
              </w:rPr>
            </w:pPr>
            <w:r>
              <w:rPr>
                <w:noProof/>
              </w:rPr>
              <w:t xml:space="preserve">Mise à niveau d’au moins 300 km de ligne électrique à haute tension, ce qui contribue au renforcement des connexions au réseau. </w:t>
            </w:r>
          </w:p>
        </w:tc>
      </w:tr>
      <w:tr w:rsidR="00553430" w14:paraId="3032E0E2"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48679DA" w14:textId="77777777" w:rsidR="00553430" w:rsidRDefault="00212577">
            <w:pPr>
              <w:pStyle w:val="P68B1DB1-Normal66"/>
              <w:spacing w:after="200" w:line="276" w:lineRule="auto"/>
              <w:jc w:val="center"/>
              <w:rPr>
                <w:noProof/>
              </w:rPr>
            </w:pPr>
            <w:r>
              <w:rPr>
                <w:noProof/>
              </w:rPr>
              <w:t>42</w:t>
            </w:r>
          </w:p>
        </w:tc>
        <w:tc>
          <w:tcPr>
            <w:tcW w:w="1077" w:type="dxa"/>
            <w:tcBorders>
              <w:top w:val="single" w:sz="4" w:space="0" w:color="auto"/>
              <w:left w:val="nil"/>
              <w:bottom w:val="single" w:sz="4" w:space="0" w:color="auto"/>
              <w:right w:val="single" w:sz="4" w:space="0" w:color="auto"/>
            </w:tcBorders>
            <w:shd w:val="clear" w:color="auto" w:fill="C6EFCE"/>
            <w:noWrap/>
          </w:tcPr>
          <w:p w14:paraId="15FD95D6" w14:textId="77777777" w:rsidR="00553430" w:rsidRDefault="00212577">
            <w:pPr>
              <w:pStyle w:val="P68B1DB1-Normal66"/>
              <w:spacing w:after="200" w:line="276" w:lineRule="auto"/>
              <w:jc w:val="center"/>
              <w:rPr>
                <w:noProof/>
              </w:rPr>
            </w:pPr>
            <w:r>
              <w:rPr>
                <w:noProof/>
              </w:rPr>
              <w:t>C1.2. R1</w:t>
            </w:r>
          </w:p>
        </w:tc>
        <w:tc>
          <w:tcPr>
            <w:tcW w:w="1030" w:type="dxa"/>
            <w:tcBorders>
              <w:top w:val="single" w:sz="4" w:space="0" w:color="auto"/>
              <w:left w:val="nil"/>
              <w:bottom w:val="single" w:sz="4" w:space="0" w:color="auto"/>
              <w:right w:val="single" w:sz="4" w:space="0" w:color="auto"/>
            </w:tcBorders>
            <w:shd w:val="clear" w:color="auto" w:fill="C6EFCE"/>
            <w:noWrap/>
          </w:tcPr>
          <w:p w14:paraId="3C69ECF6" w14:textId="77777777" w:rsidR="00553430" w:rsidRDefault="00212577">
            <w:pPr>
              <w:pStyle w:val="P68B1DB1-Normal66"/>
              <w:spacing w:after="200" w:line="276" w:lineRule="auto"/>
              <w:jc w:val="center"/>
              <w:rPr>
                <w:noProof/>
              </w:rPr>
            </w:pPr>
            <w:r>
              <w:rPr>
                <w:noProof/>
              </w:rPr>
              <w:t>T</w:t>
            </w:r>
          </w:p>
        </w:tc>
        <w:tc>
          <w:tcPr>
            <w:tcW w:w="1825" w:type="dxa"/>
            <w:tcBorders>
              <w:top w:val="single" w:sz="4" w:space="0" w:color="auto"/>
              <w:left w:val="nil"/>
              <w:bottom w:val="single" w:sz="4" w:space="0" w:color="auto"/>
              <w:right w:val="single" w:sz="4" w:space="0" w:color="auto"/>
            </w:tcBorders>
            <w:shd w:val="clear" w:color="auto" w:fill="C6EFCE"/>
            <w:noWrap/>
          </w:tcPr>
          <w:p w14:paraId="46B47860" w14:textId="77777777" w:rsidR="00553430" w:rsidRDefault="00212577">
            <w:pPr>
              <w:pStyle w:val="P68B1DB1-Normal66"/>
              <w:spacing w:after="200" w:line="276" w:lineRule="auto"/>
              <w:rPr>
                <w:noProof/>
              </w:rPr>
            </w:pPr>
            <w:r>
              <w:rPr>
                <w:noProof/>
              </w:rPr>
              <w:t xml:space="preserve">1500 MW supplémentaires de </w:t>
            </w:r>
            <w:r>
              <w:rPr>
                <w:noProof/>
              </w:rPr>
              <w:t>capacité SER installés</w:t>
            </w:r>
          </w:p>
        </w:tc>
        <w:tc>
          <w:tcPr>
            <w:tcW w:w="2017" w:type="dxa"/>
            <w:tcBorders>
              <w:top w:val="single" w:sz="4" w:space="0" w:color="auto"/>
              <w:left w:val="nil"/>
              <w:bottom w:val="single" w:sz="4" w:space="0" w:color="auto"/>
              <w:right w:val="single" w:sz="4" w:space="0" w:color="auto"/>
            </w:tcBorders>
            <w:shd w:val="clear" w:color="auto" w:fill="C6EFCE"/>
            <w:noWrap/>
          </w:tcPr>
          <w:p w14:paraId="147AE101" w14:textId="77777777" w:rsidR="00553430" w:rsidRDefault="00212577">
            <w:pPr>
              <w:pStyle w:val="P68B1DB1-Normal66"/>
              <w:spacing w:after="200" w:line="276" w:lineRule="auto"/>
              <w:rPr>
                <w:noProof/>
              </w:rPr>
            </w:pPr>
            <w:r>
              <w:rPr>
                <w:noProof/>
              </w:rPr>
              <w:t xml:space="preserve"> </w:t>
            </w:r>
          </w:p>
        </w:tc>
        <w:tc>
          <w:tcPr>
            <w:tcW w:w="725" w:type="dxa"/>
            <w:tcBorders>
              <w:top w:val="single" w:sz="4" w:space="0" w:color="auto"/>
              <w:left w:val="nil"/>
              <w:bottom w:val="single" w:sz="4" w:space="0" w:color="auto"/>
              <w:right w:val="single" w:sz="4" w:space="0" w:color="auto"/>
            </w:tcBorders>
            <w:shd w:val="clear" w:color="auto" w:fill="C6EFCE"/>
            <w:noWrap/>
          </w:tcPr>
          <w:p w14:paraId="4916ACF1" w14:textId="77777777" w:rsidR="00553430" w:rsidRDefault="00212577">
            <w:pPr>
              <w:pStyle w:val="P68B1DB1-Normal66"/>
              <w:spacing w:after="200" w:line="276" w:lineRule="auto"/>
              <w:jc w:val="center"/>
              <w:rPr>
                <w:noProof/>
              </w:rPr>
            </w:pPr>
            <w:r>
              <w:rPr>
                <w:noProof/>
              </w:rPr>
              <w:t>Numéro</w:t>
            </w:r>
          </w:p>
        </w:tc>
        <w:tc>
          <w:tcPr>
            <w:tcW w:w="775" w:type="dxa"/>
            <w:tcBorders>
              <w:top w:val="single" w:sz="4" w:space="0" w:color="auto"/>
              <w:left w:val="nil"/>
              <w:bottom w:val="single" w:sz="4" w:space="0" w:color="auto"/>
              <w:right w:val="single" w:sz="4" w:space="0" w:color="auto"/>
            </w:tcBorders>
            <w:shd w:val="clear" w:color="auto" w:fill="C6EFCE"/>
            <w:noWrap/>
          </w:tcPr>
          <w:p w14:paraId="05F581A1" w14:textId="77777777" w:rsidR="00553430" w:rsidRDefault="00212577">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367ABC6E" w14:textId="77777777" w:rsidR="00553430" w:rsidRDefault="00212577">
            <w:pPr>
              <w:pStyle w:val="P68B1DB1-Normal66"/>
              <w:spacing w:after="200" w:line="276" w:lineRule="auto"/>
              <w:jc w:val="center"/>
              <w:rPr>
                <w:noProof/>
              </w:rPr>
            </w:pPr>
            <w:r>
              <w:rPr>
                <w:noProof/>
              </w:rPr>
              <w:t>1 500</w:t>
            </w:r>
          </w:p>
        </w:tc>
        <w:tc>
          <w:tcPr>
            <w:tcW w:w="756" w:type="dxa"/>
            <w:tcBorders>
              <w:top w:val="single" w:sz="4" w:space="0" w:color="auto"/>
              <w:left w:val="nil"/>
              <w:bottom w:val="single" w:sz="4" w:space="0" w:color="auto"/>
              <w:right w:val="single" w:sz="4" w:space="0" w:color="auto"/>
            </w:tcBorders>
            <w:shd w:val="clear" w:color="auto" w:fill="C6EFCE"/>
            <w:noWrap/>
          </w:tcPr>
          <w:p w14:paraId="1D9B919E" w14:textId="77777777" w:rsidR="00553430" w:rsidRDefault="00212577">
            <w:pPr>
              <w:pStyle w:val="P68B1DB1-Normal66"/>
              <w:spacing w:after="200" w:line="276" w:lineRule="auto"/>
              <w:jc w:val="center"/>
              <w:rPr>
                <w:noProof/>
              </w:rPr>
            </w:pPr>
            <w:r>
              <w:rPr>
                <w:noProof/>
              </w:rPr>
              <w:t>T4</w:t>
            </w:r>
          </w:p>
        </w:tc>
        <w:tc>
          <w:tcPr>
            <w:tcW w:w="567" w:type="dxa"/>
            <w:tcBorders>
              <w:top w:val="single" w:sz="4" w:space="0" w:color="auto"/>
              <w:left w:val="nil"/>
              <w:bottom w:val="single" w:sz="4" w:space="0" w:color="auto"/>
              <w:right w:val="single" w:sz="4" w:space="0" w:color="auto"/>
            </w:tcBorders>
            <w:shd w:val="clear" w:color="auto" w:fill="C6EFCE"/>
            <w:noWrap/>
          </w:tcPr>
          <w:p w14:paraId="742E2313" w14:textId="77777777" w:rsidR="00553430" w:rsidRDefault="00212577">
            <w:pPr>
              <w:pStyle w:val="P68B1DB1-Normal66"/>
              <w:spacing w:after="200" w:line="276" w:lineRule="auto"/>
              <w:jc w:val="center"/>
              <w:rPr>
                <w:noProof/>
              </w:rPr>
            </w:pPr>
            <w:r>
              <w:rPr>
                <w:noProof/>
              </w:rPr>
              <w:t>2024</w:t>
            </w:r>
          </w:p>
        </w:tc>
        <w:tc>
          <w:tcPr>
            <w:tcW w:w="5577" w:type="dxa"/>
            <w:tcBorders>
              <w:top w:val="single" w:sz="4" w:space="0" w:color="auto"/>
              <w:left w:val="nil"/>
              <w:bottom w:val="single" w:sz="4" w:space="0" w:color="auto"/>
              <w:right w:val="single" w:sz="4" w:space="0" w:color="auto"/>
            </w:tcBorders>
            <w:shd w:val="clear" w:color="auto" w:fill="C6EFCE"/>
            <w:noWrap/>
          </w:tcPr>
          <w:p w14:paraId="29049773" w14:textId="77777777" w:rsidR="00553430" w:rsidRDefault="00212577">
            <w:pPr>
              <w:pStyle w:val="P68B1DB1-Normal66"/>
              <w:spacing w:after="200" w:line="276" w:lineRule="auto"/>
              <w:rPr>
                <w:noProof/>
              </w:rPr>
            </w:pPr>
            <w:r>
              <w:rPr>
                <w:noProof/>
              </w:rPr>
              <w:t>Installation d'au moins 1 500 MW de nouvelle capacité SER.</w:t>
            </w:r>
          </w:p>
        </w:tc>
      </w:tr>
      <w:tr w:rsidR="00553430" w14:paraId="6B8106B7"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AEA0A3B" w14:textId="77777777" w:rsidR="00553430" w:rsidRDefault="00212577">
            <w:pPr>
              <w:pStyle w:val="P68B1DB1-Normal66"/>
              <w:spacing w:after="200" w:line="276" w:lineRule="auto"/>
              <w:jc w:val="center"/>
              <w:rPr>
                <w:noProof/>
              </w:rPr>
            </w:pPr>
            <w:r>
              <w:rPr>
                <w:noProof/>
              </w:rPr>
              <w:t>43</w:t>
            </w:r>
          </w:p>
        </w:tc>
        <w:tc>
          <w:tcPr>
            <w:tcW w:w="1077" w:type="dxa"/>
            <w:tcBorders>
              <w:top w:val="single" w:sz="4" w:space="0" w:color="auto"/>
              <w:left w:val="nil"/>
              <w:bottom w:val="single" w:sz="4" w:space="0" w:color="auto"/>
              <w:right w:val="single" w:sz="4" w:space="0" w:color="auto"/>
            </w:tcBorders>
            <w:shd w:val="clear" w:color="auto" w:fill="C6EFCE"/>
            <w:noWrap/>
          </w:tcPr>
          <w:p w14:paraId="6F9741E3" w14:textId="77777777" w:rsidR="00553430" w:rsidRDefault="00212577">
            <w:pPr>
              <w:pStyle w:val="P68B1DB1-Normal66"/>
              <w:spacing w:after="200" w:line="276" w:lineRule="auto"/>
              <w:jc w:val="center"/>
              <w:rPr>
                <w:noProof/>
              </w:rPr>
            </w:pPr>
            <w:r>
              <w:rPr>
                <w:noProof/>
              </w:rPr>
              <w:t>C1.2. R1-I1</w:t>
            </w:r>
          </w:p>
        </w:tc>
        <w:tc>
          <w:tcPr>
            <w:tcW w:w="1030" w:type="dxa"/>
            <w:tcBorders>
              <w:top w:val="single" w:sz="4" w:space="0" w:color="auto"/>
              <w:left w:val="nil"/>
              <w:bottom w:val="single" w:sz="4" w:space="0" w:color="auto"/>
              <w:right w:val="single" w:sz="4" w:space="0" w:color="auto"/>
            </w:tcBorders>
            <w:shd w:val="clear" w:color="auto" w:fill="C6EFCE"/>
            <w:noWrap/>
          </w:tcPr>
          <w:p w14:paraId="18C7941C" w14:textId="77777777" w:rsidR="00553430" w:rsidRDefault="00212577">
            <w:pPr>
              <w:pStyle w:val="P68B1DB1-Normal66"/>
              <w:spacing w:after="200" w:line="276" w:lineRule="auto"/>
              <w:jc w:val="center"/>
              <w:rPr>
                <w:noProof/>
              </w:rPr>
            </w:pPr>
            <w:r>
              <w:rPr>
                <w:noProof/>
              </w:rPr>
              <w:t>T</w:t>
            </w:r>
          </w:p>
        </w:tc>
        <w:tc>
          <w:tcPr>
            <w:tcW w:w="1825" w:type="dxa"/>
            <w:tcBorders>
              <w:top w:val="single" w:sz="4" w:space="0" w:color="auto"/>
              <w:left w:val="nil"/>
              <w:bottom w:val="single" w:sz="4" w:space="0" w:color="auto"/>
              <w:right w:val="single" w:sz="4" w:space="0" w:color="auto"/>
            </w:tcBorders>
            <w:shd w:val="clear" w:color="auto" w:fill="C6EFCE"/>
            <w:noWrap/>
          </w:tcPr>
          <w:p w14:paraId="3B89A65A" w14:textId="77777777" w:rsidR="00553430" w:rsidRDefault="00212577">
            <w:pPr>
              <w:pStyle w:val="P68B1DB1-Normal66"/>
              <w:spacing w:after="200" w:line="276" w:lineRule="auto"/>
              <w:rPr>
                <w:noProof/>
              </w:rPr>
            </w:pPr>
            <w:r>
              <w:rPr>
                <w:noProof/>
              </w:rPr>
              <w:t>Nombre de compteurs intelligents installés</w:t>
            </w:r>
          </w:p>
        </w:tc>
        <w:tc>
          <w:tcPr>
            <w:tcW w:w="2017" w:type="dxa"/>
            <w:tcBorders>
              <w:top w:val="single" w:sz="4" w:space="0" w:color="auto"/>
              <w:left w:val="nil"/>
              <w:bottom w:val="single" w:sz="4" w:space="0" w:color="auto"/>
              <w:right w:val="single" w:sz="4" w:space="0" w:color="auto"/>
            </w:tcBorders>
            <w:shd w:val="clear" w:color="auto" w:fill="C6EFCE"/>
            <w:noWrap/>
          </w:tcPr>
          <w:p w14:paraId="2ABF9CAB" w14:textId="77777777" w:rsidR="00553430" w:rsidRDefault="00212577">
            <w:pPr>
              <w:pStyle w:val="P68B1DB1-Normal66"/>
              <w:spacing w:after="200" w:line="276" w:lineRule="auto"/>
              <w:rPr>
                <w:noProof/>
              </w:rPr>
            </w:pPr>
            <w:r>
              <w:rPr>
                <w:noProof/>
              </w:rPr>
              <w:t xml:space="preserve"> </w:t>
            </w:r>
          </w:p>
        </w:tc>
        <w:tc>
          <w:tcPr>
            <w:tcW w:w="725" w:type="dxa"/>
            <w:tcBorders>
              <w:top w:val="single" w:sz="4" w:space="0" w:color="auto"/>
              <w:left w:val="nil"/>
              <w:bottom w:val="single" w:sz="4" w:space="0" w:color="auto"/>
              <w:right w:val="single" w:sz="4" w:space="0" w:color="auto"/>
            </w:tcBorders>
            <w:shd w:val="clear" w:color="auto" w:fill="C6EFCE"/>
            <w:noWrap/>
          </w:tcPr>
          <w:p w14:paraId="13EA1B06" w14:textId="77777777" w:rsidR="00553430" w:rsidRDefault="00212577">
            <w:pPr>
              <w:pStyle w:val="P68B1DB1-Normal66"/>
              <w:spacing w:after="200" w:line="276" w:lineRule="auto"/>
              <w:jc w:val="center"/>
              <w:rPr>
                <w:noProof/>
              </w:rPr>
            </w:pPr>
            <w:r>
              <w:rPr>
                <w:noProof/>
              </w:rPr>
              <w:t>Numéro</w:t>
            </w:r>
          </w:p>
        </w:tc>
        <w:tc>
          <w:tcPr>
            <w:tcW w:w="775" w:type="dxa"/>
            <w:tcBorders>
              <w:top w:val="single" w:sz="4" w:space="0" w:color="auto"/>
              <w:left w:val="nil"/>
              <w:bottom w:val="single" w:sz="4" w:space="0" w:color="auto"/>
              <w:right w:val="single" w:sz="4" w:space="0" w:color="auto"/>
            </w:tcBorders>
            <w:shd w:val="clear" w:color="auto" w:fill="C6EFCE"/>
            <w:noWrap/>
          </w:tcPr>
          <w:p w14:paraId="171B72EC" w14:textId="77777777" w:rsidR="00553430" w:rsidRDefault="00212577">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131494FD" w14:textId="48D3C6AF" w:rsidR="00553430" w:rsidRDefault="00212577">
            <w:pPr>
              <w:pStyle w:val="P68B1DB1-Normal66"/>
              <w:spacing w:after="200" w:line="276" w:lineRule="auto"/>
              <w:jc w:val="center"/>
              <w:rPr>
                <w:noProof/>
              </w:rPr>
            </w:pPr>
            <w:r>
              <w:rPr>
                <w:noProof/>
              </w:rPr>
              <w:t>40 000</w:t>
            </w:r>
          </w:p>
        </w:tc>
        <w:tc>
          <w:tcPr>
            <w:tcW w:w="756" w:type="dxa"/>
            <w:tcBorders>
              <w:top w:val="single" w:sz="4" w:space="0" w:color="auto"/>
              <w:left w:val="nil"/>
              <w:bottom w:val="single" w:sz="4" w:space="0" w:color="auto"/>
              <w:right w:val="single" w:sz="4" w:space="0" w:color="auto"/>
            </w:tcBorders>
            <w:shd w:val="clear" w:color="auto" w:fill="C6EFCE"/>
            <w:noWrap/>
          </w:tcPr>
          <w:p w14:paraId="17A46BCE" w14:textId="77777777" w:rsidR="00553430" w:rsidRDefault="00212577">
            <w:pPr>
              <w:pStyle w:val="P68B1DB1-Normal66"/>
              <w:spacing w:after="200" w:line="276" w:lineRule="auto"/>
              <w:jc w:val="center"/>
              <w:rPr>
                <w:noProof/>
              </w:rPr>
            </w:pPr>
            <w:r>
              <w:rPr>
                <w:noProof/>
              </w:rPr>
              <w:t>T4</w:t>
            </w:r>
          </w:p>
        </w:tc>
        <w:tc>
          <w:tcPr>
            <w:tcW w:w="567" w:type="dxa"/>
            <w:tcBorders>
              <w:top w:val="single" w:sz="4" w:space="0" w:color="auto"/>
              <w:left w:val="nil"/>
              <w:bottom w:val="single" w:sz="4" w:space="0" w:color="auto"/>
              <w:right w:val="single" w:sz="4" w:space="0" w:color="auto"/>
            </w:tcBorders>
            <w:shd w:val="clear" w:color="auto" w:fill="C6EFCE"/>
            <w:noWrap/>
          </w:tcPr>
          <w:p w14:paraId="19C872AA" w14:textId="77777777" w:rsidR="00553430" w:rsidRDefault="00212577">
            <w:pPr>
              <w:pStyle w:val="P68B1DB1-Normal66"/>
              <w:spacing w:after="200" w:line="276" w:lineRule="auto"/>
              <w:jc w:val="center"/>
              <w:rPr>
                <w:noProof/>
              </w:rPr>
            </w:pPr>
            <w:r>
              <w:rPr>
                <w:noProof/>
              </w:rPr>
              <w:t>2024</w:t>
            </w:r>
          </w:p>
        </w:tc>
        <w:tc>
          <w:tcPr>
            <w:tcW w:w="5577" w:type="dxa"/>
            <w:tcBorders>
              <w:top w:val="single" w:sz="4" w:space="0" w:color="auto"/>
              <w:left w:val="nil"/>
              <w:bottom w:val="single" w:sz="4" w:space="0" w:color="auto"/>
              <w:right w:val="single" w:sz="4" w:space="0" w:color="auto"/>
            </w:tcBorders>
            <w:shd w:val="clear" w:color="auto" w:fill="C6EFCE"/>
            <w:noWrap/>
          </w:tcPr>
          <w:p w14:paraId="39E39968" w14:textId="77777777" w:rsidR="00553430" w:rsidRDefault="00212577">
            <w:pPr>
              <w:pStyle w:val="P68B1DB1-Normal66"/>
              <w:spacing w:after="200" w:line="276" w:lineRule="auto"/>
              <w:rPr>
                <w:noProof/>
              </w:rPr>
            </w:pPr>
            <w:r>
              <w:rPr>
                <w:noProof/>
              </w:rPr>
              <w:t xml:space="preserve">Au moins 40 000 compteurs intelligents d'électricité ont été </w:t>
            </w:r>
            <w:r>
              <w:rPr>
                <w:noProof/>
              </w:rPr>
              <w:t>installés.</w:t>
            </w:r>
          </w:p>
        </w:tc>
      </w:tr>
      <w:tr w:rsidR="00553430" w14:paraId="512B0808"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FEB95D0" w14:textId="77777777" w:rsidR="00553430" w:rsidRDefault="00212577">
            <w:pPr>
              <w:pStyle w:val="P68B1DB1-Normal66"/>
              <w:spacing w:after="200" w:line="276" w:lineRule="auto"/>
              <w:jc w:val="center"/>
              <w:rPr>
                <w:noProof/>
              </w:rPr>
            </w:pPr>
            <w:r>
              <w:rPr>
                <w:noProof/>
              </w:rPr>
              <w:t>376</w:t>
            </w:r>
          </w:p>
        </w:tc>
        <w:tc>
          <w:tcPr>
            <w:tcW w:w="1077" w:type="dxa"/>
            <w:tcBorders>
              <w:top w:val="single" w:sz="4" w:space="0" w:color="auto"/>
              <w:left w:val="nil"/>
              <w:bottom w:val="single" w:sz="4" w:space="0" w:color="auto"/>
              <w:right w:val="single" w:sz="4" w:space="0" w:color="auto"/>
            </w:tcBorders>
            <w:shd w:val="clear" w:color="auto" w:fill="C6EFCE"/>
            <w:noWrap/>
          </w:tcPr>
          <w:p w14:paraId="1BDF25CE" w14:textId="77777777" w:rsidR="00553430" w:rsidRDefault="00212577">
            <w:pPr>
              <w:pStyle w:val="P68B1DB1-Normal66"/>
              <w:spacing w:after="200" w:line="276" w:lineRule="auto"/>
              <w:jc w:val="center"/>
              <w:rPr>
                <w:noProof/>
              </w:rPr>
            </w:pPr>
            <w:r>
              <w:rPr>
                <w:noProof/>
              </w:rPr>
              <w:t>C1.2. R1-I1</w:t>
            </w:r>
          </w:p>
        </w:tc>
        <w:tc>
          <w:tcPr>
            <w:tcW w:w="1030" w:type="dxa"/>
            <w:tcBorders>
              <w:top w:val="single" w:sz="4" w:space="0" w:color="auto"/>
              <w:left w:val="nil"/>
              <w:bottom w:val="single" w:sz="4" w:space="0" w:color="auto"/>
              <w:right w:val="single" w:sz="4" w:space="0" w:color="auto"/>
            </w:tcBorders>
            <w:shd w:val="clear" w:color="auto" w:fill="C6EFCE"/>
            <w:noWrap/>
          </w:tcPr>
          <w:p w14:paraId="5ABA1020" w14:textId="77777777" w:rsidR="00553430" w:rsidRDefault="00212577">
            <w:pPr>
              <w:pStyle w:val="P68B1DB1-Normal66"/>
              <w:spacing w:after="200" w:line="276" w:lineRule="auto"/>
              <w:jc w:val="center"/>
              <w:rPr>
                <w:noProof/>
              </w:rPr>
            </w:pPr>
            <w:r>
              <w:rPr>
                <w:noProof/>
              </w:rPr>
              <w:t>T</w:t>
            </w:r>
          </w:p>
        </w:tc>
        <w:tc>
          <w:tcPr>
            <w:tcW w:w="1825" w:type="dxa"/>
            <w:tcBorders>
              <w:top w:val="single" w:sz="4" w:space="0" w:color="auto"/>
              <w:left w:val="nil"/>
              <w:bottom w:val="single" w:sz="4" w:space="0" w:color="auto"/>
              <w:right w:val="single" w:sz="4" w:space="0" w:color="auto"/>
            </w:tcBorders>
            <w:shd w:val="clear" w:color="auto" w:fill="C6EFCE"/>
            <w:noWrap/>
          </w:tcPr>
          <w:p w14:paraId="2F096F9F" w14:textId="77777777" w:rsidR="00553430" w:rsidRDefault="00212577">
            <w:pPr>
              <w:pStyle w:val="P68B1DB1-Normal66"/>
              <w:spacing w:after="200" w:line="276" w:lineRule="auto"/>
              <w:rPr>
                <w:noProof/>
              </w:rPr>
            </w:pPr>
            <w:r>
              <w:rPr>
                <w:noProof/>
              </w:rPr>
              <w:t>Nombre de compteurs intelligents installés</w:t>
            </w:r>
          </w:p>
        </w:tc>
        <w:tc>
          <w:tcPr>
            <w:tcW w:w="2017" w:type="dxa"/>
            <w:tcBorders>
              <w:top w:val="single" w:sz="4" w:space="0" w:color="auto"/>
              <w:left w:val="nil"/>
              <w:bottom w:val="single" w:sz="4" w:space="0" w:color="auto"/>
              <w:right w:val="single" w:sz="4" w:space="0" w:color="auto"/>
            </w:tcBorders>
            <w:shd w:val="clear" w:color="auto" w:fill="C6EFCE"/>
            <w:noWrap/>
          </w:tcPr>
          <w:p w14:paraId="180BF1FE" w14:textId="77777777" w:rsidR="00553430" w:rsidRDefault="00553430">
            <w:pPr>
              <w:spacing w:after="200" w:line="276" w:lineRule="auto"/>
              <w:rPr>
                <w:rFonts w:ascii="Times New Roman" w:eastAsia="Calibri" w:hAnsi="Times New Roman" w:cs="Times New Roman"/>
                <w:noProof/>
                <w:color w:val="000000"/>
                <w:sz w:val="20"/>
                <w:szCs w:val="20"/>
              </w:rPr>
            </w:pPr>
          </w:p>
        </w:tc>
        <w:tc>
          <w:tcPr>
            <w:tcW w:w="725" w:type="dxa"/>
            <w:tcBorders>
              <w:top w:val="single" w:sz="4" w:space="0" w:color="auto"/>
              <w:left w:val="nil"/>
              <w:bottom w:val="single" w:sz="4" w:space="0" w:color="auto"/>
              <w:right w:val="single" w:sz="4" w:space="0" w:color="auto"/>
            </w:tcBorders>
            <w:shd w:val="clear" w:color="auto" w:fill="C6EFCE"/>
            <w:noWrap/>
          </w:tcPr>
          <w:p w14:paraId="1D4F5ED7" w14:textId="77777777" w:rsidR="00553430" w:rsidRDefault="00212577">
            <w:pPr>
              <w:pStyle w:val="P68B1DB1-Normal66"/>
              <w:spacing w:after="200" w:line="276" w:lineRule="auto"/>
              <w:jc w:val="center"/>
              <w:rPr>
                <w:noProof/>
              </w:rPr>
            </w:pPr>
            <w:r>
              <w:rPr>
                <w:noProof/>
              </w:rPr>
              <w:t>Numéro</w:t>
            </w:r>
          </w:p>
        </w:tc>
        <w:tc>
          <w:tcPr>
            <w:tcW w:w="775" w:type="dxa"/>
            <w:tcBorders>
              <w:top w:val="single" w:sz="4" w:space="0" w:color="auto"/>
              <w:left w:val="nil"/>
              <w:bottom w:val="single" w:sz="4" w:space="0" w:color="auto"/>
              <w:right w:val="single" w:sz="4" w:space="0" w:color="auto"/>
            </w:tcBorders>
            <w:shd w:val="clear" w:color="auto" w:fill="C6EFCE"/>
            <w:noWrap/>
          </w:tcPr>
          <w:p w14:paraId="08F60F1D" w14:textId="0678527A" w:rsidR="00553430" w:rsidRDefault="00212577">
            <w:pPr>
              <w:pStyle w:val="P68B1DB1-Normal66"/>
              <w:spacing w:after="200" w:line="276" w:lineRule="auto"/>
              <w:jc w:val="center"/>
              <w:rPr>
                <w:noProof/>
              </w:rPr>
            </w:pPr>
            <w:r>
              <w:rPr>
                <w:noProof/>
              </w:rPr>
              <w:t>40 000</w:t>
            </w:r>
          </w:p>
        </w:tc>
        <w:tc>
          <w:tcPr>
            <w:tcW w:w="709" w:type="dxa"/>
            <w:tcBorders>
              <w:top w:val="single" w:sz="4" w:space="0" w:color="auto"/>
              <w:left w:val="nil"/>
              <w:bottom w:val="single" w:sz="4" w:space="0" w:color="auto"/>
              <w:right w:val="single" w:sz="4" w:space="0" w:color="auto"/>
            </w:tcBorders>
            <w:shd w:val="clear" w:color="auto" w:fill="C6EFCE"/>
            <w:noWrap/>
          </w:tcPr>
          <w:p w14:paraId="62AE7711" w14:textId="260CF0A5" w:rsidR="00553430" w:rsidRDefault="00212577">
            <w:pPr>
              <w:pStyle w:val="P68B1DB1-Normal66"/>
              <w:spacing w:after="200" w:line="276" w:lineRule="auto"/>
              <w:jc w:val="center"/>
              <w:rPr>
                <w:noProof/>
              </w:rPr>
            </w:pPr>
            <w:r>
              <w:rPr>
                <w:noProof/>
              </w:rPr>
              <w:t>100 000</w:t>
            </w:r>
          </w:p>
        </w:tc>
        <w:tc>
          <w:tcPr>
            <w:tcW w:w="756" w:type="dxa"/>
            <w:tcBorders>
              <w:top w:val="single" w:sz="4" w:space="0" w:color="auto"/>
              <w:left w:val="nil"/>
              <w:bottom w:val="single" w:sz="4" w:space="0" w:color="auto"/>
              <w:right w:val="single" w:sz="4" w:space="0" w:color="auto"/>
            </w:tcBorders>
            <w:shd w:val="clear" w:color="auto" w:fill="C6EFCE"/>
            <w:noWrap/>
          </w:tcPr>
          <w:p w14:paraId="5A1AB578" w14:textId="77777777" w:rsidR="00553430" w:rsidRDefault="00212577">
            <w:pPr>
              <w:pStyle w:val="P68B1DB1-Normal66"/>
              <w:spacing w:after="200" w:line="276" w:lineRule="auto"/>
              <w:jc w:val="center"/>
              <w:rPr>
                <w:noProof/>
              </w:rPr>
            </w:pPr>
            <w:r>
              <w:rPr>
                <w:noProof/>
              </w:rPr>
              <w:t>T2</w:t>
            </w:r>
          </w:p>
        </w:tc>
        <w:tc>
          <w:tcPr>
            <w:tcW w:w="567" w:type="dxa"/>
            <w:tcBorders>
              <w:top w:val="single" w:sz="4" w:space="0" w:color="auto"/>
              <w:left w:val="nil"/>
              <w:bottom w:val="single" w:sz="4" w:space="0" w:color="auto"/>
              <w:right w:val="single" w:sz="4" w:space="0" w:color="auto"/>
            </w:tcBorders>
            <w:shd w:val="clear" w:color="auto" w:fill="C6EFCE"/>
            <w:noWrap/>
          </w:tcPr>
          <w:p w14:paraId="4DB0A4D2" w14:textId="77777777" w:rsidR="00553430" w:rsidRDefault="00212577">
            <w:pPr>
              <w:pStyle w:val="P68B1DB1-Normal66"/>
              <w:spacing w:after="200" w:line="276" w:lineRule="auto"/>
              <w:jc w:val="center"/>
              <w:rPr>
                <w:noProof/>
              </w:rPr>
            </w:pPr>
            <w:r>
              <w:rPr>
                <w:noProof/>
              </w:rPr>
              <w:t>2026</w:t>
            </w:r>
          </w:p>
        </w:tc>
        <w:tc>
          <w:tcPr>
            <w:tcW w:w="5577" w:type="dxa"/>
            <w:tcBorders>
              <w:top w:val="single" w:sz="4" w:space="0" w:color="auto"/>
              <w:left w:val="nil"/>
              <w:bottom w:val="single" w:sz="4" w:space="0" w:color="auto"/>
              <w:right w:val="single" w:sz="4" w:space="0" w:color="auto"/>
            </w:tcBorders>
            <w:shd w:val="clear" w:color="auto" w:fill="C6EFCE"/>
            <w:noWrap/>
          </w:tcPr>
          <w:p w14:paraId="0CAFD92B" w14:textId="77777777" w:rsidR="00553430" w:rsidRDefault="00212577">
            <w:pPr>
              <w:pStyle w:val="P68B1DB1-Normal66"/>
              <w:spacing w:after="200" w:line="276" w:lineRule="auto"/>
              <w:rPr>
                <w:noProof/>
              </w:rPr>
            </w:pPr>
            <w:r>
              <w:rPr>
                <w:noProof/>
              </w:rPr>
              <w:t>Au moins 60 000 compteurs intelligents d'électricité ont été installés.</w:t>
            </w:r>
          </w:p>
        </w:tc>
      </w:tr>
      <w:tr w:rsidR="00553430" w14:paraId="03EA0436"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AE00AB2" w14:textId="77777777" w:rsidR="00553430" w:rsidRDefault="00212577">
            <w:pPr>
              <w:pStyle w:val="P68B1DB1-Normal66"/>
              <w:spacing w:after="200" w:line="276" w:lineRule="auto"/>
              <w:jc w:val="center"/>
              <w:rPr>
                <w:noProof/>
              </w:rPr>
            </w:pPr>
            <w:r>
              <w:rPr>
                <w:noProof/>
              </w:rPr>
              <w:t>44</w:t>
            </w:r>
          </w:p>
        </w:tc>
        <w:tc>
          <w:tcPr>
            <w:tcW w:w="1077" w:type="dxa"/>
            <w:tcBorders>
              <w:top w:val="single" w:sz="4" w:space="0" w:color="auto"/>
              <w:left w:val="nil"/>
              <w:bottom w:val="single" w:sz="4" w:space="0" w:color="auto"/>
              <w:right w:val="single" w:sz="4" w:space="0" w:color="auto"/>
            </w:tcBorders>
            <w:shd w:val="clear" w:color="auto" w:fill="C6EFCE"/>
            <w:noWrap/>
          </w:tcPr>
          <w:p w14:paraId="00074F2C" w14:textId="77777777" w:rsidR="00553430" w:rsidRDefault="00212577">
            <w:pPr>
              <w:pStyle w:val="P68B1DB1-Normal66"/>
              <w:spacing w:after="200" w:line="276" w:lineRule="auto"/>
              <w:jc w:val="center"/>
              <w:rPr>
                <w:noProof/>
              </w:rPr>
            </w:pPr>
            <w:r>
              <w:rPr>
                <w:noProof/>
              </w:rPr>
              <w:t>C1.2. R1-I1</w:t>
            </w:r>
          </w:p>
        </w:tc>
        <w:tc>
          <w:tcPr>
            <w:tcW w:w="1030" w:type="dxa"/>
            <w:tcBorders>
              <w:top w:val="single" w:sz="4" w:space="0" w:color="auto"/>
              <w:left w:val="nil"/>
              <w:bottom w:val="single" w:sz="4" w:space="0" w:color="auto"/>
              <w:right w:val="single" w:sz="4" w:space="0" w:color="auto"/>
            </w:tcBorders>
            <w:shd w:val="clear" w:color="auto" w:fill="C6EFCE"/>
            <w:noWrap/>
          </w:tcPr>
          <w:p w14:paraId="3374EBE1" w14:textId="77777777" w:rsidR="00553430" w:rsidRDefault="00212577">
            <w:pPr>
              <w:pStyle w:val="P68B1DB1-Normal66"/>
              <w:spacing w:after="200" w:line="276" w:lineRule="auto"/>
              <w:jc w:val="center"/>
              <w:rPr>
                <w:noProof/>
              </w:rPr>
            </w:pPr>
            <w:r>
              <w:rPr>
                <w:noProof/>
              </w:rPr>
              <w:t>M</w:t>
            </w:r>
          </w:p>
        </w:tc>
        <w:tc>
          <w:tcPr>
            <w:tcW w:w="1825" w:type="dxa"/>
            <w:tcBorders>
              <w:top w:val="single" w:sz="4" w:space="0" w:color="auto"/>
              <w:left w:val="nil"/>
              <w:bottom w:val="single" w:sz="4" w:space="0" w:color="auto"/>
              <w:right w:val="single" w:sz="4" w:space="0" w:color="auto"/>
            </w:tcBorders>
            <w:shd w:val="clear" w:color="auto" w:fill="C6EFCE"/>
            <w:noWrap/>
          </w:tcPr>
          <w:p w14:paraId="2789E69D" w14:textId="553FFB27" w:rsidR="00553430" w:rsidRDefault="00212577">
            <w:pPr>
              <w:pStyle w:val="P68B1DB1-Normal66"/>
              <w:spacing w:after="200" w:line="276" w:lineRule="auto"/>
              <w:rPr>
                <w:noProof/>
              </w:rPr>
            </w:pPr>
            <w:r>
              <w:rPr>
                <w:noProof/>
              </w:rPr>
              <w:t>Mise à niveau du réseau haute tension (220/110 kV) et pose des</w:t>
            </w:r>
            <w:r>
              <w:rPr>
                <w:noProof/>
              </w:rPr>
              <w:t xml:space="preserve"> câbles sous-marins pour le réseau de distribution</w:t>
            </w:r>
          </w:p>
        </w:tc>
        <w:tc>
          <w:tcPr>
            <w:tcW w:w="2017" w:type="dxa"/>
            <w:tcBorders>
              <w:top w:val="single" w:sz="4" w:space="0" w:color="auto"/>
              <w:left w:val="nil"/>
              <w:bottom w:val="single" w:sz="4" w:space="0" w:color="auto"/>
              <w:right w:val="single" w:sz="4" w:space="0" w:color="auto"/>
            </w:tcBorders>
            <w:shd w:val="clear" w:color="auto" w:fill="C6EFCE"/>
            <w:noWrap/>
          </w:tcPr>
          <w:p w14:paraId="7060EE46" w14:textId="1292F5FD" w:rsidR="00553430" w:rsidRDefault="00212577">
            <w:pPr>
              <w:pStyle w:val="P68B1DB1-Normal66"/>
              <w:spacing w:after="200" w:line="276" w:lineRule="auto"/>
              <w:rPr>
                <w:noProof/>
              </w:rPr>
            </w:pPr>
            <w:r>
              <w:rPr>
                <w:noProof/>
              </w:rPr>
              <w:t>Mise à niveau du réseau haute tension (220/110 kV) et pose des câbles sous-marins pour le réseau de distriubtion</w:t>
            </w:r>
          </w:p>
        </w:tc>
        <w:tc>
          <w:tcPr>
            <w:tcW w:w="725" w:type="dxa"/>
            <w:tcBorders>
              <w:top w:val="single" w:sz="4" w:space="0" w:color="auto"/>
              <w:left w:val="nil"/>
              <w:bottom w:val="single" w:sz="4" w:space="0" w:color="auto"/>
              <w:right w:val="single" w:sz="4" w:space="0" w:color="auto"/>
            </w:tcBorders>
            <w:shd w:val="clear" w:color="auto" w:fill="C6EFCE"/>
            <w:noWrap/>
          </w:tcPr>
          <w:p w14:paraId="51A1DA15" w14:textId="77777777" w:rsidR="00553430" w:rsidRDefault="00553430">
            <w:pPr>
              <w:spacing w:after="200" w:line="276" w:lineRule="auto"/>
              <w:jc w:val="center"/>
              <w:rPr>
                <w:rFonts w:ascii="Times New Roman" w:eastAsia="Calibri" w:hAnsi="Times New Roman" w:cs="Times New Roman"/>
                <w:noProof/>
                <w:sz w:val="20"/>
                <w:szCs w:val="20"/>
              </w:rPr>
            </w:pPr>
          </w:p>
        </w:tc>
        <w:tc>
          <w:tcPr>
            <w:tcW w:w="775" w:type="dxa"/>
            <w:tcBorders>
              <w:top w:val="single" w:sz="4" w:space="0" w:color="auto"/>
              <w:left w:val="nil"/>
              <w:bottom w:val="single" w:sz="4" w:space="0" w:color="auto"/>
              <w:right w:val="single" w:sz="4" w:space="0" w:color="auto"/>
            </w:tcBorders>
            <w:shd w:val="clear" w:color="auto" w:fill="C6EFCE"/>
            <w:noWrap/>
          </w:tcPr>
          <w:p w14:paraId="49382BC6" w14:textId="77777777" w:rsidR="00553430" w:rsidRDefault="00553430">
            <w:pPr>
              <w:spacing w:after="200" w:line="276" w:lineRule="auto"/>
              <w:jc w:val="center"/>
              <w:rPr>
                <w:rFonts w:ascii="Times New Roman" w:eastAsia="Calibri" w:hAnsi="Times New Roman" w:cs="Times New Roman"/>
                <w:noProof/>
                <w:sz w:val="20"/>
                <w:szCs w:val="20"/>
              </w:rPr>
            </w:pPr>
          </w:p>
        </w:tc>
        <w:tc>
          <w:tcPr>
            <w:tcW w:w="709" w:type="dxa"/>
            <w:tcBorders>
              <w:top w:val="single" w:sz="4" w:space="0" w:color="auto"/>
              <w:left w:val="nil"/>
              <w:bottom w:val="single" w:sz="4" w:space="0" w:color="auto"/>
              <w:right w:val="single" w:sz="4" w:space="0" w:color="auto"/>
            </w:tcBorders>
            <w:shd w:val="clear" w:color="auto" w:fill="C6EFCE"/>
            <w:noWrap/>
          </w:tcPr>
          <w:p w14:paraId="0AF42419" w14:textId="77777777" w:rsidR="00553430" w:rsidRDefault="00553430">
            <w:pPr>
              <w:tabs>
                <w:tab w:val="left" w:pos="234"/>
              </w:tabs>
              <w:spacing w:after="200" w:line="276" w:lineRule="auto"/>
              <w:jc w:val="center"/>
              <w:rPr>
                <w:rFonts w:ascii="Times New Roman" w:eastAsia="Calibri" w:hAnsi="Times New Roman" w:cs="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53198C67" w14:textId="77777777" w:rsidR="00553430" w:rsidRDefault="00212577">
            <w:pPr>
              <w:pStyle w:val="P68B1DB1-Normal66"/>
              <w:spacing w:after="200" w:line="276" w:lineRule="auto"/>
              <w:jc w:val="center"/>
              <w:rPr>
                <w:noProof/>
              </w:rPr>
            </w:pPr>
            <w:r>
              <w:rPr>
                <w:noProof/>
              </w:rPr>
              <w:t>T2</w:t>
            </w:r>
          </w:p>
        </w:tc>
        <w:tc>
          <w:tcPr>
            <w:tcW w:w="567" w:type="dxa"/>
            <w:tcBorders>
              <w:top w:val="single" w:sz="4" w:space="0" w:color="auto"/>
              <w:left w:val="nil"/>
              <w:bottom w:val="single" w:sz="4" w:space="0" w:color="auto"/>
              <w:right w:val="single" w:sz="4" w:space="0" w:color="auto"/>
            </w:tcBorders>
            <w:shd w:val="clear" w:color="auto" w:fill="C6EFCE"/>
            <w:noWrap/>
          </w:tcPr>
          <w:p w14:paraId="162C2389" w14:textId="77777777" w:rsidR="00553430" w:rsidRDefault="00212577">
            <w:pPr>
              <w:pStyle w:val="P68B1DB1-Normal66"/>
              <w:spacing w:after="200" w:line="276" w:lineRule="auto"/>
              <w:jc w:val="center"/>
              <w:rPr>
                <w:noProof/>
              </w:rPr>
            </w:pPr>
            <w:r>
              <w:rPr>
                <w:noProof/>
              </w:rPr>
              <w:t>2026</w:t>
            </w:r>
          </w:p>
        </w:tc>
        <w:tc>
          <w:tcPr>
            <w:tcW w:w="5577" w:type="dxa"/>
            <w:tcBorders>
              <w:top w:val="single" w:sz="4" w:space="0" w:color="auto"/>
              <w:left w:val="nil"/>
              <w:bottom w:val="single" w:sz="4" w:space="0" w:color="auto"/>
              <w:right w:val="single" w:sz="4" w:space="0" w:color="auto"/>
            </w:tcBorders>
            <w:shd w:val="clear" w:color="auto" w:fill="C6EFCE"/>
            <w:noWrap/>
          </w:tcPr>
          <w:p w14:paraId="365C09A0" w14:textId="77777777" w:rsidR="00553430" w:rsidRDefault="00212577">
            <w:pPr>
              <w:pStyle w:val="P68B1DB1-Normal66"/>
              <w:spacing w:after="200" w:line="276" w:lineRule="auto"/>
              <w:rPr>
                <w:noProof/>
              </w:rPr>
            </w:pPr>
            <w:r>
              <w:rPr>
                <w:noProof/>
              </w:rPr>
              <w:t>La preuve de la mise à niveau d’au moins 250 km de ligne électrique à haute tensi</w:t>
            </w:r>
            <w:r>
              <w:rPr>
                <w:noProof/>
              </w:rPr>
              <w:t>on et de 96 km de câbles sous-marins prévus pour le réseau de distribution est fournie.</w:t>
            </w:r>
            <w:r>
              <w:rPr>
                <w:noProof/>
              </w:rPr>
              <w:br/>
            </w:r>
          </w:p>
        </w:tc>
      </w:tr>
      <w:tr w:rsidR="00553430" w14:paraId="10D4989A"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3B0513A" w14:textId="77777777" w:rsidR="00553430" w:rsidRDefault="00212577">
            <w:pPr>
              <w:pStyle w:val="P68B1DB1-Normal66"/>
              <w:spacing w:after="200" w:line="276" w:lineRule="auto"/>
              <w:jc w:val="center"/>
              <w:rPr>
                <w:noProof/>
              </w:rPr>
            </w:pPr>
            <w:r>
              <w:rPr>
                <w:noProof/>
              </w:rPr>
              <w:t>377</w:t>
            </w:r>
          </w:p>
        </w:tc>
        <w:tc>
          <w:tcPr>
            <w:tcW w:w="1077" w:type="dxa"/>
            <w:tcBorders>
              <w:top w:val="single" w:sz="4" w:space="0" w:color="auto"/>
              <w:left w:val="nil"/>
              <w:bottom w:val="single" w:sz="4" w:space="0" w:color="auto"/>
              <w:right w:val="single" w:sz="4" w:space="0" w:color="auto"/>
            </w:tcBorders>
            <w:shd w:val="clear" w:color="auto" w:fill="C6EFCE"/>
            <w:noWrap/>
          </w:tcPr>
          <w:p w14:paraId="5E28EE18" w14:textId="77777777" w:rsidR="00553430" w:rsidRDefault="00212577">
            <w:pPr>
              <w:pStyle w:val="P68B1DB1-Normal66"/>
              <w:spacing w:after="200" w:line="276" w:lineRule="auto"/>
              <w:jc w:val="center"/>
              <w:rPr>
                <w:noProof/>
              </w:rPr>
            </w:pPr>
            <w:r>
              <w:rPr>
                <w:noProof/>
              </w:rPr>
              <w:t>C1.2. R1-I1</w:t>
            </w:r>
          </w:p>
        </w:tc>
        <w:tc>
          <w:tcPr>
            <w:tcW w:w="1030" w:type="dxa"/>
            <w:tcBorders>
              <w:top w:val="single" w:sz="4" w:space="0" w:color="auto"/>
              <w:left w:val="nil"/>
              <w:bottom w:val="single" w:sz="4" w:space="0" w:color="auto"/>
              <w:right w:val="single" w:sz="4" w:space="0" w:color="auto"/>
            </w:tcBorders>
            <w:shd w:val="clear" w:color="auto" w:fill="C6EFCE"/>
            <w:noWrap/>
          </w:tcPr>
          <w:p w14:paraId="6342E842" w14:textId="77777777" w:rsidR="00553430" w:rsidRDefault="00212577">
            <w:pPr>
              <w:pStyle w:val="P68B1DB1-Normal66"/>
              <w:spacing w:after="200" w:line="276" w:lineRule="auto"/>
              <w:jc w:val="center"/>
              <w:rPr>
                <w:noProof/>
              </w:rPr>
            </w:pPr>
            <w:r>
              <w:rPr>
                <w:noProof/>
              </w:rPr>
              <w:t>M</w:t>
            </w:r>
          </w:p>
        </w:tc>
        <w:tc>
          <w:tcPr>
            <w:tcW w:w="1825" w:type="dxa"/>
            <w:tcBorders>
              <w:top w:val="single" w:sz="4" w:space="0" w:color="auto"/>
              <w:left w:val="nil"/>
              <w:bottom w:val="single" w:sz="4" w:space="0" w:color="auto"/>
              <w:right w:val="single" w:sz="4" w:space="0" w:color="auto"/>
            </w:tcBorders>
            <w:shd w:val="clear" w:color="auto" w:fill="C6EFCE"/>
            <w:noWrap/>
          </w:tcPr>
          <w:p w14:paraId="18D50824" w14:textId="77777777" w:rsidR="00553430" w:rsidRDefault="00212577">
            <w:pPr>
              <w:pStyle w:val="P68B1DB1-Normal66"/>
              <w:spacing w:after="200" w:line="276" w:lineRule="auto"/>
              <w:rPr>
                <w:noProof/>
              </w:rPr>
            </w:pPr>
            <w:r>
              <w:rPr>
                <w:noProof/>
              </w:rPr>
              <w:t>Nouvelle capacité de stockage de la batterie d'énergie</w:t>
            </w:r>
          </w:p>
        </w:tc>
        <w:tc>
          <w:tcPr>
            <w:tcW w:w="2017" w:type="dxa"/>
            <w:tcBorders>
              <w:top w:val="single" w:sz="4" w:space="0" w:color="auto"/>
              <w:left w:val="nil"/>
              <w:bottom w:val="single" w:sz="4" w:space="0" w:color="auto"/>
              <w:right w:val="single" w:sz="4" w:space="0" w:color="auto"/>
            </w:tcBorders>
            <w:shd w:val="clear" w:color="auto" w:fill="C6EFCE"/>
            <w:noWrap/>
          </w:tcPr>
          <w:p w14:paraId="3FA61097" w14:textId="77777777" w:rsidR="00553430" w:rsidRDefault="00212577">
            <w:pPr>
              <w:pStyle w:val="P68B1DB1-Normal66"/>
              <w:spacing w:after="200" w:line="276" w:lineRule="auto"/>
              <w:rPr>
                <w:noProof/>
              </w:rPr>
            </w:pPr>
            <w:r>
              <w:rPr>
                <w:noProof/>
              </w:rPr>
              <w:t xml:space="preserve">Nouvelle capacité de stockage de batterie d'énergie installée </w:t>
            </w:r>
          </w:p>
        </w:tc>
        <w:tc>
          <w:tcPr>
            <w:tcW w:w="725" w:type="dxa"/>
            <w:tcBorders>
              <w:top w:val="single" w:sz="4" w:space="0" w:color="auto"/>
              <w:left w:val="nil"/>
              <w:bottom w:val="single" w:sz="4" w:space="0" w:color="auto"/>
              <w:right w:val="single" w:sz="4" w:space="0" w:color="auto"/>
            </w:tcBorders>
            <w:shd w:val="clear" w:color="auto" w:fill="C6EFCE"/>
            <w:noWrap/>
          </w:tcPr>
          <w:p w14:paraId="60D73D95"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775" w:type="dxa"/>
            <w:tcBorders>
              <w:top w:val="single" w:sz="4" w:space="0" w:color="auto"/>
              <w:left w:val="nil"/>
              <w:bottom w:val="single" w:sz="4" w:space="0" w:color="auto"/>
              <w:right w:val="single" w:sz="4" w:space="0" w:color="auto"/>
            </w:tcBorders>
            <w:shd w:val="clear" w:color="auto" w:fill="C6EFCE"/>
            <w:noWrap/>
          </w:tcPr>
          <w:p w14:paraId="3C6256F8" w14:textId="77777777" w:rsidR="00553430" w:rsidRDefault="00212577">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23AF39C5"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1447ED98" w14:textId="77777777" w:rsidR="00553430" w:rsidRDefault="00212577">
            <w:pPr>
              <w:pStyle w:val="P68B1DB1-Normal66"/>
              <w:spacing w:after="200" w:line="276" w:lineRule="auto"/>
              <w:jc w:val="center"/>
              <w:rPr>
                <w:noProof/>
              </w:rPr>
            </w:pPr>
            <w:r>
              <w:rPr>
                <w:noProof/>
              </w:rPr>
              <w:t>T2</w:t>
            </w:r>
          </w:p>
        </w:tc>
        <w:tc>
          <w:tcPr>
            <w:tcW w:w="567" w:type="dxa"/>
            <w:tcBorders>
              <w:top w:val="single" w:sz="4" w:space="0" w:color="auto"/>
              <w:left w:val="nil"/>
              <w:bottom w:val="single" w:sz="4" w:space="0" w:color="auto"/>
              <w:right w:val="single" w:sz="4" w:space="0" w:color="auto"/>
            </w:tcBorders>
            <w:shd w:val="clear" w:color="auto" w:fill="C6EFCE"/>
            <w:noWrap/>
          </w:tcPr>
          <w:p w14:paraId="2672AE72" w14:textId="77777777" w:rsidR="00553430" w:rsidRDefault="00212577">
            <w:pPr>
              <w:pStyle w:val="P68B1DB1-Normal66"/>
              <w:spacing w:after="200" w:line="276" w:lineRule="auto"/>
              <w:jc w:val="center"/>
              <w:rPr>
                <w:noProof/>
              </w:rPr>
            </w:pPr>
            <w:r>
              <w:rPr>
                <w:noProof/>
              </w:rPr>
              <w:t>2026</w:t>
            </w:r>
          </w:p>
        </w:tc>
        <w:tc>
          <w:tcPr>
            <w:tcW w:w="5577" w:type="dxa"/>
            <w:tcBorders>
              <w:top w:val="single" w:sz="4" w:space="0" w:color="auto"/>
              <w:left w:val="nil"/>
              <w:bottom w:val="single" w:sz="4" w:space="0" w:color="auto"/>
              <w:right w:val="single" w:sz="4" w:space="0" w:color="auto"/>
            </w:tcBorders>
            <w:shd w:val="clear" w:color="auto" w:fill="C6EFCE"/>
            <w:noWrap/>
          </w:tcPr>
          <w:p w14:paraId="189B172B" w14:textId="77777777" w:rsidR="00553430" w:rsidRDefault="00212577">
            <w:pPr>
              <w:pStyle w:val="P68B1DB1-Normal70"/>
              <w:spacing w:after="200" w:line="276" w:lineRule="auto"/>
              <w:rPr>
                <w:noProof/>
                <w:color w:val="000000"/>
              </w:rPr>
            </w:pPr>
            <w:r>
              <w:rPr>
                <w:noProof/>
                <w:color w:val="000000"/>
              </w:rPr>
              <w:t>La preuve de l’installation de nouvelles batteries de stockage d’énergie d’une capacité de 100 MhW doit être fournie.</w:t>
            </w:r>
          </w:p>
        </w:tc>
      </w:tr>
      <w:tr w:rsidR="00553430" w14:paraId="35BDC7AD"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6EF0677" w14:textId="77777777" w:rsidR="00553430" w:rsidRDefault="00212577">
            <w:pPr>
              <w:pStyle w:val="P68B1DB1-Normal66"/>
              <w:spacing w:after="200" w:line="276" w:lineRule="auto"/>
              <w:jc w:val="center"/>
              <w:rPr>
                <w:noProof/>
              </w:rPr>
            </w:pPr>
            <w:r>
              <w:rPr>
                <w:noProof/>
              </w:rPr>
              <w:t>45</w:t>
            </w:r>
          </w:p>
        </w:tc>
        <w:tc>
          <w:tcPr>
            <w:tcW w:w="1077" w:type="dxa"/>
            <w:tcBorders>
              <w:top w:val="single" w:sz="4" w:space="0" w:color="auto"/>
              <w:left w:val="nil"/>
              <w:bottom w:val="single" w:sz="4" w:space="0" w:color="auto"/>
              <w:right w:val="single" w:sz="4" w:space="0" w:color="auto"/>
            </w:tcBorders>
            <w:shd w:val="clear" w:color="auto" w:fill="C6EFCE"/>
            <w:noWrap/>
          </w:tcPr>
          <w:p w14:paraId="5AD7D7C0" w14:textId="77777777" w:rsidR="00553430" w:rsidRDefault="00212577">
            <w:pPr>
              <w:pStyle w:val="P68B1DB1-Normal66"/>
              <w:spacing w:after="200" w:line="276" w:lineRule="auto"/>
              <w:jc w:val="center"/>
              <w:rPr>
                <w:noProof/>
              </w:rPr>
            </w:pPr>
            <w:r>
              <w:rPr>
                <w:noProof/>
              </w:rPr>
              <w:t>C1.2. R1-I2</w:t>
            </w:r>
          </w:p>
        </w:tc>
        <w:tc>
          <w:tcPr>
            <w:tcW w:w="1030" w:type="dxa"/>
            <w:tcBorders>
              <w:top w:val="single" w:sz="4" w:space="0" w:color="auto"/>
              <w:left w:val="nil"/>
              <w:bottom w:val="single" w:sz="4" w:space="0" w:color="auto"/>
              <w:right w:val="single" w:sz="4" w:space="0" w:color="auto"/>
            </w:tcBorders>
            <w:shd w:val="clear" w:color="auto" w:fill="C6EFCE"/>
            <w:noWrap/>
          </w:tcPr>
          <w:p w14:paraId="257CB665" w14:textId="77777777" w:rsidR="00553430" w:rsidRDefault="00212577">
            <w:pPr>
              <w:pStyle w:val="P68B1DB1-Normal66"/>
              <w:spacing w:after="200" w:line="276" w:lineRule="auto"/>
              <w:jc w:val="center"/>
              <w:rPr>
                <w:noProof/>
              </w:rPr>
            </w:pPr>
            <w:r>
              <w:rPr>
                <w:noProof/>
              </w:rPr>
              <w:t>M</w:t>
            </w:r>
          </w:p>
        </w:tc>
        <w:tc>
          <w:tcPr>
            <w:tcW w:w="1825" w:type="dxa"/>
            <w:tcBorders>
              <w:top w:val="single" w:sz="4" w:space="0" w:color="auto"/>
              <w:left w:val="nil"/>
              <w:bottom w:val="single" w:sz="4" w:space="0" w:color="auto"/>
              <w:right w:val="single" w:sz="4" w:space="0" w:color="auto"/>
            </w:tcBorders>
            <w:shd w:val="clear" w:color="auto" w:fill="C6EFCE"/>
            <w:noWrap/>
          </w:tcPr>
          <w:p w14:paraId="3C6E0BC5" w14:textId="77777777" w:rsidR="00553430" w:rsidRDefault="00212577">
            <w:pPr>
              <w:pStyle w:val="P68B1DB1-Normal66"/>
              <w:spacing w:after="200" w:line="276" w:lineRule="auto"/>
              <w:rPr>
                <w:noProof/>
              </w:rPr>
            </w:pPr>
            <w:r>
              <w:rPr>
                <w:noProof/>
              </w:rPr>
              <w:t>L’adoption par le gouvernement d’un programme d’efficacité énergétique pour la décarbonation du secteur de l’énergie</w:t>
            </w:r>
          </w:p>
        </w:tc>
        <w:tc>
          <w:tcPr>
            <w:tcW w:w="2017" w:type="dxa"/>
            <w:tcBorders>
              <w:top w:val="single" w:sz="4" w:space="0" w:color="auto"/>
              <w:left w:val="nil"/>
              <w:bottom w:val="single" w:sz="4" w:space="0" w:color="auto"/>
              <w:right w:val="single" w:sz="4" w:space="0" w:color="auto"/>
            </w:tcBorders>
            <w:shd w:val="clear" w:color="auto" w:fill="C6EFCE"/>
            <w:noWrap/>
          </w:tcPr>
          <w:p w14:paraId="64C65E8E" w14:textId="77777777" w:rsidR="00553430" w:rsidRDefault="00212577">
            <w:pPr>
              <w:pStyle w:val="P68B1DB1-Normal66"/>
              <w:spacing w:after="200" w:line="276" w:lineRule="auto"/>
              <w:rPr>
                <w:noProof/>
              </w:rPr>
            </w:pPr>
            <w:r>
              <w:rPr>
                <w:noProof/>
              </w:rPr>
              <w:t>Entrée en vigueur du programme d’efficacité énergétique pour la décarbonation du secteur de l’énergie, élaboré par le ministère de l’économie et du développement durable</w:t>
            </w:r>
          </w:p>
        </w:tc>
        <w:tc>
          <w:tcPr>
            <w:tcW w:w="725" w:type="dxa"/>
            <w:tcBorders>
              <w:top w:val="single" w:sz="4" w:space="0" w:color="auto"/>
              <w:left w:val="nil"/>
              <w:bottom w:val="single" w:sz="4" w:space="0" w:color="auto"/>
              <w:right w:val="single" w:sz="4" w:space="0" w:color="auto"/>
            </w:tcBorders>
            <w:shd w:val="clear" w:color="auto" w:fill="C6EFCE"/>
            <w:noWrap/>
          </w:tcPr>
          <w:p w14:paraId="29264D32" w14:textId="77777777" w:rsidR="00553430" w:rsidRDefault="00212577">
            <w:pPr>
              <w:pStyle w:val="P68B1DB1-Normal66"/>
              <w:spacing w:after="200" w:line="276" w:lineRule="auto"/>
              <w:jc w:val="center"/>
              <w:rPr>
                <w:noProof/>
              </w:rPr>
            </w:pPr>
            <w:r>
              <w:rPr>
                <w:noProof/>
              </w:rPr>
              <w:t> </w:t>
            </w:r>
          </w:p>
        </w:tc>
        <w:tc>
          <w:tcPr>
            <w:tcW w:w="775" w:type="dxa"/>
            <w:tcBorders>
              <w:top w:val="single" w:sz="4" w:space="0" w:color="auto"/>
              <w:left w:val="nil"/>
              <w:bottom w:val="single" w:sz="4" w:space="0" w:color="auto"/>
              <w:right w:val="single" w:sz="4" w:space="0" w:color="auto"/>
            </w:tcBorders>
            <w:shd w:val="clear" w:color="auto" w:fill="C6EFCE"/>
            <w:noWrap/>
          </w:tcPr>
          <w:p w14:paraId="3D6C4850" w14:textId="77777777" w:rsidR="00553430" w:rsidRDefault="00212577">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7E1EF409" w14:textId="77777777" w:rsidR="00553430" w:rsidRDefault="00212577">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0484E859" w14:textId="77777777" w:rsidR="00553430" w:rsidRDefault="00212577">
            <w:pPr>
              <w:pStyle w:val="P68B1DB1-Normal66"/>
              <w:spacing w:after="200" w:line="276" w:lineRule="auto"/>
              <w:jc w:val="center"/>
              <w:rPr>
                <w:noProof/>
              </w:rPr>
            </w:pPr>
            <w:r>
              <w:rPr>
                <w:noProof/>
              </w:rPr>
              <w:t>T3</w:t>
            </w:r>
          </w:p>
        </w:tc>
        <w:tc>
          <w:tcPr>
            <w:tcW w:w="567" w:type="dxa"/>
            <w:tcBorders>
              <w:top w:val="single" w:sz="4" w:space="0" w:color="auto"/>
              <w:left w:val="nil"/>
              <w:bottom w:val="single" w:sz="4" w:space="0" w:color="auto"/>
              <w:right w:val="single" w:sz="4" w:space="0" w:color="auto"/>
            </w:tcBorders>
            <w:shd w:val="clear" w:color="auto" w:fill="C6EFCE"/>
            <w:noWrap/>
          </w:tcPr>
          <w:p w14:paraId="79D2412C" w14:textId="77777777" w:rsidR="00553430" w:rsidRDefault="00212577">
            <w:pPr>
              <w:pStyle w:val="P68B1DB1-Normal66"/>
              <w:spacing w:after="200" w:line="276" w:lineRule="auto"/>
              <w:jc w:val="center"/>
              <w:rPr>
                <w:noProof/>
              </w:rPr>
            </w:pPr>
            <w:r>
              <w:rPr>
                <w:noProof/>
              </w:rPr>
              <w:t>2021</w:t>
            </w:r>
          </w:p>
        </w:tc>
        <w:tc>
          <w:tcPr>
            <w:tcW w:w="5577" w:type="dxa"/>
            <w:tcBorders>
              <w:top w:val="single" w:sz="4" w:space="0" w:color="auto"/>
              <w:left w:val="nil"/>
              <w:bottom w:val="single" w:sz="4" w:space="0" w:color="auto"/>
              <w:right w:val="single" w:sz="4" w:space="0" w:color="auto"/>
            </w:tcBorders>
            <w:shd w:val="clear" w:color="auto" w:fill="C6EFCE"/>
            <w:noWrap/>
          </w:tcPr>
          <w:p w14:paraId="121B2096" w14:textId="77777777" w:rsidR="00553430" w:rsidRDefault="00212577">
            <w:pPr>
              <w:pStyle w:val="P68B1DB1-Normal66"/>
              <w:spacing w:after="200" w:line="276" w:lineRule="auto"/>
              <w:rPr>
                <w:noProof/>
              </w:rPr>
            </w:pPr>
            <w:r>
              <w:rPr>
                <w:noProof/>
              </w:rPr>
              <w:t>Le programme d’efficacité énergétique définit les domaines d’investissem</w:t>
            </w:r>
            <w:r>
              <w:rPr>
                <w:noProof/>
              </w:rPr>
              <w:t>ent dans l’efficacité énergétique et les systèmes de chauffage urbain, y compris les priorités d’investissement jusqu’en 2030. La planification des investissements comprend la modernisation des systèmes de chauffage urbain et des industries à forte intensi</w:t>
            </w:r>
            <w:r>
              <w:rPr>
                <w:noProof/>
              </w:rPr>
              <w:t xml:space="preserve">té énergétique, en mettant l'accent sur l'efficacité énergétique et le potentiel des énergies renouvelables. </w:t>
            </w:r>
            <w:r>
              <w:rPr>
                <w:noProof/>
              </w:rPr>
              <w:br/>
              <w:t>Le programme sera aligné sur la mise à jour prévue du plan national en matière d’énergie et de climat, qui précisera un objectif plus élevé pour l</w:t>
            </w:r>
            <w:r>
              <w:rPr>
                <w:noProof/>
              </w:rPr>
              <w:t>a part des énergies renouvelables dans le secteur du chauffage et du refroidissement, y compris des mesures spécifiques.</w:t>
            </w:r>
          </w:p>
        </w:tc>
      </w:tr>
      <w:tr w:rsidR="00553430" w14:paraId="43FC10FE"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CA1FFA1" w14:textId="77777777" w:rsidR="00553430" w:rsidRDefault="00212577">
            <w:pPr>
              <w:pStyle w:val="P68B1DB1-Normal66"/>
              <w:spacing w:after="200" w:line="276" w:lineRule="auto"/>
              <w:jc w:val="center"/>
              <w:rPr>
                <w:noProof/>
              </w:rPr>
            </w:pPr>
            <w:r>
              <w:rPr>
                <w:noProof/>
              </w:rPr>
              <w:t>46</w:t>
            </w:r>
          </w:p>
        </w:tc>
        <w:tc>
          <w:tcPr>
            <w:tcW w:w="1077" w:type="dxa"/>
            <w:tcBorders>
              <w:top w:val="single" w:sz="4" w:space="0" w:color="auto"/>
              <w:left w:val="nil"/>
              <w:bottom w:val="single" w:sz="4" w:space="0" w:color="auto"/>
              <w:right w:val="single" w:sz="4" w:space="0" w:color="auto"/>
            </w:tcBorders>
            <w:shd w:val="clear" w:color="auto" w:fill="C6EFCE"/>
            <w:noWrap/>
          </w:tcPr>
          <w:p w14:paraId="7DD89DC6" w14:textId="77777777" w:rsidR="00553430" w:rsidRDefault="00212577">
            <w:pPr>
              <w:pStyle w:val="P68B1DB1-Normal66"/>
              <w:spacing w:after="200" w:line="276" w:lineRule="auto"/>
              <w:jc w:val="center"/>
              <w:rPr>
                <w:noProof/>
              </w:rPr>
            </w:pPr>
            <w:r>
              <w:rPr>
                <w:noProof/>
              </w:rPr>
              <w:t>C1.2. R1-I2</w:t>
            </w:r>
          </w:p>
        </w:tc>
        <w:tc>
          <w:tcPr>
            <w:tcW w:w="1030" w:type="dxa"/>
            <w:tcBorders>
              <w:top w:val="single" w:sz="4" w:space="0" w:color="auto"/>
              <w:left w:val="nil"/>
              <w:bottom w:val="single" w:sz="4" w:space="0" w:color="auto"/>
              <w:right w:val="single" w:sz="4" w:space="0" w:color="auto"/>
            </w:tcBorders>
            <w:shd w:val="clear" w:color="auto" w:fill="C6EFCE"/>
            <w:noWrap/>
          </w:tcPr>
          <w:p w14:paraId="7A29B069" w14:textId="77777777" w:rsidR="00553430" w:rsidRDefault="00212577">
            <w:pPr>
              <w:pStyle w:val="P68B1DB1-Normal66"/>
              <w:spacing w:after="200" w:line="276" w:lineRule="auto"/>
              <w:jc w:val="center"/>
              <w:rPr>
                <w:noProof/>
              </w:rPr>
            </w:pPr>
            <w:r>
              <w:rPr>
                <w:noProof/>
              </w:rPr>
              <w:t>T</w:t>
            </w:r>
          </w:p>
        </w:tc>
        <w:tc>
          <w:tcPr>
            <w:tcW w:w="1825" w:type="dxa"/>
            <w:tcBorders>
              <w:top w:val="single" w:sz="4" w:space="0" w:color="auto"/>
              <w:left w:val="nil"/>
              <w:bottom w:val="single" w:sz="4" w:space="0" w:color="auto"/>
              <w:right w:val="single" w:sz="4" w:space="0" w:color="auto"/>
            </w:tcBorders>
            <w:shd w:val="clear" w:color="auto" w:fill="C6EFCE"/>
            <w:noWrap/>
          </w:tcPr>
          <w:p w14:paraId="2C61932C" w14:textId="77777777" w:rsidR="00553430" w:rsidRDefault="00212577">
            <w:pPr>
              <w:pStyle w:val="P68B1DB1-Normal66"/>
              <w:spacing w:after="200" w:line="276" w:lineRule="auto"/>
              <w:rPr>
                <w:noProof/>
              </w:rPr>
            </w:pPr>
            <w:r>
              <w:rPr>
                <w:noProof/>
              </w:rPr>
              <w:t xml:space="preserve">Nombre d’entreprises bénéficiant d’une aide en faveur de l’efficacité énergétique et de l’utilisation des énergies </w:t>
            </w:r>
            <w:r>
              <w:rPr>
                <w:noProof/>
              </w:rPr>
              <w:t>renouvelables dans l’industrie</w:t>
            </w:r>
          </w:p>
        </w:tc>
        <w:tc>
          <w:tcPr>
            <w:tcW w:w="2017" w:type="dxa"/>
            <w:tcBorders>
              <w:top w:val="single" w:sz="4" w:space="0" w:color="auto"/>
              <w:left w:val="nil"/>
              <w:bottom w:val="single" w:sz="4" w:space="0" w:color="auto"/>
              <w:right w:val="single" w:sz="4" w:space="0" w:color="auto"/>
            </w:tcBorders>
            <w:shd w:val="clear" w:color="auto" w:fill="C6EFCE"/>
            <w:noWrap/>
          </w:tcPr>
          <w:p w14:paraId="3657CF89" w14:textId="77777777" w:rsidR="00553430" w:rsidRDefault="00212577">
            <w:pPr>
              <w:pStyle w:val="P68B1DB1-Normal66"/>
              <w:spacing w:after="200" w:line="276" w:lineRule="auto"/>
              <w:rPr>
                <w:noProof/>
              </w:rPr>
            </w:pPr>
            <w:r>
              <w:rPr>
                <w:noProof/>
              </w:rPr>
              <w:t xml:space="preserve"> </w:t>
            </w:r>
          </w:p>
        </w:tc>
        <w:tc>
          <w:tcPr>
            <w:tcW w:w="725" w:type="dxa"/>
            <w:tcBorders>
              <w:top w:val="single" w:sz="4" w:space="0" w:color="auto"/>
              <w:left w:val="nil"/>
              <w:bottom w:val="single" w:sz="4" w:space="0" w:color="auto"/>
              <w:right w:val="single" w:sz="4" w:space="0" w:color="auto"/>
            </w:tcBorders>
            <w:shd w:val="clear" w:color="auto" w:fill="C6EFCE"/>
            <w:noWrap/>
          </w:tcPr>
          <w:p w14:paraId="61C1785C" w14:textId="77777777" w:rsidR="00553430" w:rsidRDefault="00212577">
            <w:pPr>
              <w:pStyle w:val="P68B1DB1-Normal66"/>
              <w:spacing w:after="200" w:line="276" w:lineRule="auto"/>
              <w:jc w:val="center"/>
              <w:rPr>
                <w:noProof/>
              </w:rPr>
            </w:pPr>
            <w:r>
              <w:rPr>
                <w:noProof/>
              </w:rPr>
              <w:t>Numéro</w:t>
            </w:r>
          </w:p>
        </w:tc>
        <w:tc>
          <w:tcPr>
            <w:tcW w:w="775" w:type="dxa"/>
            <w:tcBorders>
              <w:top w:val="single" w:sz="4" w:space="0" w:color="auto"/>
              <w:left w:val="nil"/>
              <w:bottom w:val="single" w:sz="4" w:space="0" w:color="auto"/>
              <w:right w:val="single" w:sz="4" w:space="0" w:color="auto"/>
            </w:tcBorders>
            <w:shd w:val="clear" w:color="auto" w:fill="C6EFCE"/>
            <w:noWrap/>
          </w:tcPr>
          <w:p w14:paraId="56334719" w14:textId="77777777" w:rsidR="00553430" w:rsidRDefault="00212577">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083B7695" w14:textId="77777777" w:rsidR="00553430" w:rsidRDefault="00212577">
            <w:pPr>
              <w:pStyle w:val="P68B1DB1-Normal66"/>
              <w:spacing w:after="200" w:line="276" w:lineRule="auto"/>
              <w:jc w:val="center"/>
              <w:rPr>
                <w:noProof/>
              </w:rPr>
            </w:pPr>
            <w:r>
              <w:rPr>
                <w:noProof/>
              </w:rPr>
              <w:t>50</w:t>
            </w:r>
          </w:p>
        </w:tc>
        <w:tc>
          <w:tcPr>
            <w:tcW w:w="756" w:type="dxa"/>
            <w:tcBorders>
              <w:top w:val="single" w:sz="4" w:space="0" w:color="auto"/>
              <w:left w:val="nil"/>
              <w:bottom w:val="single" w:sz="4" w:space="0" w:color="auto"/>
              <w:right w:val="single" w:sz="4" w:space="0" w:color="auto"/>
            </w:tcBorders>
            <w:shd w:val="clear" w:color="auto" w:fill="C6EFCE"/>
            <w:noWrap/>
          </w:tcPr>
          <w:p w14:paraId="6C40E634" w14:textId="77777777" w:rsidR="00553430" w:rsidRDefault="00212577">
            <w:pPr>
              <w:pStyle w:val="P68B1DB1-Normal66"/>
              <w:spacing w:after="200" w:line="276" w:lineRule="auto"/>
              <w:jc w:val="center"/>
              <w:rPr>
                <w:noProof/>
              </w:rPr>
            </w:pPr>
            <w:r>
              <w:rPr>
                <w:noProof/>
              </w:rPr>
              <w:t>T4</w:t>
            </w:r>
          </w:p>
        </w:tc>
        <w:tc>
          <w:tcPr>
            <w:tcW w:w="567" w:type="dxa"/>
            <w:tcBorders>
              <w:top w:val="single" w:sz="4" w:space="0" w:color="auto"/>
              <w:left w:val="nil"/>
              <w:bottom w:val="single" w:sz="4" w:space="0" w:color="auto"/>
              <w:right w:val="single" w:sz="4" w:space="0" w:color="auto"/>
            </w:tcBorders>
            <w:shd w:val="clear" w:color="auto" w:fill="C6EFCE"/>
            <w:noWrap/>
          </w:tcPr>
          <w:p w14:paraId="10CC3BF3" w14:textId="77777777" w:rsidR="00553430" w:rsidRDefault="00212577">
            <w:pPr>
              <w:pStyle w:val="P68B1DB1-Normal66"/>
              <w:spacing w:after="200" w:line="276" w:lineRule="auto"/>
              <w:jc w:val="center"/>
              <w:rPr>
                <w:noProof/>
              </w:rPr>
            </w:pPr>
            <w:r>
              <w:rPr>
                <w:noProof/>
              </w:rPr>
              <w:t>2021</w:t>
            </w:r>
          </w:p>
        </w:tc>
        <w:tc>
          <w:tcPr>
            <w:tcW w:w="5577" w:type="dxa"/>
            <w:tcBorders>
              <w:top w:val="single" w:sz="4" w:space="0" w:color="auto"/>
              <w:left w:val="nil"/>
              <w:bottom w:val="single" w:sz="4" w:space="0" w:color="auto"/>
              <w:right w:val="single" w:sz="4" w:space="0" w:color="auto"/>
            </w:tcBorders>
            <w:shd w:val="clear" w:color="auto" w:fill="C6EFCE"/>
            <w:noWrap/>
          </w:tcPr>
          <w:p w14:paraId="062491DA" w14:textId="77777777" w:rsidR="00553430" w:rsidRDefault="00212577">
            <w:pPr>
              <w:pStyle w:val="P68B1DB1-Normal66"/>
              <w:spacing w:after="200" w:line="276" w:lineRule="auto"/>
              <w:rPr>
                <w:noProof/>
              </w:rPr>
            </w:pPr>
            <w:r>
              <w:rPr>
                <w:noProof/>
              </w:rPr>
              <w:t>50 contrats attribués aux entreprises bénéficiaires à la suite d’un appel d’offres public visant à soutenir les sources d’énergie renouvelables et les mesures d’efficacité énergétique dans les petites, m</w:t>
            </w:r>
            <w:r>
              <w:rPr>
                <w:noProof/>
              </w:rPr>
              <w:t>oyennes et grandes entreprises.</w:t>
            </w:r>
            <w:r>
              <w:rPr>
                <w:noProof/>
              </w:rPr>
              <w:br/>
              <w:t>Les contrats comprennent des mesures visant à améliorer les processus de production dans les industries manufacturières et correspondant aux domaines d’intervention du suivi de l’action pour le climat [024 – Efficacité énerg</w:t>
            </w:r>
            <w:r>
              <w:rPr>
                <w:noProof/>
              </w:rPr>
              <w:t>étique et projets de démonstration dans les PME et mesures de soutien et 024 bis – Efficacité énergétique et projets de démonstration dans les grandes entreprises et mesures de soutien] de l’annexe VI/VII] et respectent les orientations techniques DNSH (20</w:t>
            </w:r>
            <w:r>
              <w:rPr>
                <w:noProof/>
              </w:rPr>
              <w:t xml:space="preserve">21/C58/01). </w:t>
            </w:r>
            <w:r>
              <w:rPr>
                <w:noProof/>
              </w:rPr>
              <w:br/>
              <w:t>En particulier, la mise en œuvre de mesures en matière d’efficacité énergétique et/ou d’énergies renouvelables entraîne une réduction minimale de 20 % de la consommation d’énergie dans les installations de production. Pour la rénovation énergé</w:t>
            </w:r>
            <w:r>
              <w:rPr>
                <w:noProof/>
              </w:rPr>
              <w:t>tique des bâtiments accompagnant l’installation de production, qui sont exclusivement liés à des processus industriels ou de production, la mise en œuvre de mesures entraîne une réduction minimale de 40 % de la consommation d’énergie.</w:t>
            </w:r>
            <w:r>
              <w:rPr>
                <w:noProof/>
              </w:rPr>
              <w:br/>
              <w:t xml:space="preserve">Afin de garantir que </w:t>
            </w:r>
            <w:r>
              <w:rPr>
                <w:noProof/>
              </w:rPr>
              <w:t>la mesure est conforme aux orientations techniques «Ne pas causer de préjudice important» (2021/C58/01), la liste des activités est exclue des mesures prévues dans les contrats: i) les activités liées aux combustibles fossiles, y compris leur utilisation e</w:t>
            </w:r>
            <w:r>
              <w:rPr>
                <w:noProof/>
              </w:rPr>
              <w:t>n aval[1]; ii) les activités menées dans le cadre du système d’échange de quotas d’émission de l’UE (SEQE) pour atteindre des émissions de gaz à effet de serre prévues qui ne sont pas inférieures aux référentiels pertinents[2]; iii) les activités liées aux</w:t>
            </w:r>
            <w:r>
              <w:rPr>
                <w:noProof/>
              </w:rPr>
              <w:t xml:space="preserve"> décharges de déchets, aux incinérateurs[3] et aux usines de traitement biologique mécanique[4]; et iv) les activités dans lesquelles l’élimination à long terme des déchets peut nuire à l’environnement. Le cahier des charges exige en outre que seules les a</w:t>
            </w:r>
            <w:r>
              <w:rPr>
                <w:noProof/>
              </w:rPr>
              <w:t>ctivités conformes à la législation environnementale pertinente de l’Union et des États membres puissent être stipulées dans les contrats.</w:t>
            </w:r>
          </w:p>
        </w:tc>
      </w:tr>
      <w:tr w:rsidR="00553430" w14:paraId="58955125"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824ADFA" w14:textId="77777777" w:rsidR="00553430" w:rsidRDefault="00212577">
            <w:pPr>
              <w:pStyle w:val="P68B1DB1-Normal66"/>
              <w:spacing w:after="200" w:line="276" w:lineRule="auto"/>
              <w:jc w:val="center"/>
              <w:rPr>
                <w:noProof/>
              </w:rPr>
            </w:pPr>
            <w:r>
              <w:rPr>
                <w:noProof/>
              </w:rPr>
              <w:t>47</w:t>
            </w:r>
          </w:p>
        </w:tc>
        <w:tc>
          <w:tcPr>
            <w:tcW w:w="1077" w:type="dxa"/>
            <w:tcBorders>
              <w:top w:val="single" w:sz="4" w:space="0" w:color="auto"/>
              <w:left w:val="nil"/>
              <w:bottom w:val="single" w:sz="4" w:space="0" w:color="auto"/>
              <w:right w:val="single" w:sz="4" w:space="0" w:color="auto"/>
            </w:tcBorders>
            <w:shd w:val="clear" w:color="auto" w:fill="C6EFCE"/>
            <w:noWrap/>
          </w:tcPr>
          <w:p w14:paraId="72331128" w14:textId="77777777" w:rsidR="00553430" w:rsidRDefault="00212577">
            <w:pPr>
              <w:pStyle w:val="P68B1DB1-Normal66"/>
              <w:spacing w:after="200" w:line="276" w:lineRule="auto"/>
              <w:jc w:val="center"/>
              <w:rPr>
                <w:noProof/>
              </w:rPr>
            </w:pPr>
            <w:r>
              <w:rPr>
                <w:noProof/>
              </w:rPr>
              <w:t>C1.2. R1-I2</w:t>
            </w:r>
          </w:p>
        </w:tc>
        <w:tc>
          <w:tcPr>
            <w:tcW w:w="1030" w:type="dxa"/>
            <w:tcBorders>
              <w:top w:val="single" w:sz="4" w:space="0" w:color="auto"/>
              <w:left w:val="nil"/>
              <w:bottom w:val="single" w:sz="4" w:space="0" w:color="auto"/>
              <w:right w:val="single" w:sz="4" w:space="0" w:color="auto"/>
            </w:tcBorders>
            <w:shd w:val="clear" w:color="auto" w:fill="C6EFCE"/>
            <w:noWrap/>
          </w:tcPr>
          <w:p w14:paraId="2C26145C" w14:textId="77777777" w:rsidR="00553430" w:rsidRDefault="00212577">
            <w:pPr>
              <w:pStyle w:val="P68B1DB1-Normal66"/>
              <w:spacing w:after="200" w:line="276" w:lineRule="auto"/>
              <w:jc w:val="center"/>
              <w:rPr>
                <w:noProof/>
              </w:rPr>
            </w:pPr>
            <w:r>
              <w:rPr>
                <w:noProof/>
              </w:rPr>
              <w:t>T</w:t>
            </w:r>
          </w:p>
        </w:tc>
        <w:tc>
          <w:tcPr>
            <w:tcW w:w="1825" w:type="dxa"/>
            <w:tcBorders>
              <w:top w:val="single" w:sz="4" w:space="0" w:color="auto"/>
              <w:left w:val="nil"/>
              <w:bottom w:val="single" w:sz="4" w:space="0" w:color="auto"/>
              <w:right w:val="single" w:sz="4" w:space="0" w:color="auto"/>
            </w:tcBorders>
            <w:shd w:val="clear" w:color="auto" w:fill="C6EFCE"/>
            <w:noWrap/>
          </w:tcPr>
          <w:p w14:paraId="4BE7C565" w14:textId="77777777" w:rsidR="00553430" w:rsidRDefault="00212577">
            <w:pPr>
              <w:pStyle w:val="P68B1DB1-Normal66"/>
              <w:spacing w:after="200" w:line="276" w:lineRule="auto"/>
              <w:rPr>
                <w:noProof/>
              </w:rPr>
            </w:pPr>
            <w:r>
              <w:rPr>
                <w:noProof/>
              </w:rPr>
              <w:t>Contrats signés pour l'exploration du potentiel géothermique</w:t>
            </w:r>
          </w:p>
        </w:tc>
        <w:tc>
          <w:tcPr>
            <w:tcW w:w="2017" w:type="dxa"/>
            <w:tcBorders>
              <w:top w:val="single" w:sz="4" w:space="0" w:color="auto"/>
              <w:left w:val="nil"/>
              <w:bottom w:val="single" w:sz="4" w:space="0" w:color="auto"/>
              <w:right w:val="single" w:sz="4" w:space="0" w:color="auto"/>
            </w:tcBorders>
            <w:shd w:val="clear" w:color="auto" w:fill="C6EFCE"/>
            <w:noWrap/>
          </w:tcPr>
          <w:p w14:paraId="158C8178" w14:textId="77777777" w:rsidR="00553430" w:rsidRDefault="00212577">
            <w:pPr>
              <w:pStyle w:val="P68B1DB1-Normal66"/>
              <w:spacing w:after="200" w:line="276" w:lineRule="auto"/>
              <w:rPr>
                <w:noProof/>
              </w:rPr>
            </w:pPr>
            <w:r>
              <w:rPr>
                <w:noProof/>
              </w:rPr>
              <w:t xml:space="preserve"> </w:t>
            </w:r>
          </w:p>
        </w:tc>
        <w:tc>
          <w:tcPr>
            <w:tcW w:w="725" w:type="dxa"/>
            <w:tcBorders>
              <w:top w:val="single" w:sz="4" w:space="0" w:color="auto"/>
              <w:left w:val="nil"/>
              <w:bottom w:val="single" w:sz="4" w:space="0" w:color="auto"/>
              <w:right w:val="single" w:sz="4" w:space="0" w:color="auto"/>
            </w:tcBorders>
            <w:shd w:val="clear" w:color="auto" w:fill="C6EFCE"/>
            <w:noWrap/>
          </w:tcPr>
          <w:p w14:paraId="4A4FA0E6" w14:textId="77777777" w:rsidR="00553430" w:rsidRDefault="00212577">
            <w:pPr>
              <w:pStyle w:val="P68B1DB1-Normal66"/>
              <w:spacing w:after="200" w:line="276" w:lineRule="auto"/>
              <w:jc w:val="center"/>
              <w:rPr>
                <w:noProof/>
              </w:rPr>
            </w:pPr>
            <w:r>
              <w:rPr>
                <w:noProof/>
              </w:rPr>
              <w:t>Numéro</w:t>
            </w:r>
          </w:p>
        </w:tc>
        <w:tc>
          <w:tcPr>
            <w:tcW w:w="775" w:type="dxa"/>
            <w:tcBorders>
              <w:top w:val="single" w:sz="4" w:space="0" w:color="auto"/>
              <w:left w:val="nil"/>
              <w:bottom w:val="single" w:sz="4" w:space="0" w:color="auto"/>
              <w:right w:val="single" w:sz="4" w:space="0" w:color="auto"/>
            </w:tcBorders>
            <w:shd w:val="clear" w:color="auto" w:fill="C6EFCE"/>
            <w:noWrap/>
          </w:tcPr>
          <w:p w14:paraId="6BDC7C42" w14:textId="77777777" w:rsidR="00553430" w:rsidRDefault="00212577">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0497CE9D" w14:textId="77777777" w:rsidR="00553430" w:rsidRDefault="00212577">
            <w:pPr>
              <w:pStyle w:val="P68B1DB1-Normal66"/>
              <w:spacing w:after="200" w:line="276" w:lineRule="auto"/>
              <w:jc w:val="center"/>
              <w:rPr>
                <w:noProof/>
              </w:rPr>
            </w:pPr>
            <w:r>
              <w:rPr>
                <w:noProof/>
              </w:rPr>
              <w:t>6</w:t>
            </w:r>
          </w:p>
        </w:tc>
        <w:tc>
          <w:tcPr>
            <w:tcW w:w="756" w:type="dxa"/>
            <w:tcBorders>
              <w:top w:val="single" w:sz="4" w:space="0" w:color="auto"/>
              <w:left w:val="nil"/>
              <w:bottom w:val="single" w:sz="4" w:space="0" w:color="auto"/>
              <w:right w:val="single" w:sz="4" w:space="0" w:color="auto"/>
            </w:tcBorders>
            <w:shd w:val="clear" w:color="auto" w:fill="C6EFCE"/>
            <w:noWrap/>
          </w:tcPr>
          <w:p w14:paraId="4EDE2065" w14:textId="77777777" w:rsidR="00553430" w:rsidRDefault="00212577">
            <w:pPr>
              <w:pStyle w:val="P68B1DB1-Normal66"/>
              <w:spacing w:after="200" w:line="276" w:lineRule="auto"/>
              <w:jc w:val="center"/>
              <w:rPr>
                <w:noProof/>
              </w:rPr>
            </w:pPr>
            <w:r>
              <w:rPr>
                <w:noProof/>
              </w:rPr>
              <w:t>T4</w:t>
            </w:r>
          </w:p>
        </w:tc>
        <w:tc>
          <w:tcPr>
            <w:tcW w:w="567" w:type="dxa"/>
            <w:tcBorders>
              <w:top w:val="single" w:sz="4" w:space="0" w:color="auto"/>
              <w:left w:val="nil"/>
              <w:bottom w:val="single" w:sz="4" w:space="0" w:color="auto"/>
              <w:right w:val="single" w:sz="4" w:space="0" w:color="auto"/>
            </w:tcBorders>
            <w:shd w:val="clear" w:color="auto" w:fill="C6EFCE"/>
            <w:noWrap/>
          </w:tcPr>
          <w:p w14:paraId="3A8DA7D8" w14:textId="77777777" w:rsidR="00553430" w:rsidRDefault="00212577">
            <w:pPr>
              <w:pStyle w:val="P68B1DB1-Normal66"/>
              <w:spacing w:after="200" w:line="276" w:lineRule="auto"/>
              <w:jc w:val="center"/>
              <w:rPr>
                <w:noProof/>
              </w:rPr>
            </w:pPr>
            <w:r>
              <w:rPr>
                <w:noProof/>
              </w:rPr>
              <w:t>2024</w:t>
            </w:r>
          </w:p>
        </w:tc>
        <w:tc>
          <w:tcPr>
            <w:tcW w:w="5577" w:type="dxa"/>
            <w:tcBorders>
              <w:top w:val="single" w:sz="4" w:space="0" w:color="auto"/>
              <w:left w:val="nil"/>
              <w:bottom w:val="single" w:sz="4" w:space="0" w:color="auto"/>
              <w:right w:val="single" w:sz="4" w:space="0" w:color="auto"/>
            </w:tcBorders>
            <w:shd w:val="clear" w:color="auto" w:fill="C6EFCE"/>
            <w:noWrap/>
          </w:tcPr>
          <w:p w14:paraId="676CEB8C" w14:textId="77777777" w:rsidR="00553430" w:rsidRDefault="00212577">
            <w:pPr>
              <w:pStyle w:val="P68B1DB1-Normal66"/>
              <w:spacing w:after="200" w:line="276" w:lineRule="auto"/>
              <w:rPr>
                <w:noProof/>
              </w:rPr>
            </w:pPr>
            <w:r>
              <w:rPr>
                <w:noProof/>
              </w:rPr>
              <w:t xml:space="preserve">Six contrats seront signés pour l'exploration du potentiel géothermique. Deux contrats supplémentaires seront signés pour le forage des puits géothermiques exploratoires. </w:t>
            </w:r>
            <w:r>
              <w:rPr>
                <w:noProof/>
              </w:rPr>
              <w:br/>
            </w:r>
            <w:r>
              <w:rPr>
                <w:strike/>
                <w:noProof/>
              </w:rPr>
              <w:br/>
            </w:r>
            <w:r>
              <w:rPr>
                <w:noProof/>
              </w:rPr>
              <w:t>Le projet n'inclura aucune exploration ou extraction de pétrole ou de gaz. Aucun éq</w:t>
            </w:r>
            <w:r>
              <w:rPr>
                <w:noProof/>
              </w:rPr>
              <w:t xml:space="preserve">uipement n'est acheté ou utilisé à de telles fins. </w:t>
            </w:r>
            <w:r>
              <w:rPr>
                <w:noProof/>
              </w:rPr>
              <w:br/>
              <w:t xml:space="preserve">Il convient de veiller à ce qu’il n’y ait pas de rejets de méthane. Il convient également de veiller à ce que le forage géothermique n’ait pas d’incidence néfaste sur la rareté et la qualité de l’eau. </w:t>
            </w:r>
            <w:r>
              <w:rPr>
                <w:noProof/>
              </w:rPr>
              <w:br/>
              <w:t>Ce</w:t>
            </w:r>
            <w:r>
              <w:rPr>
                <w:noProof/>
              </w:rPr>
              <w:t>tte mesure ne prévoit pas de soutien aux systèmes de chauffage urbain utilisant des sources d’énergie fossiles ni d’investissements dans des installations relevant du champ d’application du système d’échange de quotas d’émission de l’UE (SEQE).</w:t>
            </w:r>
          </w:p>
        </w:tc>
      </w:tr>
      <w:tr w:rsidR="00553430" w14:paraId="50083D08"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356D8DF" w14:textId="77777777" w:rsidR="00553430" w:rsidRDefault="00212577">
            <w:pPr>
              <w:pStyle w:val="P68B1DB1-Normal66"/>
              <w:spacing w:after="200" w:line="276" w:lineRule="auto"/>
              <w:jc w:val="center"/>
              <w:rPr>
                <w:noProof/>
              </w:rPr>
            </w:pPr>
            <w:r>
              <w:rPr>
                <w:noProof/>
              </w:rPr>
              <w:t>48</w:t>
            </w:r>
          </w:p>
        </w:tc>
        <w:tc>
          <w:tcPr>
            <w:tcW w:w="1077" w:type="dxa"/>
            <w:tcBorders>
              <w:top w:val="single" w:sz="4" w:space="0" w:color="auto"/>
              <w:left w:val="nil"/>
              <w:bottom w:val="single" w:sz="4" w:space="0" w:color="auto"/>
              <w:right w:val="single" w:sz="4" w:space="0" w:color="auto"/>
            </w:tcBorders>
            <w:shd w:val="clear" w:color="auto" w:fill="C6EFCE"/>
            <w:noWrap/>
          </w:tcPr>
          <w:p w14:paraId="65CADA72" w14:textId="77777777" w:rsidR="00553430" w:rsidRDefault="00212577">
            <w:pPr>
              <w:pStyle w:val="P68B1DB1-Normal66"/>
              <w:spacing w:after="200" w:line="276" w:lineRule="auto"/>
              <w:jc w:val="center"/>
              <w:rPr>
                <w:noProof/>
              </w:rPr>
            </w:pPr>
            <w:r>
              <w:rPr>
                <w:noProof/>
              </w:rPr>
              <w:t xml:space="preserve">C1.2. </w:t>
            </w:r>
            <w:r>
              <w:rPr>
                <w:noProof/>
              </w:rPr>
              <w:t>R1-I2</w:t>
            </w:r>
          </w:p>
        </w:tc>
        <w:tc>
          <w:tcPr>
            <w:tcW w:w="1030" w:type="dxa"/>
            <w:tcBorders>
              <w:top w:val="single" w:sz="4" w:space="0" w:color="auto"/>
              <w:left w:val="nil"/>
              <w:bottom w:val="single" w:sz="4" w:space="0" w:color="auto"/>
              <w:right w:val="single" w:sz="4" w:space="0" w:color="auto"/>
            </w:tcBorders>
            <w:shd w:val="clear" w:color="auto" w:fill="C6EFCE"/>
            <w:noWrap/>
          </w:tcPr>
          <w:p w14:paraId="322B35EF" w14:textId="77777777" w:rsidR="00553430" w:rsidRDefault="00212577">
            <w:pPr>
              <w:pStyle w:val="P68B1DB1-Normal66"/>
              <w:spacing w:after="200" w:line="276" w:lineRule="auto"/>
              <w:jc w:val="center"/>
              <w:rPr>
                <w:noProof/>
              </w:rPr>
            </w:pPr>
            <w:r>
              <w:rPr>
                <w:noProof/>
              </w:rPr>
              <w:t>M</w:t>
            </w:r>
          </w:p>
        </w:tc>
        <w:tc>
          <w:tcPr>
            <w:tcW w:w="1825" w:type="dxa"/>
            <w:tcBorders>
              <w:top w:val="single" w:sz="4" w:space="0" w:color="auto"/>
              <w:left w:val="nil"/>
              <w:bottom w:val="single" w:sz="4" w:space="0" w:color="auto"/>
              <w:right w:val="single" w:sz="4" w:space="0" w:color="auto"/>
            </w:tcBorders>
            <w:shd w:val="clear" w:color="auto" w:fill="C6EFCE"/>
            <w:noWrap/>
          </w:tcPr>
          <w:p w14:paraId="3EC0E897" w14:textId="77777777" w:rsidR="00553430" w:rsidRDefault="00212577">
            <w:pPr>
              <w:pStyle w:val="P68B1DB1-Normal66"/>
              <w:spacing w:after="200" w:line="276" w:lineRule="auto"/>
              <w:rPr>
                <w:noProof/>
              </w:rPr>
            </w:pPr>
            <w:r>
              <w:rPr>
                <w:noProof/>
              </w:rPr>
              <w:t xml:space="preserve">Résultats du potentiel géothermique pour le chauffage urbain rendus publics </w:t>
            </w:r>
          </w:p>
        </w:tc>
        <w:tc>
          <w:tcPr>
            <w:tcW w:w="2017" w:type="dxa"/>
            <w:tcBorders>
              <w:top w:val="single" w:sz="4" w:space="0" w:color="auto"/>
              <w:left w:val="nil"/>
              <w:bottom w:val="single" w:sz="4" w:space="0" w:color="auto"/>
              <w:right w:val="single" w:sz="4" w:space="0" w:color="auto"/>
            </w:tcBorders>
            <w:shd w:val="clear" w:color="auto" w:fill="C6EFCE"/>
            <w:noWrap/>
          </w:tcPr>
          <w:p w14:paraId="09A7CFBC" w14:textId="77777777" w:rsidR="00553430" w:rsidRDefault="00212577">
            <w:pPr>
              <w:pStyle w:val="P68B1DB1-Normal66"/>
              <w:spacing w:after="200" w:line="276" w:lineRule="auto"/>
              <w:rPr>
                <w:noProof/>
              </w:rPr>
            </w:pPr>
            <w:r>
              <w:rPr>
                <w:noProof/>
              </w:rPr>
              <w:t>Résultats publiés sur le site web de l’Agence croate des hydrocarbures</w:t>
            </w:r>
          </w:p>
        </w:tc>
        <w:tc>
          <w:tcPr>
            <w:tcW w:w="725" w:type="dxa"/>
            <w:tcBorders>
              <w:top w:val="single" w:sz="4" w:space="0" w:color="auto"/>
              <w:left w:val="nil"/>
              <w:bottom w:val="single" w:sz="4" w:space="0" w:color="auto"/>
              <w:right w:val="single" w:sz="4" w:space="0" w:color="auto"/>
            </w:tcBorders>
            <w:shd w:val="clear" w:color="auto" w:fill="C6EFCE"/>
            <w:noWrap/>
          </w:tcPr>
          <w:p w14:paraId="05D921D6" w14:textId="77777777" w:rsidR="00553430" w:rsidRDefault="00212577">
            <w:pPr>
              <w:pStyle w:val="P68B1DB1-Normal66"/>
              <w:spacing w:after="200" w:line="276" w:lineRule="auto"/>
              <w:jc w:val="center"/>
              <w:rPr>
                <w:noProof/>
              </w:rPr>
            </w:pPr>
            <w:r>
              <w:rPr>
                <w:noProof/>
              </w:rPr>
              <w:t> </w:t>
            </w:r>
          </w:p>
        </w:tc>
        <w:tc>
          <w:tcPr>
            <w:tcW w:w="775" w:type="dxa"/>
            <w:tcBorders>
              <w:top w:val="single" w:sz="4" w:space="0" w:color="auto"/>
              <w:left w:val="nil"/>
              <w:bottom w:val="single" w:sz="4" w:space="0" w:color="auto"/>
              <w:right w:val="single" w:sz="4" w:space="0" w:color="auto"/>
            </w:tcBorders>
            <w:shd w:val="clear" w:color="auto" w:fill="C6EFCE"/>
            <w:noWrap/>
          </w:tcPr>
          <w:p w14:paraId="75F3CD9B" w14:textId="77777777" w:rsidR="00553430" w:rsidRDefault="00212577">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25239C5C" w14:textId="77777777" w:rsidR="00553430" w:rsidRDefault="00212577">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6232425F" w14:textId="77777777" w:rsidR="00553430" w:rsidRDefault="00212577">
            <w:pPr>
              <w:pStyle w:val="P68B1DB1-Normal66"/>
              <w:spacing w:after="200" w:line="276" w:lineRule="auto"/>
              <w:jc w:val="center"/>
              <w:rPr>
                <w:noProof/>
              </w:rPr>
            </w:pPr>
            <w:r>
              <w:rPr>
                <w:noProof/>
              </w:rPr>
              <w:t>T4</w:t>
            </w:r>
          </w:p>
        </w:tc>
        <w:tc>
          <w:tcPr>
            <w:tcW w:w="567" w:type="dxa"/>
            <w:tcBorders>
              <w:top w:val="single" w:sz="4" w:space="0" w:color="auto"/>
              <w:left w:val="nil"/>
              <w:bottom w:val="single" w:sz="4" w:space="0" w:color="auto"/>
              <w:right w:val="single" w:sz="4" w:space="0" w:color="auto"/>
            </w:tcBorders>
            <w:shd w:val="clear" w:color="auto" w:fill="C6EFCE"/>
            <w:noWrap/>
          </w:tcPr>
          <w:p w14:paraId="3D292542" w14:textId="77777777" w:rsidR="00553430" w:rsidRDefault="00212577">
            <w:pPr>
              <w:pStyle w:val="P68B1DB1-Normal66"/>
              <w:spacing w:after="200" w:line="276" w:lineRule="auto"/>
              <w:jc w:val="center"/>
              <w:rPr>
                <w:noProof/>
              </w:rPr>
            </w:pPr>
            <w:r>
              <w:rPr>
                <w:noProof/>
              </w:rPr>
              <w:t>2025</w:t>
            </w:r>
          </w:p>
        </w:tc>
        <w:tc>
          <w:tcPr>
            <w:tcW w:w="5577" w:type="dxa"/>
            <w:tcBorders>
              <w:top w:val="single" w:sz="4" w:space="0" w:color="auto"/>
              <w:left w:val="nil"/>
              <w:bottom w:val="single" w:sz="4" w:space="0" w:color="auto"/>
              <w:right w:val="single" w:sz="4" w:space="0" w:color="auto"/>
            </w:tcBorders>
            <w:shd w:val="clear" w:color="auto" w:fill="C6EFCE"/>
            <w:noWrap/>
          </w:tcPr>
          <w:p w14:paraId="6E871A48" w14:textId="77777777" w:rsidR="00553430" w:rsidRDefault="00212577">
            <w:pPr>
              <w:pStyle w:val="P68B1DB1-Normal66"/>
              <w:spacing w:after="200" w:line="276" w:lineRule="auto"/>
              <w:rPr>
                <w:noProof/>
              </w:rPr>
            </w:pPr>
            <w:r>
              <w:rPr>
                <w:noProof/>
              </w:rPr>
              <w:t xml:space="preserve">Les résultats des activités exploratoires sont mis à la disposition du public et publiés sur le site web de l’Agence des hydrocarbures. </w:t>
            </w:r>
          </w:p>
        </w:tc>
      </w:tr>
      <w:tr w:rsidR="00553430" w14:paraId="39F8B668"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71A45ED" w14:textId="77777777" w:rsidR="00553430" w:rsidRDefault="00212577">
            <w:pPr>
              <w:pStyle w:val="P68B1DB1-Normal66"/>
              <w:spacing w:after="200" w:line="276" w:lineRule="auto"/>
              <w:jc w:val="center"/>
              <w:rPr>
                <w:noProof/>
              </w:rPr>
            </w:pPr>
            <w:r>
              <w:rPr>
                <w:noProof/>
              </w:rPr>
              <w:t>49</w:t>
            </w:r>
          </w:p>
        </w:tc>
        <w:tc>
          <w:tcPr>
            <w:tcW w:w="1077" w:type="dxa"/>
            <w:tcBorders>
              <w:top w:val="single" w:sz="4" w:space="0" w:color="auto"/>
              <w:left w:val="nil"/>
              <w:bottom w:val="single" w:sz="4" w:space="0" w:color="auto"/>
              <w:right w:val="single" w:sz="4" w:space="0" w:color="auto"/>
            </w:tcBorders>
            <w:shd w:val="clear" w:color="auto" w:fill="C6EFCE"/>
            <w:noWrap/>
          </w:tcPr>
          <w:p w14:paraId="75F9961F" w14:textId="77777777" w:rsidR="00553430" w:rsidRDefault="00212577">
            <w:pPr>
              <w:pStyle w:val="P68B1DB1-Normal66"/>
              <w:spacing w:after="200" w:line="276" w:lineRule="auto"/>
              <w:jc w:val="center"/>
              <w:rPr>
                <w:noProof/>
              </w:rPr>
            </w:pPr>
            <w:r>
              <w:rPr>
                <w:noProof/>
              </w:rPr>
              <w:t>C1.2. R1-I3</w:t>
            </w:r>
          </w:p>
        </w:tc>
        <w:tc>
          <w:tcPr>
            <w:tcW w:w="1030" w:type="dxa"/>
            <w:tcBorders>
              <w:top w:val="single" w:sz="4" w:space="0" w:color="auto"/>
              <w:left w:val="nil"/>
              <w:bottom w:val="single" w:sz="4" w:space="0" w:color="auto"/>
              <w:right w:val="single" w:sz="4" w:space="0" w:color="auto"/>
            </w:tcBorders>
            <w:shd w:val="clear" w:color="auto" w:fill="C6EFCE"/>
            <w:noWrap/>
          </w:tcPr>
          <w:p w14:paraId="03011B3A" w14:textId="77777777" w:rsidR="00553430" w:rsidRDefault="00212577">
            <w:pPr>
              <w:pStyle w:val="P68B1DB1-Normal66"/>
              <w:spacing w:after="200" w:line="276" w:lineRule="auto"/>
              <w:jc w:val="center"/>
              <w:rPr>
                <w:noProof/>
              </w:rPr>
            </w:pPr>
            <w:r>
              <w:rPr>
                <w:noProof/>
              </w:rPr>
              <w:t>M</w:t>
            </w:r>
          </w:p>
        </w:tc>
        <w:tc>
          <w:tcPr>
            <w:tcW w:w="1825" w:type="dxa"/>
            <w:tcBorders>
              <w:top w:val="single" w:sz="4" w:space="0" w:color="auto"/>
              <w:left w:val="nil"/>
              <w:bottom w:val="single" w:sz="4" w:space="0" w:color="auto"/>
              <w:right w:val="single" w:sz="4" w:space="0" w:color="auto"/>
            </w:tcBorders>
            <w:shd w:val="clear" w:color="auto" w:fill="C6EFCE"/>
            <w:noWrap/>
          </w:tcPr>
          <w:p w14:paraId="5C7E2C34" w14:textId="77777777" w:rsidR="00553430" w:rsidRDefault="00212577">
            <w:pPr>
              <w:pStyle w:val="P68B1DB1-Normal66"/>
              <w:spacing w:after="200" w:line="276" w:lineRule="auto"/>
              <w:rPr>
                <w:noProof/>
              </w:rPr>
            </w:pPr>
            <w:r>
              <w:rPr>
                <w:noProof/>
              </w:rPr>
              <w:t>Entrée en vigueur de la loi sur les carburants de substitution</w:t>
            </w:r>
          </w:p>
        </w:tc>
        <w:tc>
          <w:tcPr>
            <w:tcW w:w="2017" w:type="dxa"/>
            <w:tcBorders>
              <w:top w:val="single" w:sz="4" w:space="0" w:color="auto"/>
              <w:left w:val="nil"/>
              <w:bottom w:val="single" w:sz="4" w:space="0" w:color="auto"/>
              <w:right w:val="single" w:sz="4" w:space="0" w:color="auto"/>
            </w:tcBorders>
            <w:shd w:val="clear" w:color="auto" w:fill="C6EFCE"/>
            <w:noWrap/>
          </w:tcPr>
          <w:p w14:paraId="6F72A034" w14:textId="77777777" w:rsidR="00553430" w:rsidRDefault="00212577">
            <w:pPr>
              <w:pStyle w:val="P68B1DB1-Normal66"/>
              <w:spacing w:after="200" w:line="276" w:lineRule="auto"/>
              <w:rPr>
                <w:noProof/>
              </w:rPr>
            </w:pPr>
            <w:r>
              <w:rPr>
                <w:noProof/>
              </w:rPr>
              <w:t xml:space="preserve">Entrée en vigueur de la loi sur les carburants de substitution pour les transports </w:t>
            </w:r>
          </w:p>
        </w:tc>
        <w:tc>
          <w:tcPr>
            <w:tcW w:w="725" w:type="dxa"/>
            <w:tcBorders>
              <w:top w:val="single" w:sz="4" w:space="0" w:color="auto"/>
              <w:left w:val="nil"/>
              <w:bottom w:val="single" w:sz="4" w:space="0" w:color="auto"/>
              <w:right w:val="single" w:sz="4" w:space="0" w:color="auto"/>
            </w:tcBorders>
            <w:shd w:val="clear" w:color="auto" w:fill="C6EFCE"/>
            <w:noWrap/>
          </w:tcPr>
          <w:p w14:paraId="1B78EF84" w14:textId="77777777" w:rsidR="00553430" w:rsidRDefault="00212577">
            <w:pPr>
              <w:pStyle w:val="P68B1DB1-Normal66"/>
              <w:spacing w:after="200" w:line="276" w:lineRule="auto"/>
              <w:jc w:val="center"/>
              <w:rPr>
                <w:noProof/>
              </w:rPr>
            </w:pPr>
            <w:r>
              <w:rPr>
                <w:noProof/>
              </w:rPr>
              <w:t> </w:t>
            </w:r>
          </w:p>
        </w:tc>
        <w:tc>
          <w:tcPr>
            <w:tcW w:w="775" w:type="dxa"/>
            <w:tcBorders>
              <w:top w:val="single" w:sz="4" w:space="0" w:color="auto"/>
              <w:left w:val="nil"/>
              <w:bottom w:val="single" w:sz="4" w:space="0" w:color="auto"/>
              <w:right w:val="single" w:sz="4" w:space="0" w:color="auto"/>
            </w:tcBorders>
            <w:shd w:val="clear" w:color="auto" w:fill="C6EFCE"/>
            <w:noWrap/>
          </w:tcPr>
          <w:p w14:paraId="098961EA" w14:textId="77777777" w:rsidR="00553430" w:rsidRDefault="00212577">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767E0201" w14:textId="77777777" w:rsidR="00553430" w:rsidRDefault="00212577">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5B1FE2D0" w14:textId="77777777" w:rsidR="00553430" w:rsidRDefault="00212577">
            <w:pPr>
              <w:pStyle w:val="P68B1DB1-Normal66"/>
              <w:spacing w:after="200" w:line="276" w:lineRule="auto"/>
              <w:jc w:val="center"/>
              <w:rPr>
                <w:noProof/>
              </w:rPr>
            </w:pPr>
            <w:r>
              <w:rPr>
                <w:noProof/>
              </w:rPr>
              <w:t>T3</w:t>
            </w:r>
          </w:p>
        </w:tc>
        <w:tc>
          <w:tcPr>
            <w:tcW w:w="567" w:type="dxa"/>
            <w:tcBorders>
              <w:top w:val="single" w:sz="4" w:space="0" w:color="auto"/>
              <w:left w:val="nil"/>
              <w:bottom w:val="single" w:sz="4" w:space="0" w:color="auto"/>
              <w:right w:val="single" w:sz="4" w:space="0" w:color="auto"/>
            </w:tcBorders>
            <w:shd w:val="clear" w:color="auto" w:fill="C6EFCE"/>
            <w:noWrap/>
          </w:tcPr>
          <w:p w14:paraId="714D288A" w14:textId="77777777" w:rsidR="00553430" w:rsidRDefault="00212577">
            <w:pPr>
              <w:pStyle w:val="P68B1DB1-Normal66"/>
              <w:spacing w:after="200" w:line="276" w:lineRule="auto"/>
              <w:jc w:val="center"/>
              <w:rPr>
                <w:noProof/>
              </w:rPr>
            </w:pPr>
            <w:r>
              <w:rPr>
                <w:noProof/>
              </w:rPr>
              <w:t>2021</w:t>
            </w:r>
          </w:p>
        </w:tc>
        <w:tc>
          <w:tcPr>
            <w:tcW w:w="5577" w:type="dxa"/>
            <w:tcBorders>
              <w:top w:val="single" w:sz="4" w:space="0" w:color="auto"/>
              <w:left w:val="nil"/>
              <w:bottom w:val="single" w:sz="4" w:space="0" w:color="auto"/>
              <w:right w:val="single" w:sz="4" w:space="0" w:color="auto"/>
            </w:tcBorders>
            <w:shd w:val="clear" w:color="auto" w:fill="C6EFCE"/>
            <w:noWrap/>
          </w:tcPr>
          <w:p w14:paraId="38193450" w14:textId="77777777" w:rsidR="00553430" w:rsidRDefault="00212577">
            <w:pPr>
              <w:pStyle w:val="P68B1DB1-Normal66"/>
              <w:spacing w:after="200" w:line="276" w:lineRule="auto"/>
              <w:rPr>
                <w:noProof/>
              </w:rPr>
            </w:pPr>
            <w:r>
              <w:rPr>
                <w:noProof/>
              </w:rPr>
              <w:t>Au 3T/2021, la loi sur les carburants alternatifs pour les transports est entrée en vigueur et était conforme à l’acquis de l’UE. La loi encourage la producti</w:t>
            </w:r>
            <w:r>
              <w:rPr>
                <w:noProof/>
              </w:rPr>
              <w:t>on et l'utilisation de biocarburants/hydrogènes avancés dans les transports.</w:t>
            </w:r>
          </w:p>
        </w:tc>
      </w:tr>
      <w:tr w:rsidR="00553430" w14:paraId="253F2D6E"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57A895A" w14:textId="77777777" w:rsidR="00553430" w:rsidRDefault="00212577">
            <w:pPr>
              <w:pStyle w:val="P68B1DB1-Normal66"/>
              <w:spacing w:after="200" w:line="276" w:lineRule="auto"/>
              <w:jc w:val="center"/>
              <w:rPr>
                <w:noProof/>
              </w:rPr>
            </w:pPr>
            <w:r>
              <w:rPr>
                <w:noProof/>
              </w:rPr>
              <w:t>50</w:t>
            </w:r>
          </w:p>
        </w:tc>
        <w:tc>
          <w:tcPr>
            <w:tcW w:w="1077" w:type="dxa"/>
            <w:tcBorders>
              <w:top w:val="single" w:sz="4" w:space="0" w:color="auto"/>
              <w:left w:val="nil"/>
              <w:bottom w:val="single" w:sz="4" w:space="0" w:color="auto"/>
              <w:right w:val="single" w:sz="4" w:space="0" w:color="auto"/>
            </w:tcBorders>
            <w:shd w:val="clear" w:color="auto" w:fill="C6EFCE"/>
            <w:noWrap/>
          </w:tcPr>
          <w:p w14:paraId="18F405CF" w14:textId="77777777" w:rsidR="00553430" w:rsidRDefault="00212577">
            <w:pPr>
              <w:pStyle w:val="P68B1DB1-Normal66"/>
              <w:spacing w:after="200" w:line="276" w:lineRule="auto"/>
              <w:jc w:val="center"/>
              <w:rPr>
                <w:noProof/>
              </w:rPr>
            </w:pPr>
            <w:r>
              <w:rPr>
                <w:noProof/>
              </w:rPr>
              <w:t>C1.2. R1-I3</w:t>
            </w:r>
          </w:p>
        </w:tc>
        <w:tc>
          <w:tcPr>
            <w:tcW w:w="1030" w:type="dxa"/>
            <w:tcBorders>
              <w:top w:val="single" w:sz="4" w:space="0" w:color="auto"/>
              <w:left w:val="nil"/>
              <w:bottom w:val="single" w:sz="4" w:space="0" w:color="auto"/>
              <w:right w:val="single" w:sz="4" w:space="0" w:color="auto"/>
            </w:tcBorders>
            <w:shd w:val="clear" w:color="auto" w:fill="C6EFCE"/>
            <w:noWrap/>
          </w:tcPr>
          <w:p w14:paraId="648F8DF2" w14:textId="77777777" w:rsidR="00553430" w:rsidRDefault="00212577">
            <w:pPr>
              <w:pStyle w:val="P68B1DB1-Normal66"/>
              <w:spacing w:after="200" w:line="276" w:lineRule="auto"/>
              <w:jc w:val="center"/>
              <w:rPr>
                <w:noProof/>
              </w:rPr>
            </w:pPr>
            <w:r>
              <w:rPr>
                <w:noProof/>
              </w:rPr>
              <w:t>M</w:t>
            </w:r>
          </w:p>
        </w:tc>
        <w:tc>
          <w:tcPr>
            <w:tcW w:w="1825" w:type="dxa"/>
            <w:tcBorders>
              <w:top w:val="single" w:sz="4" w:space="0" w:color="auto"/>
              <w:left w:val="nil"/>
              <w:bottom w:val="single" w:sz="4" w:space="0" w:color="auto"/>
              <w:right w:val="single" w:sz="4" w:space="0" w:color="auto"/>
            </w:tcBorders>
            <w:shd w:val="clear" w:color="auto" w:fill="C6EFCE"/>
            <w:noWrap/>
          </w:tcPr>
          <w:p w14:paraId="72455C25" w14:textId="77777777" w:rsidR="00553430" w:rsidRDefault="00212577">
            <w:pPr>
              <w:pStyle w:val="P68B1DB1-Normal66"/>
              <w:spacing w:after="200" w:line="276" w:lineRule="auto"/>
              <w:rPr>
                <w:noProof/>
              </w:rPr>
            </w:pPr>
            <w:r>
              <w:rPr>
                <w:noProof/>
              </w:rPr>
              <w:t>Adoption de la stratégie de développement de l'hydrogène</w:t>
            </w:r>
          </w:p>
        </w:tc>
        <w:tc>
          <w:tcPr>
            <w:tcW w:w="2017" w:type="dxa"/>
            <w:tcBorders>
              <w:top w:val="single" w:sz="4" w:space="0" w:color="auto"/>
              <w:left w:val="nil"/>
              <w:bottom w:val="single" w:sz="4" w:space="0" w:color="auto"/>
              <w:right w:val="single" w:sz="4" w:space="0" w:color="auto"/>
            </w:tcBorders>
            <w:shd w:val="clear" w:color="auto" w:fill="C6EFCE"/>
            <w:noWrap/>
          </w:tcPr>
          <w:p w14:paraId="69ECF279" w14:textId="77777777" w:rsidR="00553430" w:rsidRDefault="00212577">
            <w:pPr>
              <w:pStyle w:val="P68B1DB1-Normal66"/>
              <w:spacing w:after="200" w:line="276" w:lineRule="auto"/>
              <w:rPr>
                <w:noProof/>
              </w:rPr>
            </w:pPr>
            <w:r>
              <w:rPr>
                <w:noProof/>
              </w:rPr>
              <w:t xml:space="preserve">Entrée en vigueur de la stratégie sur l'hydrogène pour la Croatie </w:t>
            </w:r>
          </w:p>
        </w:tc>
        <w:tc>
          <w:tcPr>
            <w:tcW w:w="725" w:type="dxa"/>
            <w:tcBorders>
              <w:top w:val="single" w:sz="4" w:space="0" w:color="auto"/>
              <w:left w:val="nil"/>
              <w:bottom w:val="single" w:sz="4" w:space="0" w:color="auto"/>
              <w:right w:val="single" w:sz="4" w:space="0" w:color="auto"/>
            </w:tcBorders>
            <w:shd w:val="clear" w:color="auto" w:fill="C6EFCE"/>
            <w:noWrap/>
          </w:tcPr>
          <w:p w14:paraId="421EEFB0" w14:textId="77777777" w:rsidR="00553430" w:rsidRDefault="00212577">
            <w:pPr>
              <w:pStyle w:val="P68B1DB1-Normal66"/>
              <w:spacing w:after="200" w:line="276" w:lineRule="auto"/>
              <w:jc w:val="center"/>
              <w:rPr>
                <w:noProof/>
              </w:rPr>
            </w:pPr>
            <w:r>
              <w:rPr>
                <w:noProof/>
              </w:rPr>
              <w:t> </w:t>
            </w:r>
          </w:p>
        </w:tc>
        <w:tc>
          <w:tcPr>
            <w:tcW w:w="775" w:type="dxa"/>
            <w:tcBorders>
              <w:top w:val="single" w:sz="4" w:space="0" w:color="auto"/>
              <w:left w:val="nil"/>
              <w:bottom w:val="single" w:sz="4" w:space="0" w:color="auto"/>
              <w:right w:val="single" w:sz="4" w:space="0" w:color="auto"/>
            </w:tcBorders>
            <w:shd w:val="clear" w:color="auto" w:fill="C6EFCE"/>
            <w:noWrap/>
          </w:tcPr>
          <w:p w14:paraId="37DE03B6" w14:textId="77777777" w:rsidR="00553430" w:rsidRDefault="00212577">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5B412F9D" w14:textId="77777777" w:rsidR="00553430" w:rsidRDefault="00212577">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6ECC7359" w14:textId="77777777" w:rsidR="00553430" w:rsidRDefault="00212577">
            <w:pPr>
              <w:pStyle w:val="P68B1DB1-Normal66"/>
              <w:spacing w:after="200" w:line="276" w:lineRule="auto"/>
              <w:jc w:val="center"/>
              <w:rPr>
                <w:noProof/>
              </w:rPr>
            </w:pPr>
            <w:r>
              <w:rPr>
                <w:noProof/>
              </w:rPr>
              <w:t>T1</w:t>
            </w:r>
          </w:p>
        </w:tc>
        <w:tc>
          <w:tcPr>
            <w:tcW w:w="567" w:type="dxa"/>
            <w:tcBorders>
              <w:top w:val="single" w:sz="4" w:space="0" w:color="auto"/>
              <w:left w:val="nil"/>
              <w:bottom w:val="single" w:sz="4" w:space="0" w:color="auto"/>
              <w:right w:val="single" w:sz="4" w:space="0" w:color="auto"/>
            </w:tcBorders>
            <w:shd w:val="clear" w:color="auto" w:fill="C6EFCE"/>
            <w:noWrap/>
          </w:tcPr>
          <w:p w14:paraId="34720AF4" w14:textId="77777777" w:rsidR="00553430" w:rsidRDefault="00212577">
            <w:pPr>
              <w:pStyle w:val="P68B1DB1-Normal66"/>
              <w:spacing w:after="200" w:line="276" w:lineRule="auto"/>
              <w:jc w:val="center"/>
              <w:rPr>
                <w:noProof/>
              </w:rPr>
            </w:pPr>
            <w:r>
              <w:rPr>
                <w:noProof/>
              </w:rPr>
              <w:t>2022</w:t>
            </w:r>
          </w:p>
        </w:tc>
        <w:tc>
          <w:tcPr>
            <w:tcW w:w="5577" w:type="dxa"/>
            <w:tcBorders>
              <w:top w:val="single" w:sz="4" w:space="0" w:color="auto"/>
              <w:left w:val="nil"/>
              <w:bottom w:val="single" w:sz="4" w:space="0" w:color="auto"/>
              <w:right w:val="single" w:sz="4" w:space="0" w:color="auto"/>
            </w:tcBorders>
            <w:shd w:val="clear" w:color="auto" w:fill="C6EFCE"/>
            <w:noWrap/>
          </w:tcPr>
          <w:p w14:paraId="161B0298" w14:textId="77777777" w:rsidR="00553430" w:rsidRDefault="00212577">
            <w:pPr>
              <w:pStyle w:val="P68B1DB1-Normal66"/>
              <w:spacing w:after="200" w:line="276" w:lineRule="auto"/>
              <w:rPr>
                <w:noProof/>
              </w:rPr>
            </w:pPr>
            <w:r>
              <w:rPr>
                <w:noProof/>
              </w:rPr>
              <w:t xml:space="preserve">La stratégie de </w:t>
            </w:r>
            <w:r>
              <w:rPr>
                <w:noProof/>
              </w:rPr>
              <w:t>développement de l’hydrogène comprend des objectifs quantifiés concernant le potentiel de production d’hydrogène vert d’ici à 2030, sur la base de l’électrolyse. La stratégie précise en particulier le rôle potentiel de l’hydrogène vert dans la décarbonatio</w:t>
            </w:r>
            <w:r>
              <w:rPr>
                <w:noProof/>
              </w:rPr>
              <w:t>n du secteur des transports.</w:t>
            </w:r>
          </w:p>
        </w:tc>
      </w:tr>
    </w:tbl>
    <w:p w14:paraId="03BE8EE2" w14:textId="77777777" w:rsidR="00553430" w:rsidRDefault="00553430">
      <w:pPr>
        <w:rPr>
          <w:noProof/>
        </w:rPr>
        <w:sectPr w:rsidR="00553430" w:rsidSect="00FA29B2">
          <w:headerReference w:type="even" r:id="rId45"/>
          <w:headerReference w:type="default" r:id="rId46"/>
          <w:footerReference w:type="even" r:id="rId47"/>
          <w:footerReference w:type="default" r:id="rId48"/>
          <w:headerReference w:type="first" r:id="rId49"/>
          <w:footerReference w:type="first" r:id="rId50"/>
          <w:pgSz w:w="16839" w:h="11907" w:orient="landscape"/>
          <w:pgMar w:top="1134" w:right="1134" w:bottom="1134" w:left="1134" w:header="567" w:footer="567" w:gutter="0"/>
          <w:cols w:space="708"/>
          <w:docGrid w:linePitch="360"/>
        </w:sectPr>
      </w:pPr>
    </w:p>
    <w:p w14:paraId="407C373D" w14:textId="77777777" w:rsidR="00553430" w:rsidRDefault="00212577">
      <w:pPr>
        <w:pStyle w:val="P68B1DB1-Normal32"/>
        <w:keepNext/>
        <w:tabs>
          <w:tab w:val="left" w:pos="850"/>
        </w:tabs>
        <w:spacing w:before="360" w:line="240" w:lineRule="auto"/>
        <w:ind w:left="850" w:hanging="850"/>
        <w:jc w:val="both"/>
        <w:outlineLvl w:val="0"/>
        <w:rPr>
          <w:bCs/>
          <w:noProof/>
        </w:rPr>
      </w:pPr>
      <w:r>
        <w:rPr>
          <w:noProof/>
        </w:rPr>
        <w:t>C. ÉLÉMENT 1.3: AMÉLIORATION DE LA GESTION DE L'EAU ET DE LA GESTION DES DÉCHETS</w:t>
      </w:r>
    </w:p>
    <w:p w14:paraId="785FEF68" w14:textId="77777777" w:rsidR="00553430" w:rsidRDefault="00212577">
      <w:pPr>
        <w:pStyle w:val="P68B1DB1-Normal33"/>
        <w:spacing w:line="240" w:lineRule="auto"/>
        <w:jc w:val="both"/>
        <w:rPr>
          <w:noProof/>
        </w:rPr>
      </w:pPr>
      <w:r>
        <w:rPr>
          <w:noProof/>
        </w:rPr>
        <w:t xml:space="preserve">L’objectif de ce volet du plan croate pour la reprise et la résilience est de </w:t>
      </w:r>
      <w:r>
        <w:rPr>
          <w:noProof/>
        </w:rPr>
        <w:t xml:space="preserve">contribuer à la préservation de l’environnement, à la préservation de la biodiversité et à l’adaptation au changement climatique, créant ainsi les conditions nécessaires au renforcement de la résilience écologique, sociale et économique. </w:t>
      </w:r>
    </w:p>
    <w:p w14:paraId="1370573B" w14:textId="77777777" w:rsidR="00553430" w:rsidRDefault="00212577">
      <w:pPr>
        <w:pStyle w:val="P68B1DB1-Normal33"/>
        <w:spacing w:line="240" w:lineRule="auto"/>
        <w:jc w:val="both"/>
        <w:rPr>
          <w:noProof/>
        </w:rPr>
      </w:pPr>
      <w:r>
        <w:rPr>
          <w:noProof/>
        </w:rPr>
        <w:t xml:space="preserve">Les </w:t>
      </w:r>
      <w:r>
        <w:rPr>
          <w:noProof/>
        </w:rPr>
        <w:t>investissements prévus au titre du volet 1.3 visent à réduire le déficit d’investissement dans les secteurs de la gestion de l’eau et des déchets, estimé à près de 7 % du PIB de la Croatie en 2019. Les investissements seront soutenus par des réformes visan</w:t>
      </w:r>
      <w:r>
        <w:rPr>
          <w:noProof/>
        </w:rPr>
        <w:t xml:space="preserve">t à consolider le secteur de l'eau et à améliorer la gestion de l'eau dans l'ensemble de la Croatie. En outre, une nouvelle législation sur les déchets et des plans de gestion des déchets sont adoptés pour promouvoir l’économie circulaire, conformément au </w:t>
      </w:r>
      <w:r>
        <w:rPr>
          <w:noProof/>
        </w:rPr>
        <w:t>nouveau plan d’action de l’UE en faveur de l’économie circulaire.</w:t>
      </w:r>
    </w:p>
    <w:p w14:paraId="57CF1C05" w14:textId="77777777" w:rsidR="00553430" w:rsidRDefault="00212577">
      <w:pPr>
        <w:pStyle w:val="P68B1DB1-Normal33"/>
        <w:spacing w:line="240" w:lineRule="auto"/>
        <w:jc w:val="both"/>
        <w:rPr>
          <w:noProof/>
        </w:rPr>
      </w:pPr>
      <w:r>
        <w:rPr>
          <w:noProof/>
        </w:rPr>
        <w:t>Ces investissements et réformes contribuent à donner suite aux recommandations par pays adressées à la Croatie en 2019 et 2020, sur la nécessité de «axer la politique d’investissement sur le</w:t>
      </w:r>
      <w:r>
        <w:rPr>
          <w:noProof/>
        </w:rPr>
        <w:t>s infrastructures environnementales […], en tenant compte des disparités régionales» (recommandation par pays no 3, 2019) et de «axer les investissements sur la transition écologique […], en particulier sur les infrastructures environnementales» (recommand</w:t>
      </w:r>
      <w:r>
        <w:rPr>
          <w:noProof/>
        </w:rPr>
        <w:t xml:space="preserve">ation par pays no 3, 2020). </w:t>
      </w:r>
    </w:p>
    <w:p w14:paraId="3F72BE63" w14:textId="77777777" w:rsidR="00553430" w:rsidRDefault="00212577">
      <w:pPr>
        <w:pStyle w:val="P68B1DB1-Normal57"/>
        <w:keepNext/>
        <w:spacing w:after="200" w:line="276" w:lineRule="auto"/>
        <w:ind w:left="851" w:right="-24"/>
        <w:jc w:val="both"/>
        <w:outlineLvl w:val="1"/>
        <w:rPr>
          <w:rFonts w:eastAsia="Calibri"/>
          <w:noProof/>
        </w:rPr>
      </w:pPr>
      <w:r>
        <w:rPr>
          <w:noProof/>
        </w:rPr>
        <w:t xml:space="preserve">C.1. </w:t>
      </w:r>
      <w:r>
        <w:rPr>
          <w:noProof/>
        </w:rPr>
        <w:tab/>
        <w:t>Description des réformes et des investissements pour le soutien financier non remboursable</w:t>
      </w:r>
    </w:p>
    <w:p w14:paraId="2FFEBC40" w14:textId="77777777" w:rsidR="00553430" w:rsidRDefault="00212577">
      <w:pPr>
        <w:pStyle w:val="P68B1DB1-Normal96"/>
        <w:keepNext/>
        <w:tabs>
          <w:tab w:val="num" w:pos="850"/>
        </w:tabs>
        <w:spacing w:after="200" w:line="276" w:lineRule="auto"/>
        <w:ind w:left="851"/>
        <w:jc w:val="both"/>
        <w:outlineLvl w:val="2"/>
        <w:rPr>
          <w:rFonts w:eastAsia="Calibri"/>
          <w:noProof/>
        </w:rPr>
      </w:pPr>
      <w:r>
        <w:rPr>
          <w:noProof/>
        </w:rPr>
        <w:t>Réforme C1.3 R1 – Mise en œuvre du programme de gestion de l’eau</w:t>
      </w:r>
    </w:p>
    <w:p w14:paraId="5A88A662" w14:textId="77777777" w:rsidR="00553430" w:rsidRDefault="00212577">
      <w:pPr>
        <w:pStyle w:val="P68B1DB1-Normal33"/>
        <w:spacing w:line="240" w:lineRule="auto"/>
        <w:jc w:val="both"/>
        <w:rPr>
          <w:noProof/>
        </w:rPr>
      </w:pPr>
      <w:r>
        <w:rPr>
          <w:noProof/>
        </w:rPr>
        <w:t>L’objectif de cette réforme est de remédier à la fragmentation de</w:t>
      </w:r>
      <w:r>
        <w:rPr>
          <w:noProof/>
        </w:rPr>
        <w:t>s fournisseurs publics d’eau en Croatie. Il vise à consolider et à réduire le nombre de fournisseurs d'eau, afin d'améliorer leur efficacité et leur gouvernance. Cette réforme instaure un système d’évaluation comparative pour le suivi et l’établissement de</w:t>
      </w:r>
      <w:r>
        <w:rPr>
          <w:noProof/>
        </w:rPr>
        <w:t xml:space="preserve"> rapports sur les performances opérationnelles et financières des fournisseurs de services liés à l’eau et contribue à améliorer la viabilité à long terme des investissements dans les infrastructures. </w:t>
      </w:r>
    </w:p>
    <w:p w14:paraId="4763F437" w14:textId="77777777" w:rsidR="00553430" w:rsidRDefault="00212577">
      <w:pPr>
        <w:pStyle w:val="P68B1DB1-Normal33"/>
        <w:spacing w:line="240" w:lineRule="auto"/>
        <w:jc w:val="both"/>
        <w:rPr>
          <w:noProof/>
        </w:rPr>
      </w:pPr>
      <w:r>
        <w:rPr>
          <w:noProof/>
        </w:rPr>
        <w:t>Cette réforme sera mise en œuvre par l'entrée en vigue</w:t>
      </w:r>
      <w:r>
        <w:rPr>
          <w:noProof/>
        </w:rPr>
        <w:t xml:space="preserve">ur d'amendements à quatre règlements: </w:t>
      </w:r>
    </w:p>
    <w:p w14:paraId="609CAA0F" w14:textId="77777777" w:rsidR="00553430" w:rsidRDefault="00212577">
      <w:pPr>
        <w:pStyle w:val="P68B1DB1-Normal83"/>
        <w:keepNext/>
        <w:numPr>
          <w:ilvl w:val="0"/>
          <w:numId w:val="49"/>
        </w:numPr>
        <w:tabs>
          <w:tab w:val="left" w:pos="426"/>
        </w:tabs>
        <w:spacing w:after="200" w:line="276" w:lineRule="auto"/>
        <w:jc w:val="both"/>
        <w:rPr>
          <w:noProof/>
        </w:rPr>
      </w:pPr>
      <w:r>
        <w:rPr>
          <w:noProof/>
        </w:rPr>
        <w:t xml:space="preserve">le règlement sur les zones de services, </w:t>
      </w:r>
    </w:p>
    <w:p w14:paraId="7534F79C" w14:textId="77777777" w:rsidR="00553430" w:rsidRDefault="00212577">
      <w:pPr>
        <w:pStyle w:val="P68B1DB1-Normal83"/>
        <w:keepNext/>
        <w:numPr>
          <w:ilvl w:val="0"/>
          <w:numId w:val="49"/>
        </w:numPr>
        <w:tabs>
          <w:tab w:val="left" w:pos="426"/>
        </w:tabs>
        <w:spacing w:after="200" w:line="276" w:lineRule="auto"/>
        <w:jc w:val="both"/>
        <w:rPr>
          <w:noProof/>
        </w:rPr>
      </w:pPr>
      <w:r>
        <w:rPr>
          <w:noProof/>
        </w:rPr>
        <w:t>le règlement relatif à l’évaluation des performances des exploitants du secteur de l’eau, y compris la mise en place du système d’analyse comparative;</w:t>
      </w:r>
    </w:p>
    <w:p w14:paraId="0C0C06AC" w14:textId="77777777" w:rsidR="00553430" w:rsidRDefault="00212577">
      <w:pPr>
        <w:pStyle w:val="P68B1DB1-Normal83"/>
        <w:keepNext/>
        <w:numPr>
          <w:ilvl w:val="0"/>
          <w:numId w:val="49"/>
        </w:numPr>
        <w:tabs>
          <w:tab w:val="left" w:pos="426"/>
        </w:tabs>
        <w:spacing w:after="200" w:line="276" w:lineRule="auto"/>
        <w:jc w:val="both"/>
        <w:rPr>
          <w:noProof/>
        </w:rPr>
      </w:pPr>
      <w:r>
        <w:rPr>
          <w:noProof/>
        </w:rPr>
        <w:t>le règlement relatif à la</w:t>
      </w:r>
      <w:r>
        <w:rPr>
          <w:noProof/>
        </w:rPr>
        <w:t xml:space="preserve"> méthode de détermination de la tarification des services liés à l'utilisation de l'eau, et </w:t>
      </w:r>
    </w:p>
    <w:p w14:paraId="4468B6A5" w14:textId="77777777" w:rsidR="00553430" w:rsidRDefault="00212577">
      <w:pPr>
        <w:pStyle w:val="P68B1DB1-Normal83"/>
        <w:keepNext/>
        <w:numPr>
          <w:ilvl w:val="0"/>
          <w:numId w:val="49"/>
        </w:numPr>
        <w:tabs>
          <w:tab w:val="left" w:pos="426"/>
        </w:tabs>
        <w:spacing w:after="200" w:line="276" w:lineRule="auto"/>
        <w:jc w:val="both"/>
        <w:rPr>
          <w:noProof/>
        </w:rPr>
      </w:pPr>
      <w:r>
        <w:rPr>
          <w:noProof/>
        </w:rPr>
        <w:t>le règlement relatif aux conditions spécifiques de fourniture de services liés à l'utilisation de l'eau.</w:t>
      </w:r>
    </w:p>
    <w:p w14:paraId="0033C0B2" w14:textId="77777777" w:rsidR="00553430" w:rsidRDefault="00212577">
      <w:pPr>
        <w:pStyle w:val="P68B1DB1-Normal33"/>
        <w:spacing w:line="240" w:lineRule="auto"/>
        <w:jc w:val="both"/>
        <w:rPr>
          <w:noProof/>
        </w:rPr>
      </w:pPr>
      <w:r>
        <w:rPr>
          <w:noProof/>
        </w:rPr>
        <w:t>La réforme comprend l’élaboration d’un programme d’investi</w:t>
      </w:r>
      <w:r>
        <w:rPr>
          <w:noProof/>
        </w:rPr>
        <w:t>ssement pluriannuel pour les infrastructures de traitement de l’eau et des eaux usées afin d’assurer la mise en œuvre cohérente des investissements C1.3 R1-I1 et C1.3 R1-I2, ainsi que des complémentarités avec d’autres financements de l’UE.</w:t>
      </w:r>
    </w:p>
    <w:p w14:paraId="5C741D97" w14:textId="77777777" w:rsidR="00553430" w:rsidRDefault="00212577">
      <w:pPr>
        <w:pStyle w:val="P68B1DB1-Normal33"/>
        <w:spacing w:line="240" w:lineRule="auto"/>
        <w:jc w:val="both"/>
        <w:rPr>
          <w:noProof/>
        </w:rPr>
      </w:pPr>
      <w:r>
        <w:rPr>
          <w:noProof/>
        </w:rPr>
        <w:t xml:space="preserve">La réforme est </w:t>
      </w:r>
      <w:r>
        <w:rPr>
          <w:noProof/>
        </w:rPr>
        <w:t>achevée au plus tard le 31 décembre 2024.</w:t>
      </w:r>
    </w:p>
    <w:p w14:paraId="6DA01B25" w14:textId="77777777" w:rsidR="00553430" w:rsidRDefault="00212577">
      <w:pPr>
        <w:pStyle w:val="P68B1DB1-Normal81"/>
        <w:keepNext/>
        <w:tabs>
          <w:tab w:val="num" w:pos="850"/>
        </w:tabs>
        <w:spacing w:after="200" w:line="276" w:lineRule="auto"/>
        <w:ind w:left="851"/>
        <w:jc w:val="both"/>
        <w:outlineLvl w:val="2"/>
        <w:rPr>
          <w:rFonts w:eastAsia="Calibri"/>
          <w:noProof/>
        </w:rPr>
      </w:pPr>
      <w:r>
        <w:rPr>
          <w:noProof/>
        </w:rPr>
        <w:t>Investissement C1.3 R1-I1 – Programme public de développement des eaux usées</w:t>
      </w:r>
    </w:p>
    <w:p w14:paraId="2AA82E6D" w14:textId="77777777" w:rsidR="00553430" w:rsidRDefault="00212577">
      <w:pPr>
        <w:pStyle w:val="P68B1DB1-Normal33"/>
        <w:spacing w:line="240" w:lineRule="auto"/>
        <w:jc w:val="both"/>
        <w:rPr>
          <w:noProof/>
          <w:u w:val="single"/>
        </w:rPr>
      </w:pPr>
      <w:r>
        <w:rPr>
          <w:noProof/>
        </w:rPr>
        <w:t xml:space="preserve">L’objectif de cet investissement est d’améliorer la collecte et le traitement des eaux usées en Croatie. </w:t>
      </w:r>
    </w:p>
    <w:p w14:paraId="1D3F3CA8" w14:textId="06667F14" w:rsidR="00553430" w:rsidRDefault="00212577">
      <w:pPr>
        <w:pStyle w:val="P68B1DB1-Normal33"/>
        <w:spacing w:line="240" w:lineRule="auto"/>
        <w:jc w:val="both"/>
        <w:rPr>
          <w:noProof/>
          <w:u w:val="single"/>
        </w:rPr>
      </w:pPr>
      <w:r>
        <w:rPr>
          <w:noProof/>
        </w:rPr>
        <w:t xml:space="preserve">Cette mesure consiste en la </w:t>
      </w:r>
      <w:r>
        <w:rPr>
          <w:noProof/>
        </w:rPr>
        <w:t xml:space="preserve">construction et la reconstruction de réseaux publics d'assainissement, ainsi qu'en la construction de stations d'épuration des eaux usées. </w:t>
      </w:r>
    </w:p>
    <w:p w14:paraId="1E06B86C" w14:textId="77777777" w:rsidR="00553430" w:rsidRDefault="00212577">
      <w:pPr>
        <w:pStyle w:val="P68B1DB1-Normal96"/>
        <w:keepNext/>
        <w:spacing w:line="240" w:lineRule="auto"/>
        <w:ind w:left="851"/>
        <w:jc w:val="both"/>
        <w:outlineLvl w:val="2"/>
        <w:rPr>
          <w:i/>
          <w:iCs/>
          <w:noProof/>
        </w:rPr>
      </w:pPr>
      <w:r>
        <w:rPr>
          <w:noProof/>
        </w:rPr>
        <w:t>Investissement C1.3 R1-I2 – Programme public de développement de l’approvisionnement en eau</w:t>
      </w:r>
    </w:p>
    <w:p w14:paraId="02DDD457" w14:textId="77777777" w:rsidR="00553430" w:rsidRDefault="00212577">
      <w:pPr>
        <w:pStyle w:val="P68B1DB1-Normal33"/>
        <w:spacing w:line="240" w:lineRule="auto"/>
        <w:jc w:val="both"/>
        <w:rPr>
          <w:noProof/>
        </w:rPr>
      </w:pPr>
      <w:r>
        <w:rPr>
          <w:noProof/>
        </w:rPr>
        <w:t>L'objectif de cet invest</w:t>
      </w:r>
      <w:r>
        <w:rPr>
          <w:noProof/>
        </w:rPr>
        <w:t xml:space="preserve">issement est d'améliorer les infrastructures d'approvisionnement en eau. </w:t>
      </w:r>
    </w:p>
    <w:p w14:paraId="1327BD90" w14:textId="77777777" w:rsidR="00553430" w:rsidRDefault="00212577">
      <w:pPr>
        <w:pStyle w:val="P68B1DB1-Normal33"/>
        <w:spacing w:line="240" w:lineRule="auto"/>
        <w:jc w:val="both"/>
        <w:rPr>
          <w:noProof/>
        </w:rPr>
      </w:pPr>
      <w:r>
        <w:rPr>
          <w:noProof/>
        </w:rPr>
        <w:t xml:space="preserve">Cette mesure consiste en la construction et la reconstruction de canalisations d'approvisionnement en eau et l'achat de compteurs. </w:t>
      </w:r>
    </w:p>
    <w:p w14:paraId="769FFA61" w14:textId="77777777" w:rsidR="00553430" w:rsidRDefault="00212577">
      <w:pPr>
        <w:pStyle w:val="P68B1DB1-Normal96"/>
        <w:keepNext/>
        <w:spacing w:line="240" w:lineRule="auto"/>
        <w:ind w:left="851"/>
        <w:jc w:val="both"/>
        <w:outlineLvl w:val="2"/>
        <w:rPr>
          <w:i/>
          <w:iCs/>
          <w:noProof/>
        </w:rPr>
      </w:pPr>
      <w:r>
        <w:rPr>
          <w:noProof/>
        </w:rPr>
        <w:t>Investissement C1.3 R1-I3 – Programme de réduction</w:t>
      </w:r>
      <w:r>
        <w:rPr>
          <w:noProof/>
        </w:rPr>
        <w:t xml:space="preserve"> des risques de catastrophe</w:t>
      </w:r>
    </w:p>
    <w:p w14:paraId="72554D80" w14:textId="77777777" w:rsidR="00553430" w:rsidRDefault="00212577">
      <w:pPr>
        <w:pStyle w:val="P68B1DB1-Normal33"/>
        <w:spacing w:line="240" w:lineRule="auto"/>
        <w:jc w:val="both"/>
        <w:rPr>
          <w:noProof/>
          <w:u w:val="single"/>
        </w:rPr>
      </w:pPr>
      <w:r>
        <w:rPr>
          <w:noProof/>
        </w:rPr>
        <w:t>L'objectif de cet investissement est d'améliorer la protection contre les inondations et la biodiversité.</w:t>
      </w:r>
    </w:p>
    <w:p w14:paraId="4D8B27DA" w14:textId="77777777" w:rsidR="00553430" w:rsidRDefault="00212577">
      <w:pPr>
        <w:pStyle w:val="P68B1DB1-Normal33"/>
        <w:spacing w:line="240" w:lineRule="auto"/>
        <w:jc w:val="both"/>
        <w:rPr>
          <w:noProof/>
        </w:rPr>
      </w:pPr>
      <w:r>
        <w:rPr>
          <w:noProof/>
        </w:rPr>
        <w:t>Cette mesure consiste en la construction de remblais défensifs contre les inondations et la revitalisation des systèmes d'</w:t>
      </w:r>
      <w:r>
        <w:rPr>
          <w:noProof/>
        </w:rPr>
        <w:t>eau douce.</w:t>
      </w:r>
    </w:p>
    <w:p w14:paraId="6E84B5E0" w14:textId="77777777" w:rsidR="00553430" w:rsidRDefault="00212577">
      <w:pPr>
        <w:pStyle w:val="P68B1DB1-Normal96"/>
        <w:keepNext/>
        <w:numPr>
          <w:ilvl w:val="2"/>
          <w:numId w:val="0"/>
        </w:numPr>
        <w:spacing w:line="240" w:lineRule="auto"/>
        <w:ind w:left="851"/>
        <w:jc w:val="both"/>
        <w:outlineLvl w:val="2"/>
        <w:rPr>
          <w:bCs/>
          <w:i/>
          <w:noProof/>
        </w:rPr>
      </w:pPr>
      <w:r>
        <w:rPr>
          <w:noProof/>
        </w:rPr>
        <w:t xml:space="preserve">Réforme C1.3 R2 – Mise en œuvre de la gestion durable des déchets </w:t>
      </w:r>
    </w:p>
    <w:p w14:paraId="744250DA" w14:textId="77777777" w:rsidR="00553430" w:rsidRDefault="00212577">
      <w:pPr>
        <w:pStyle w:val="P68B1DB1-Normal33"/>
        <w:spacing w:line="240" w:lineRule="auto"/>
        <w:jc w:val="both"/>
        <w:rPr>
          <w:noProof/>
        </w:rPr>
      </w:pPr>
      <w:r>
        <w:rPr>
          <w:noProof/>
        </w:rPr>
        <w:t>L’objectif de cette réforme est de créer un nouveau cadre juridique pour faciliter la prévention, la réutilisation et le recyclage des déchets, afin d’accélérer la transition ver</w:t>
      </w:r>
      <w:r>
        <w:rPr>
          <w:noProof/>
        </w:rPr>
        <w:t xml:space="preserve">s l’économie circulaire. </w:t>
      </w:r>
    </w:p>
    <w:p w14:paraId="2F24AC6A" w14:textId="77777777" w:rsidR="00553430" w:rsidRDefault="00212577">
      <w:pPr>
        <w:pStyle w:val="P68B1DB1-Normal33"/>
        <w:keepNext/>
        <w:numPr>
          <w:ilvl w:val="2"/>
          <w:numId w:val="0"/>
        </w:numPr>
        <w:spacing w:line="240" w:lineRule="auto"/>
        <w:jc w:val="both"/>
        <w:outlineLvl w:val="2"/>
        <w:rPr>
          <w:noProof/>
        </w:rPr>
      </w:pPr>
      <w:r>
        <w:rPr>
          <w:noProof/>
        </w:rPr>
        <w:t xml:space="preserve">Cette mesure consiste en l'entrée en vigueur de la législation et l'adoption de plans de gestion des déchets. </w:t>
      </w:r>
    </w:p>
    <w:p w14:paraId="2CF723AB" w14:textId="77777777" w:rsidR="00553430" w:rsidRDefault="00212577">
      <w:pPr>
        <w:pStyle w:val="P68B1DB1-Normal96"/>
        <w:keepNext/>
        <w:numPr>
          <w:ilvl w:val="2"/>
          <w:numId w:val="0"/>
        </w:numPr>
        <w:spacing w:line="240" w:lineRule="auto"/>
        <w:ind w:left="851"/>
        <w:jc w:val="both"/>
        <w:outlineLvl w:val="2"/>
        <w:rPr>
          <w:bCs/>
          <w:i/>
          <w:noProof/>
        </w:rPr>
      </w:pPr>
      <w:r>
        <w:rPr>
          <w:noProof/>
        </w:rPr>
        <w:t>Investissement C1.3. R2-I1 – Programme de réduction de l’élimination des déchets</w:t>
      </w:r>
    </w:p>
    <w:p w14:paraId="202023B3" w14:textId="77777777" w:rsidR="00553430" w:rsidRDefault="00212577">
      <w:pPr>
        <w:pStyle w:val="P68B1DB1-Normal33"/>
        <w:spacing w:line="240" w:lineRule="auto"/>
        <w:jc w:val="both"/>
        <w:rPr>
          <w:noProof/>
        </w:rPr>
      </w:pPr>
      <w:r>
        <w:rPr>
          <w:noProof/>
        </w:rPr>
        <w:t>L'objectif de cet investissement est d</w:t>
      </w:r>
      <w:r>
        <w:rPr>
          <w:noProof/>
        </w:rPr>
        <w:t>e fournir l'infrastructure nécessaire pour réduire la mise en décharge et promouvoir le recyclage.</w:t>
      </w:r>
    </w:p>
    <w:p w14:paraId="0C0655EF" w14:textId="77777777" w:rsidR="00553430" w:rsidRDefault="00212577">
      <w:pPr>
        <w:pStyle w:val="P68B1DB1-Normal33"/>
        <w:spacing w:line="240" w:lineRule="auto"/>
        <w:jc w:val="both"/>
        <w:rPr>
          <w:noProof/>
        </w:rPr>
      </w:pPr>
      <w:r>
        <w:rPr>
          <w:noProof/>
        </w:rPr>
        <w:t>Cette mesure consiste en la construction d'infrastructures pertinentes.</w:t>
      </w:r>
    </w:p>
    <w:p w14:paraId="6A1B655F" w14:textId="77777777" w:rsidR="00553430" w:rsidRDefault="00212577">
      <w:pPr>
        <w:pStyle w:val="P68B1DB1-Normal96"/>
        <w:keepNext/>
        <w:spacing w:line="240" w:lineRule="auto"/>
        <w:ind w:left="851"/>
        <w:jc w:val="both"/>
        <w:outlineLvl w:val="2"/>
        <w:rPr>
          <w:i/>
          <w:iCs/>
          <w:noProof/>
        </w:rPr>
      </w:pPr>
      <w:r>
        <w:rPr>
          <w:noProof/>
        </w:rPr>
        <w:t>Investissement</w:t>
      </w:r>
      <w:r>
        <w:rPr>
          <w:i/>
          <w:noProof/>
        </w:rPr>
        <w:t xml:space="preserve"> </w:t>
      </w:r>
      <w:r>
        <w:rPr>
          <w:noProof/>
        </w:rPr>
        <w:t>C.1.3 R2-I2</w:t>
      </w:r>
      <w:r>
        <w:rPr>
          <w:i/>
          <w:noProof/>
        </w:rPr>
        <w:t xml:space="preserve"> – Programme d’assainissement </w:t>
      </w:r>
      <w:r>
        <w:rPr>
          <w:noProof/>
        </w:rPr>
        <w:t xml:space="preserve">des décharges fermées et des </w:t>
      </w:r>
      <w:r>
        <w:rPr>
          <w:noProof/>
        </w:rPr>
        <w:t>sites contaminés par des déchets dangereux</w:t>
      </w:r>
    </w:p>
    <w:p w14:paraId="380CEC84" w14:textId="77777777" w:rsidR="00553430" w:rsidRDefault="00212577">
      <w:pPr>
        <w:pStyle w:val="P68B1DB1-Normal33"/>
        <w:spacing w:line="240" w:lineRule="auto"/>
        <w:jc w:val="both"/>
        <w:rPr>
          <w:noProof/>
        </w:rPr>
      </w:pPr>
      <w:r>
        <w:rPr>
          <w:noProof/>
        </w:rPr>
        <w:t>L'objectif de cet investissement est l'assainissement de dix décharges fermées.</w:t>
      </w:r>
    </w:p>
    <w:p w14:paraId="62DA5938" w14:textId="77777777" w:rsidR="00553430" w:rsidRDefault="00212577">
      <w:pPr>
        <w:pStyle w:val="P68B1DB1-Normal33"/>
        <w:spacing w:line="240" w:lineRule="auto"/>
        <w:jc w:val="both"/>
        <w:rPr>
          <w:noProof/>
        </w:rPr>
      </w:pPr>
      <w:r>
        <w:rPr>
          <w:noProof/>
        </w:rPr>
        <w:t xml:space="preserve">Cette mesure consiste à assainir au moins dix décharges fermées et/ou sites contaminés par des déchets dangereux. </w:t>
      </w:r>
    </w:p>
    <w:p w14:paraId="6D9DAE4E" w14:textId="77777777" w:rsidR="00553430" w:rsidRDefault="00553430">
      <w:pPr>
        <w:rPr>
          <w:noProof/>
        </w:rPr>
        <w:sectPr w:rsidR="00553430" w:rsidSect="00FA29B2">
          <w:headerReference w:type="even" r:id="rId51"/>
          <w:headerReference w:type="default" r:id="rId52"/>
          <w:footerReference w:type="even" r:id="rId53"/>
          <w:footerReference w:type="default" r:id="rId54"/>
          <w:headerReference w:type="first" r:id="rId55"/>
          <w:footerReference w:type="first" r:id="rId56"/>
          <w:pgSz w:w="11906" w:h="16838"/>
          <w:pgMar w:top="1134" w:right="1134" w:bottom="1134" w:left="1134" w:header="567" w:footer="567" w:gutter="0"/>
          <w:cols w:space="708"/>
          <w:docGrid w:linePitch="360"/>
        </w:sectPr>
      </w:pPr>
    </w:p>
    <w:p w14:paraId="5534D4EE" w14:textId="77777777" w:rsidR="00553430" w:rsidRDefault="00212577">
      <w:pPr>
        <w:pStyle w:val="P68B1DB1-Normal97"/>
        <w:keepNext/>
        <w:tabs>
          <w:tab w:val="num" w:pos="850"/>
        </w:tabs>
        <w:spacing w:after="200" w:line="276" w:lineRule="auto"/>
        <w:ind w:left="851"/>
        <w:jc w:val="both"/>
        <w:outlineLvl w:val="1"/>
        <w:rPr>
          <w:rFonts w:ascii="Times New Roman" w:eastAsia="Calibri" w:hAnsi="Times New Roman" w:cs="Times New Roman"/>
          <w:noProof/>
          <w:szCs w:val="24"/>
        </w:rPr>
      </w:pPr>
      <w:r>
        <w:rPr>
          <w:rFonts w:ascii="Times New Roman" w:eastAsia="SimSun" w:hAnsi="Times New Roman" w:cs="Times New Roman"/>
          <w:b/>
          <w:noProof/>
          <w:szCs w:val="28"/>
          <w:u w:val="single"/>
        </w:rPr>
        <w:t xml:space="preserve">C.2. </w:t>
      </w:r>
      <w:r>
        <w:rPr>
          <w:rFonts w:ascii="Times New Roman" w:eastAsia="SimSun" w:hAnsi="Times New Roman" w:cs="Times New Roman"/>
          <w:b/>
          <w:noProof/>
          <w:szCs w:val="28"/>
          <w:u w:val="single"/>
        </w:rPr>
        <w:tab/>
        <w:t>Étapes, cibles, indicateurs et calendrier pour le suivi et la mise en œuvre du soutien financier non remboursable</w:t>
      </w:r>
      <w:r>
        <w:rPr>
          <w:rFonts w:ascii="Times New Roman" w:eastAsia="Calibri" w:hAnsi="Times New Roman" w:cs="Times New Roman"/>
          <w:noProof/>
          <w:szCs w:val="24"/>
        </w:rPr>
        <w:tab/>
      </w:r>
    </w:p>
    <w:tbl>
      <w:tblPr>
        <w:tblW w:w="15730" w:type="dxa"/>
        <w:jc w:val="center"/>
        <w:tblLayout w:type="fixed"/>
        <w:tblCellMar>
          <w:top w:w="28" w:type="dxa"/>
          <w:left w:w="28" w:type="dxa"/>
          <w:bottom w:w="28" w:type="dxa"/>
          <w:right w:w="28" w:type="dxa"/>
        </w:tblCellMar>
        <w:tblLook w:val="04A0" w:firstRow="1" w:lastRow="0" w:firstColumn="1" w:lastColumn="0" w:noHBand="0" w:noVBand="1"/>
      </w:tblPr>
      <w:tblGrid>
        <w:gridCol w:w="835"/>
        <w:gridCol w:w="1080"/>
        <w:gridCol w:w="1080"/>
        <w:gridCol w:w="1920"/>
        <w:gridCol w:w="1884"/>
        <w:gridCol w:w="1134"/>
        <w:gridCol w:w="1011"/>
        <w:gridCol w:w="992"/>
        <w:gridCol w:w="992"/>
        <w:gridCol w:w="851"/>
        <w:gridCol w:w="3951"/>
      </w:tblGrid>
      <w:tr w:rsidR="00553430" w14:paraId="507E2256" w14:textId="77777777" w:rsidTr="00E0330C">
        <w:trPr>
          <w:tblHeader/>
          <w:jc w:val="center"/>
        </w:trPr>
        <w:tc>
          <w:tcPr>
            <w:tcW w:w="8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6D98C32" w14:textId="77777777" w:rsidR="00553430" w:rsidRDefault="00212577">
            <w:pPr>
              <w:pStyle w:val="P68B1DB1-Normal58"/>
              <w:spacing w:after="0" w:line="276" w:lineRule="auto"/>
              <w:jc w:val="center"/>
              <w:rPr>
                <w:noProof/>
              </w:rPr>
            </w:pPr>
            <w:r>
              <w:rPr>
                <w:noProof/>
              </w:rPr>
              <w:t>Numéro</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2E43CEB" w14:textId="77777777" w:rsidR="00553430" w:rsidRDefault="00212577">
            <w:pPr>
              <w:pStyle w:val="P68B1DB1-Normal58"/>
              <w:spacing w:after="0" w:line="276" w:lineRule="auto"/>
              <w:jc w:val="center"/>
              <w:rPr>
                <w:noProof/>
              </w:rPr>
            </w:pPr>
            <w:r>
              <w:rPr>
                <w:noProof/>
              </w:rPr>
              <w:t>Mesure</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01ECA5" w14:textId="77777777" w:rsidR="00553430" w:rsidRDefault="00212577">
            <w:pPr>
              <w:pStyle w:val="P68B1DB1-Normal58"/>
              <w:spacing w:after="0" w:line="276" w:lineRule="auto"/>
              <w:jc w:val="center"/>
              <w:rPr>
                <w:noProof/>
              </w:rPr>
            </w:pPr>
            <w:r>
              <w:rPr>
                <w:noProof/>
              </w:rPr>
              <w:t>Étape/cible</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9E057A5" w14:textId="77777777" w:rsidR="00553430" w:rsidRDefault="00212577">
            <w:pPr>
              <w:pStyle w:val="P68B1DB1-Normal58"/>
              <w:spacing w:after="0" w:line="276" w:lineRule="auto"/>
              <w:jc w:val="center"/>
              <w:rPr>
                <w:noProof/>
              </w:rPr>
            </w:pPr>
            <w:r>
              <w:rPr>
                <w:noProof/>
              </w:rPr>
              <w:t>Nom</w:t>
            </w:r>
          </w:p>
        </w:tc>
        <w:tc>
          <w:tcPr>
            <w:tcW w:w="18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E8F4FBF" w14:textId="77777777" w:rsidR="00553430" w:rsidRDefault="00212577">
            <w:pPr>
              <w:pStyle w:val="P68B1DB1-Normal59"/>
              <w:spacing w:after="0" w:line="276" w:lineRule="auto"/>
              <w:jc w:val="center"/>
              <w:rPr>
                <w:rFonts w:ascii="Times New Roman" w:eastAsia="Times New Roman" w:hAnsi="Times New Roman" w:cs="Times New Roman"/>
                <w:b/>
                <w:noProof/>
              </w:rPr>
            </w:pPr>
            <w:r>
              <w:rPr>
                <w:rFonts w:ascii="Times New Roman" w:eastAsia="Times New Roman" w:hAnsi="Times New Roman" w:cs="Times New Roman"/>
                <w:b/>
                <w:noProof/>
              </w:rPr>
              <w:t>Indicateurs qualitatifs</w:t>
            </w:r>
            <w:r>
              <w:rPr>
                <w:rFonts w:ascii="Times New Roman" w:eastAsia="Calibri" w:hAnsi="Times New Roman" w:cs="Times New Roman"/>
                <w:noProof/>
              </w:rPr>
              <w:br/>
            </w:r>
            <w:r>
              <w:rPr>
                <w:rFonts w:ascii="Times New Roman" w:eastAsia="Times New Roman" w:hAnsi="Times New Roman" w:cs="Times New Roman"/>
                <w:b/>
                <w:noProof/>
              </w:rPr>
              <w:t>(pour les jalons)</w:t>
            </w:r>
          </w:p>
        </w:tc>
        <w:tc>
          <w:tcPr>
            <w:tcW w:w="3137" w:type="dxa"/>
            <w:gridSpan w:val="3"/>
            <w:tcBorders>
              <w:top w:val="single" w:sz="4" w:space="0" w:color="auto"/>
              <w:left w:val="single" w:sz="4" w:space="0" w:color="auto"/>
              <w:bottom w:val="single" w:sz="4" w:space="0" w:color="auto"/>
              <w:right w:val="single" w:sz="4" w:space="0" w:color="auto"/>
            </w:tcBorders>
            <w:shd w:val="clear" w:color="auto" w:fill="BDD7EE"/>
            <w:hideMark/>
          </w:tcPr>
          <w:p w14:paraId="3AF3476D" w14:textId="77777777" w:rsidR="00553430" w:rsidRDefault="00212577">
            <w:pPr>
              <w:pStyle w:val="P68B1DB1-Normal59"/>
              <w:spacing w:after="0" w:line="276" w:lineRule="auto"/>
              <w:jc w:val="center"/>
              <w:rPr>
                <w:rFonts w:ascii="Times New Roman" w:eastAsia="Times New Roman" w:hAnsi="Times New Roman" w:cs="Times New Roman"/>
                <w:b/>
                <w:noProof/>
              </w:rPr>
            </w:pPr>
            <w:r>
              <w:rPr>
                <w:rFonts w:ascii="Times New Roman" w:eastAsia="Times New Roman" w:hAnsi="Times New Roman" w:cs="Times New Roman"/>
                <w:b/>
                <w:noProof/>
              </w:rPr>
              <w:t>Indicateurs quantitatifs</w:t>
            </w:r>
            <w:r>
              <w:rPr>
                <w:rFonts w:ascii="Times New Roman" w:eastAsia="Calibri" w:hAnsi="Times New Roman" w:cs="Times New Roman"/>
                <w:noProof/>
              </w:rPr>
              <w:br/>
            </w:r>
            <w:r>
              <w:rPr>
                <w:rFonts w:ascii="Times New Roman" w:eastAsia="Times New Roman" w:hAnsi="Times New Roman" w:cs="Times New Roman"/>
                <w:b/>
                <w:noProof/>
              </w:rPr>
              <w:t>(pour les objectifs)</w:t>
            </w:r>
          </w:p>
        </w:tc>
        <w:tc>
          <w:tcPr>
            <w:tcW w:w="1843" w:type="dxa"/>
            <w:gridSpan w:val="2"/>
            <w:tcBorders>
              <w:top w:val="single" w:sz="4" w:space="0" w:color="auto"/>
              <w:left w:val="nil"/>
              <w:bottom w:val="single" w:sz="4" w:space="0" w:color="auto"/>
              <w:right w:val="single" w:sz="4" w:space="0" w:color="auto"/>
            </w:tcBorders>
            <w:shd w:val="clear" w:color="auto" w:fill="BDD7EE"/>
            <w:hideMark/>
          </w:tcPr>
          <w:p w14:paraId="2207EFCD" w14:textId="77777777" w:rsidR="00553430" w:rsidRDefault="00212577">
            <w:pPr>
              <w:pStyle w:val="P68B1DB1-Normal58"/>
              <w:spacing w:after="0" w:line="276" w:lineRule="auto"/>
              <w:jc w:val="center"/>
              <w:rPr>
                <w:noProof/>
              </w:rPr>
            </w:pPr>
            <w:r>
              <w:rPr>
                <w:noProof/>
              </w:rPr>
              <w:t>Temps</w:t>
            </w:r>
          </w:p>
        </w:tc>
        <w:tc>
          <w:tcPr>
            <w:tcW w:w="39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873EBA" w14:textId="77777777" w:rsidR="00553430" w:rsidRDefault="00212577">
            <w:pPr>
              <w:pStyle w:val="P68B1DB1-Normal58"/>
              <w:spacing w:after="0" w:line="276" w:lineRule="auto"/>
              <w:jc w:val="center"/>
              <w:rPr>
                <w:noProof/>
              </w:rPr>
            </w:pPr>
            <w:r>
              <w:rPr>
                <w:noProof/>
              </w:rPr>
              <w:t>Description de chaque jalon et cible</w:t>
            </w:r>
          </w:p>
        </w:tc>
      </w:tr>
      <w:tr w:rsidR="00553430" w14:paraId="18D2A9D6" w14:textId="77777777" w:rsidTr="00E0330C">
        <w:trPr>
          <w:tblHeader/>
          <w:jc w:val="center"/>
        </w:trPr>
        <w:tc>
          <w:tcPr>
            <w:tcW w:w="835" w:type="dxa"/>
            <w:vMerge/>
            <w:tcBorders>
              <w:top w:val="single" w:sz="4" w:space="0" w:color="auto"/>
              <w:left w:val="single" w:sz="4" w:space="0" w:color="auto"/>
              <w:bottom w:val="single" w:sz="4" w:space="0" w:color="auto"/>
              <w:right w:val="single" w:sz="4" w:space="0" w:color="auto"/>
            </w:tcBorders>
            <w:hideMark/>
          </w:tcPr>
          <w:p w14:paraId="11F822FF" w14:textId="77777777" w:rsidR="00553430" w:rsidRDefault="00553430">
            <w:pPr>
              <w:spacing w:after="0" w:line="276" w:lineRule="auto"/>
              <w:rPr>
                <w:rFonts w:ascii="Times New Roman" w:eastAsia="Times New Roman" w:hAnsi="Times New Roman" w:cs="Times New Roman"/>
                <w:b/>
                <w:noProof/>
                <w:sz w:val="20"/>
                <w:szCs w:val="20"/>
              </w:rPr>
            </w:pPr>
          </w:p>
        </w:tc>
        <w:tc>
          <w:tcPr>
            <w:tcW w:w="1080" w:type="dxa"/>
            <w:vMerge/>
            <w:tcBorders>
              <w:top w:val="single" w:sz="4" w:space="0" w:color="auto"/>
              <w:left w:val="single" w:sz="4" w:space="0" w:color="auto"/>
              <w:bottom w:val="single" w:sz="4" w:space="0" w:color="auto"/>
              <w:right w:val="single" w:sz="4" w:space="0" w:color="auto"/>
            </w:tcBorders>
            <w:hideMark/>
          </w:tcPr>
          <w:p w14:paraId="77635DBC"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80" w:type="dxa"/>
            <w:vMerge/>
            <w:tcBorders>
              <w:top w:val="single" w:sz="4" w:space="0" w:color="auto"/>
              <w:left w:val="single" w:sz="4" w:space="0" w:color="auto"/>
              <w:bottom w:val="single" w:sz="4" w:space="0" w:color="auto"/>
              <w:right w:val="single" w:sz="4" w:space="0" w:color="auto"/>
            </w:tcBorders>
            <w:hideMark/>
          </w:tcPr>
          <w:p w14:paraId="3A0FF1FA"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920" w:type="dxa"/>
            <w:vMerge/>
            <w:tcBorders>
              <w:top w:val="single" w:sz="4" w:space="0" w:color="auto"/>
              <w:left w:val="single" w:sz="4" w:space="0" w:color="auto"/>
              <w:bottom w:val="single" w:sz="4" w:space="0" w:color="auto"/>
              <w:right w:val="single" w:sz="4" w:space="0" w:color="auto"/>
            </w:tcBorders>
            <w:hideMark/>
          </w:tcPr>
          <w:p w14:paraId="10C2E741" w14:textId="77777777" w:rsidR="00553430" w:rsidRDefault="00553430">
            <w:pPr>
              <w:spacing w:after="0" w:line="276" w:lineRule="auto"/>
              <w:rPr>
                <w:rFonts w:ascii="Times New Roman" w:eastAsia="Times New Roman" w:hAnsi="Times New Roman" w:cs="Times New Roman"/>
                <w:b/>
                <w:noProof/>
                <w:sz w:val="20"/>
                <w:szCs w:val="20"/>
              </w:rPr>
            </w:pPr>
          </w:p>
        </w:tc>
        <w:tc>
          <w:tcPr>
            <w:tcW w:w="1884" w:type="dxa"/>
            <w:vMerge/>
            <w:tcBorders>
              <w:top w:val="single" w:sz="4" w:space="0" w:color="auto"/>
              <w:left w:val="single" w:sz="4" w:space="0" w:color="auto"/>
              <w:bottom w:val="single" w:sz="4" w:space="0" w:color="auto"/>
              <w:right w:val="single" w:sz="4" w:space="0" w:color="auto"/>
            </w:tcBorders>
            <w:hideMark/>
          </w:tcPr>
          <w:p w14:paraId="202E5D84" w14:textId="77777777" w:rsidR="00553430" w:rsidRDefault="00553430">
            <w:pPr>
              <w:spacing w:after="0" w:line="276" w:lineRule="auto"/>
              <w:rPr>
                <w:rFonts w:ascii="Times New Roman" w:eastAsia="Times New Roman" w:hAnsi="Times New Roman" w:cs="Times New Roman"/>
                <w:b/>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BDD7EE"/>
            <w:hideMark/>
          </w:tcPr>
          <w:p w14:paraId="2DC64D92" w14:textId="77777777" w:rsidR="00553430" w:rsidRDefault="00212577">
            <w:pPr>
              <w:pStyle w:val="P68B1DB1-Normal58"/>
              <w:spacing w:after="0" w:line="276" w:lineRule="auto"/>
              <w:jc w:val="center"/>
              <w:rPr>
                <w:noProof/>
              </w:rPr>
            </w:pPr>
            <w:r>
              <w:rPr>
                <w:noProof/>
              </w:rPr>
              <w:t>Unité</w:t>
            </w:r>
          </w:p>
        </w:tc>
        <w:tc>
          <w:tcPr>
            <w:tcW w:w="1011" w:type="dxa"/>
            <w:tcBorders>
              <w:top w:val="single" w:sz="4" w:space="0" w:color="auto"/>
              <w:left w:val="single" w:sz="4" w:space="0" w:color="auto"/>
              <w:bottom w:val="single" w:sz="4" w:space="0" w:color="auto"/>
              <w:right w:val="single" w:sz="4" w:space="0" w:color="auto"/>
            </w:tcBorders>
            <w:shd w:val="clear" w:color="auto" w:fill="BDD7EE"/>
            <w:hideMark/>
          </w:tcPr>
          <w:p w14:paraId="2B9AB1DB" w14:textId="77777777" w:rsidR="00553430" w:rsidRDefault="00212577">
            <w:pPr>
              <w:pStyle w:val="P68B1DB1-Normal58"/>
              <w:spacing w:after="0" w:line="276" w:lineRule="auto"/>
              <w:jc w:val="center"/>
              <w:rPr>
                <w:noProof/>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BDD7EE"/>
            <w:hideMark/>
          </w:tcPr>
          <w:p w14:paraId="68A5F3E6" w14:textId="77777777" w:rsidR="00553430" w:rsidRDefault="00212577">
            <w:pPr>
              <w:pStyle w:val="P68B1DB1-Normal58"/>
              <w:spacing w:after="0" w:line="276" w:lineRule="auto"/>
              <w:jc w:val="center"/>
              <w:rPr>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BDD7EE"/>
            <w:hideMark/>
          </w:tcPr>
          <w:p w14:paraId="418ABA7C" w14:textId="77777777" w:rsidR="00553430" w:rsidRDefault="00212577">
            <w:pPr>
              <w:pStyle w:val="P68B1DB1-Normal58"/>
              <w:spacing w:after="0" w:line="276" w:lineRule="auto"/>
              <w:jc w:val="center"/>
              <w:rPr>
                <w:noProof/>
              </w:rPr>
            </w:pPr>
            <w:r>
              <w:rPr>
                <w:noProof/>
              </w:rPr>
              <w:t>Trimestre</w:t>
            </w:r>
          </w:p>
        </w:tc>
        <w:tc>
          <w:tcPr>
            <w:tcW w:w="851" w:type="dxa"/>
            <w:tcBorders>
              <w:top w:val="single" w:sz="4" w:space="0" w:color="auto"/>
              <w:left w:val="single" w:sz="4" w:space="0" w:color="auto"/>
              <w:bottom w:val="single" w:sz="4" w:space="0" w:color="auto"/>
              <w:right w:val="single" w:sz="4" w:space="0" w:color="auto"/>
            </w:tcBorders>
            <w:shd w:val="clear" w:color="auto" w:fill="BDD7EE"/>
            <w:hideMark/>
          </w:tcPr>
          <w:p w14:paraId="02211186" w14:textId="77777777" w:rsidR="00553430" w:rsidRDefault="00212577">
            <w:pPr>
              <w:pStyle w:val="P68B1DB1-Normal58"/>
              <w:spacing w:after="0" w:line="276" w:lineRule="auto"/>
              <w:jc w:val="center"/>
              <w:rPr>
                <w:noProof/>
              </w:rPr>
            </w:pPr>
            <w:r>
              <w:rPr>
                <w:noProof/>
              </w:rPr>
              <w:t>Année</w:t>
            </w:r>
          </w:p>
        </w:tc>
        <w:tc>
          <w:tcPr>
            <w:tcW w:w="3951" w:type="dxa"/>
            <w:vMerge/>
            <w:tcBorders>
              <w:top w:val="single" w:sz="4" w:space="0" w:color="auto"/>
              <w:bottom w:val="single" w:sz="4" w:space="0" w:color="auto"/>
              <w:right w:val="single" w:sz="4" w:space="0" w:color="auto"/>
            </w:tcBorders>
            <w:hideMark/>
          </w:tcPr>
          <w:p w14:paraId="49A9F96D"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701EBA6A"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64CA3C0D" w14:textId="77777777" w:rsidR="00553430" w:rsidRDefault="00212577">
            <w:pPr>
              <w:pStyle w:val="P68B1DB1-Normal66"/>
              <w:spacing w:after="0" w:line="276" w:lineRule="auto"/>
              <w:jc w:val="center"/>
              <w:rPr>
                <w:noProof/>
              </w:rPr>
            </w:pPr>
            <w:r>
              <w:rPr>
                <w:noProof/>
              </w:rPr>
              <w:t>59</w:t>
            </w:r>
          </w:p>
        </w:tc>
        <w:tc>
          <w:tcPr>
            <w:tcW w:w="1080" w:type="dxa"/>
            <w:tcBorders>
              <w:top w:val="single" w:sz="4" w:space="0" w:color="auto"/>
              <w:left w:val="nil"/>
              <w:bottom w:val="single" w:sz="4" w:space="0" w:color="auto"/>
              <w:right w:val="single" w:sz="4" w:space="0" w:color="auto"/>
            </w:tcBorders>
            <w:shd w:val="clear" w:color="auto" w:fill="C6EFCE"/>
            <w:noWrap/>
          </w:tcPr>
          <w:p w14:paraId="3D6E993D" w14:textId="77777777" w:rsidR="00553430" w:rsidRDefault="00212577">
            <w:pPr>
              <w:pStyle w:val="P68B1DB1-Normal66"/>
              <w:spacing w:after="200" w:line="276" w:lineRule="auto"/>
              <w:jc w:val="center"/>
              <w:rPr>
                <w:noProof/>
              </w:rPr>
            </w:pPr>
            <w:r>
              <w:rPr>
                <w:noProof/>
              </w:rPr>
              <w:t>C1.3. R1</w:t>
            </w:r>
          </w:p>
        </w:tc>
        <w:tc>
          <w:tcPr>
            <w:tcW w:w="1080" w:type="dxa"/>
            <w:tcBorders>
              <w:top w:val="single" w:sz="4" w:space="0" w:color="auto"/>
              <w:left w:val="nil"/>
              <w:bottom w:val="single" w:sz="4" w:space="0" w:color="auto"/>
              <w:right w:val="single" w:sz="4" w:space="0" w:color="auto"/>
            </w:tcBorders>
            <w:shd w:val="clear" w:color="auto" w:fill="C6EFCE"/>
            <w:noWrap/>
          </w:tcPr>
          <w:p w14:paraId="56F97CD2" w14:textId="77777777" w:rsidR="00553430" w:rsidRDefault="00212577">
            <w:pPr>
              <w:pStyle w:val="P68B1DB1-Normal66"/>
              <w:spacing w:after="200" w:line="276" w:lineRule="auto"/>
              <w:jc w:val="center"/>
              <w:rPr>
                <w:noProof/>
              </w:rPr>
            </w:pPr>
            <w:r>
              <w:rPr>
                <w:noProof/>
              </w:rPr>
              <w:t>M</w:t>
            </w:r>
          </w:p>
        </w:tc>
        <w:tc>
          <w:tcPr>
            <w:tcW w:w="1920" w:type="dxa"/>
            <w:tcBorders>
              <w:top w:val="single" w:sz="4" w:space="0" w:color="auto"/>
              <w:left w:val="nil"/>
              <w:bottom w:val="single" w:sz="4" w:space="0" w:color="auto"/>
              <w:right w:val="single" w:sz="4" w:space="0" w:color="auto"/>
            </w:tcBorders>
            <w:shd w:val="clear" w:color="auto" w:fill="C6EFCE"/>
            <w:noWrap/>
          </w:tcPr>
          <w:p w14:paraId="3C365EF4" w14:textId="77777777" w:rsidR="00553430" w:rsidRDefault="00212577">
            <w:pPr>
              <w:pStyle w:val="P68B1DB1-Normal66"/>
              <w:spacing w:after="200" w:line="276" w:lineRule="auto"/>
              <w:rPr>
                <w:noProof/>
              </w:rPr>
            </w:pPr>
            <w:r>
              <w:rPr>
                <w:noProof/>
              </w:rPr>
              <w:t xml:space="preserve">Adoption du programme pluriannuel de construction pour le traitement de l'eau et des eaux </w:t>
            </w:r>
            <w:r>
              <w:rPr>
                <w:noProof/>
              </w:rPr>
              <w:t>urbaines résiduaires</w:t>
            </w:r>
          </w:p>
        </w:tc>
        <w:tc>
          <w:tcPr>
            <w:tcW w:w="1884" w:type="dxa"/>
            <w:tcBorders>
              <w:top w:val="single" w:sz="4" w:space="0" w:color="auto"/>
              <w:left w:val="nil"/>
              <w:bottom w:val="single" w:sz="4" w:space="0" w:color="auto"/>
              <w:right w:val="single" w:sz="4" w:space="0" w:color="auto"/>
            </w:tcBorders>
            <w:shd w:val="clear" w:color="auto" w:fill="C6EFCE"/>
            <w:noWrap/>
          </w:tcPr>
          <w:p w14:paraId="0CE5883E" w14:textId="77777777" w:rsidR="00553430" w:rsidRDefault="00212577">
            <w:pPr>
              <w:pStyle w:val="P68B1DB1-Normal66"/>
              <w:spacing w:after="200" w:line="276" w:lineRule="auto"/>
              <w:rPr>
                <w:noProof/>
              </w:rPr>
            </w:pPr>
            <w:r>
              <w:rPr>
                <w:noProof/>
              </w:rPr>
              <w:t xml:space="preserve">Publication du programme pluriannuel de construction dans le domaine de l'eau et des eaux usées </w:t>
            </w:r>
          </w:p>
        </w:tc>
        <w:tc>
          <w:tcPr>
            <w:tcW w:w="1134" w:type="dxa"/>
            <w:tcBorders>
              <w:top w:val="single" w:sz="4" w:space="0" w:color="auto"/>
              <w:left w:val="nil"/>
              <w:bottom w:val="single" w:sz="4" w:space="0" w:color="auto"/>
              <w:right w:val="single" w:sz="4" w:space="0" w:color="auto"/>
            </w:tcBorders>
            <w:shd w:val="clear" w:color="auto" w:fill="C6EFCE"/>
            <w:noWrap/>
          </w:tcPr>
          <w:p w14:paraId="5CA85E94" w14:textId="77777777" w:rsidR="00553430" w:rsidRDefault="00212577">
            <w:pPr>
              <w:pStyle w:val="P68B1DB1-Normal66"/>
              <w:spacing w:after="200" w:line="276" w:lineRule="auto"/>
              <w:jc w:val="center"/>
              <w:rPr>
                <w:noProof/>
              </w:rPr>
            </w:pPr>
            <w:r>
              <w:rPr>
                <w:noProof/>
              </w:rPr>
              <w:t> </w:t>
            </w:r>
          </w:p>
        </w:tc>
        <w:tc>
          <w:tcPr>
            <w:tcW w:w="1011" w:type="dxa"/>
            <w:tcBorders>
              <w:top w:val="single" w:sz="4" w:space="0" w:color="auto"/>
              <w:left w:val="nil"/>
              <w:bottom w:val="single" w:sz="4" w:space="0" w:color="auto"/>
              <w:right w:val="single" w:sz="4" w:space="0" w:color="auto"/>
            </w:tcBorders>
            <w:shd w:val="clear" w:color="auto" w:fill="C6EFCE"/>
            <w:noWrap/>
          </w:tcPr>
          <w:p w14:paraId="42414C7A" w14:textId="77777777" w:rsidR="00553430" w:rsidRDefault="00212577">
            <w:pPr>
              <w:pStyle w:val="P68B1DB1-Normal66"/>
              <w:spacing w:after="200" w:line="276" w:lineRule="auto"/>
              <w:jc w:val="center"/>
              <w:rPr>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5E1FAFB2" w14:textId="77777777" w:rsidR="00553430" w:rsidRDefault="00212577">
            <w:pPr>
              <w:pStyle w:val="P68B1DB1-Normal66"/>
              <w:spacing w:after="200" w:line="276" w:lineRule="auto"/>
              <w:jc w:val="center"/>
              <w:rPr>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00A43588"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36A64B2B" w14:textId="77777777" w:rsidR="00553430" w:rsidRDefault="00212577">
            <w:pPr>
              <w:pStyle w:val="P68B1DB1-Normal66"/>
              <w:spacing w:after="200" w:line="276" w:lineRule="auto"/>
              <w:jc w:val="center"/>
              <w:rPr>
                <w:noProof/>
              </w:rPr>
            </w:pPr>
            <w:r>
              <w:rPr>
                <w:noProof/>
              </w:rPr>
              <w:t>2021</w:t>
            </w:r>
          </w:p>
        </w:tc>
        <w:tc>
          <w:tcPr>
            <w:tcW w:w="3951" w:type="dxa"/>
            <w:tcBorders>
              <w:top w:val="single" w:sz="4" w:space="0" w:color="auto"/>
              <w:left w:val="nil"/>
              <w:bottom w:val="single" w:sz="4" w:space="0" w:color="auto"/>
              <w:right w:val="single" w:sz="4" w:space="0" w:color="auto"/>
            </w:tcBorders>
            <w:shd w:val="clear" w:color="auto" w:fill="C6EFCE"/>
            <w:noWrap/>
          </w:tcPr>
          <w:p w14:paraId="249E8345" w14:textId="77777777" w:rsidR="00553430" w:rsidRDefault="00212577">
            <w:pPr>
              <w:pStyle w:val="P68B1DB1-Normal66"/>
              <w:spacing w:after="200" w:line="276" w:lineRule="auto"/>
              <w:rPr>
                <w:noProof/>
              </w:rPr>
            </w:pPr>
            <w:r>
              <w:rPr>
                <w:noProof/>
              </w:rPr>
              <w:t xml:space="preserve">Le gouvernement de la République de Croatie adopte le programme pluriannuel de construction dans le domaine de l’eau et des </w:t>
            </w:r>
            <w:r>
              <w:rPr>
                <w:noProof/>
              </w:rPr>
              <w:t xml:space="preserve">eaux usées, qui couvre les investissements nécessaires, y compris la hiérarchisation des priorités, pour se conformer aux exigences de la directive relative au traitement des eaux urbaines résiduaires. Le plan comprend également une évaluation des risques </w:t>
            </w:r>
            <w:r>
              <w:rPr>
                <w:noProof/>
              </w:rPr>
              <w:t>et des mesures d’atténuation.</w:t>
            </w:r>
          </w:p>
        </w:tc>
      </w:tr>
      <w:tr w:rsidR="00553430" w14:paraId="698083C8" w14:textId="77777777" w:rsidTr="00E0330C">
        <w:trPr>
          <w:jc w:val="center"/>
        </w:trPr>
        <w:tc>
          <w:tcPr>
            <w:tcW w:w="835" w:type="dxa"/>
            <w:tcBorders>
              <w:top w:val="nil"/>
              <w:left w:val="single" w:sz="4" w:space="0" w:color="auto"/>
              <w:bottom w:val="single" w:sz="4" w:space="0" w:color="auto"/>
              <w:right w:val="single" w:sz="4" w:space="0" w:color="auto"/>
            </w:tcBorders>
            <w:shd w:val="clear" w:color="auto" w:fill="C6EFCE"/>
            <w:noWrap/>
          </w:tcPr>
          <w:p w14:paraId="65E2783B" w14:textId="77777777" w:rsidR="00553430" w:rsidRDefault="00212577">
            <w:pPr>
              <w:pStyle w:val="P68B1DB1-Normal66"/>
              <w:spacing w:after="200" w:line="276" w:lineRule="auto"/>
              <w:jc w:val="center"/>
              <w:rPr>
                <w:noProof/>
              </w:rPr>
            </w:pPr>
            <w:r>
              <w:rPr>
                <w:noProof/>
              </w:rPr>
              <w:t>60</w:t>
            </w:r>
          </w:p>
        </w:tc>
        <w:tc>
          <w:tcPr>
            <w:tcW w:w="1080" w:type="dxa"/>
            <w:tcBorders>
              <w:top w:val="nil"/>
              <w:left w:val="nil"/>
              <w:bottom w:val="single" w:sz="4" w:space="0" w:color="auto"/>
              <w:right w:val="single" w:sz="4" w:space="0" w:color="auto"/>
            </w:tcBorders>
            <w:shd w:val="clear" w:color="auto" w:fill="C6EFCE"/>
            <w:noWrap/>
          </w:tcPr>
          <w:p w14:paraId="3C2B55DC" w14:textId="77777777" w:rsidR="00553430" w:rsidRDefault="00212577">
            <w:pPr>
              <w:pStyle w:val="P68B1DB1-Normal66"/>
              <w:spacing w:after="200" w:line="276" w:lineRule="auto"/>
              <w:jc w:val="center"/>
              <w:rPr>
                <w:noProof/>
              </w:rPr>
            </w:pPr>
            <w:r>
              <w:rPr>
                <w:noProof/>
              </w:rPr>
              <w:t>C1.3. R1</w:t>
            </w:r>
          </w:p>
        </w:tc>
        <w:tc>
          <w:tcPr>
            <w:tcW w:w="1080" w:type="dxa"/>
            <w:tcBorders>
              <w:top w:val="nil"/>
              <w:left w:val="nil"/>
              <w:bottom w:val="single" w:sz="4" w:space="0" w:color="auto"/>
              <w:right w:val="single" w:sz="4" w:space="0" w:color="auto"/>
            </w:tcBorders>
            <w:shd w:val="clear" w:color="auto" w:fill="C6EFCE"/>
            <w:noWrap/>
          </w:tcPr>
          <w:p w14:paraId="6589BE5F" w14:textId="77777777" w:rsidR="00553430" w:rsidRDefault="00212577">
            <w:pPr>
              <w:pStyle w:val="P68B1DB1-Normal66"/>
              <w:spacing w:after="200" w:line="276" w:lineRule="auto"/>
              <w:jc w:val="center"/>
              <w:rPr>
                <w:noProof/>
              </w:rPr>
            </w:pPr>
            <w:r>
              <w:rPr>
                <w:noProof/>
              </w:rPr>
              <w:t>M</w:t>
            </w:r>
          </w:p>
        </w:tc>
        <w:tc>
          <w:tcPr>
            <w:tcW w:w="1920" w:type="dxa"/>
            <w:tcBorders>
              <w:top w:val="nil"/>
              <w:left w:val="nil"/>
              <w:bottom w:val="single" w:sz="4" w:space="0" w:color="auto"/>
              <w:right w:val="single" w:sz="4" w:space="0" w:color="auto"/>
            </w:tcBorders>
            <w:shd w:val="clear" w:color="auto" w:fill="C6EFCE"/>
            <w:noWrap/>
          </w:tcPr>
          <w:p w14:paraId="70594077" w14:textId="77777777" w:rsidR="00553430" w:rsidRDefault="00212577">
            <w:pPr>
              <w:pStyle w:val="P68B1DB1-Normal66"/>
              <w:spacing w:after="200" w:line="276" w:lineRule="auto"/>
              <w:rPr>
                <w:noProof/>
              </w:rPr>
            </w:pPr>
            <w:r>
              <w:rPr>
                <w:noProof/>
              </w:rPr>
              <w:t xml:space="preserve">Modifications du cadre juridique dans le secteur de l'eau </w:t>
            </w:r>
          </w:p>
        </w:tc>
        <w:tc>
          <w:tcPr>
            <w:tcW w:w="1884" w:type="dxa"/>
            <w:tcBorders>
              <w:top w:val="nil"/>
              <w:left w:val="nil"/>
              <w:bottom w:val="single" w:sz="4" w:space="0" w:color="auto"/>
              <w:right w:val="single" w:sz="4" w:space="0" w:color="auto"/>
            </w:tcBorders>
            <w:shd w:val="clear" w:color="auto" w:fill="C6EFCE"/>
            <w:noWrap/>
          </w:tcPr>
          <w:p w14:paraId="2B0AFC09" w14:textId="77777777" w:rsidR="00553430" w:rsidRDefault="00212577">
            <w:pPr>
              <w:pStyle w:val="P68B1DB1-Normal66"/>
              <w:spacing w:after="200" w:line="276" w:lineRule="auto"/>
              <w:rPr>
                <w:noProof/>
              </w:rPr>
            </w:pPr>
            <w:r>
              <w:rPr>
                <w:noProof/>
              </w:rPr>
              <w:t xml:space="preserve">Entrée en vigueur de quatre modifications législatives: i) Règlement sur les zones de service; </w:t>
            </w:r>
            <w:r>
              <w:rPr>
                <w:noProof/>
              </w:rPr>
              <w:br/>
            </w:r>
            <w:r>
              <w:rPr>
                <w:noProof/>
              </w:rPr>
              <w:t xml:space="preserve">ii) Règlement sur l'évaluation de la performance des opérateurs de l'eau; iii) Règlement sur </w:t>
            </w:r>
            <w:r>
              <w:rPr>
                <w:noProof/>
              </w:rPr>
              <w:br/>
              <w:t>la méthode de détermination de la tarification des services liés à l'eau; iv) le règlement sur les conditions spécifiques pour la fourniture de services liés à l'</w:t>
            </w:r>
            <w:r>
              <w:rPr>
                <w:noProof/>
              </w:rPr>
              <w:t xml:space="preserve">eau, qui réformera les gestionnaires publics de l'eau; </w:t>
            </w:r>
          </w:p>
        </w:tc>
        <w:tc>
          <w:tcPr>
            <w:tcW w:w="1134" w:type="dxa"/>
            <w:tcBorders>
              <w:top w:val="nil"/>
              <w:left w:val="nil"/>
              <w:bottom w:val="single" w:sz="4" w:space="0" w:color="auto"/>
              <w:right w:val="single" w:sz="4" w:space="0" w:color="auto"/>
            </w:tcBorders>
            <w:shd w:val="clear" w:color="auto" w:fill="C6EFCE"/>
            <w:noWrap/>
          </w:tcPr>
          <w:p w14:paraId="5F73A0D6" w14:textId="77777777" w:rsidR="00553430" w:rsidRDefault="00212577">
            <w:pPr>
              <w:pStyle w:val="P68B1DB1-Normal66"/>
              <w:spacing w:after="200" w:line="276" w:lineRule="auto"/>
              <w:jc w:val="center"/>
              <w:rPr>
                <w:noProof/>
              </w:rPr>
            </w:pPr>
            <w:r>
              <w:rPr>
                <w:noProof/>
              </w:rPr>
              <w:t> </w:t>
            </w:r>
          </w:p>
        </w:tc>
        <w:tc>
          <w:tcPr>
            <w:tcW w:w="1011" w:type="dxa"/>
            <w:tcBorders>
              <w:top w:val="nil"/>
              <w:left w:val="nil"/>
              <w:bottom w:val="single" w:sz="4" w:space="0" w:color="auto"/>
              <w:right w:val="single" w:sz="4" w:space="0" w:color="auto"/>
            </w:tcBorders>
            <w:shd w:val="clear" w:color="auto" w:fill="C6EFCE"/>
            <w:noWrap/>
          </w:tcPr>
          <w:p w14:paraId="71EE1B17" w14:textId="77777777" w:rsidR="00553430" w:rsidRDefault="00212577">
            <w:pPr>
              <w:pStyle w:val="P68B1DB1-Normal66"/>
              <w:spacing w:after="200" w:line="276" w:lineRule="auto"/>
              <w:jc w:val="center"/>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56922A07" w14:textId="77777777" w:rsidR="00553430" w:rsidRDefault="00212577">
            <w:pPr>
              <w:pStyle w:val="P68B1DB1-Normal66"/>
              <w:spacing w:after="200" w:line="276" w:lineRule="auto"/>
              <w:jc w:val="center"/>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4063454E" w14:textId="77777777" w:rsidR="00553430" w:rsidRDefault="00212577">
            <w:pPr>
              <w:pStyle w:val="P68B1DB1-Normal66"/>
              <w:spacing w:after="200" w:line="276" w:lineRule="auto"/>
              <w:jc w:val="center"/>
              <w:rPr>
                <w:noProof/>
              </w:rPr>
            </w:pPr>
            <w:r>
              <w:rPr>
                <w:noProof/>
              </w:rPr>
              <w:t>T4</w:t>
            </w:r>
          </w:p>
        </w:tc>
        <w:tc>
          <w:tcPr>
            <w:tcW w:w="851" w:type="dxa"/>
            <w:tcBorders>
              <w:top w:val="nil"/>
              <w:left w:val="nil"/>
              <w:bottom w:val="single" w:sz="4" w:space="0" w:color="auto"/>
              <w:right w:val="single" w:sz="4" w:space="0" w:color="auto"/>
            </w:tcBorders>
            <w:shd w:val="clear" w:color="auto" w:fill="C6EFCE"/>
            <w:noWrap/>
          </w:tcPr>
          <w:p w14:paraId="3B66975B" w14:textId="77777777" w:rsidR="00553430" w:rsidRDefault="00212577">
            <w:pPr>
              <w:pStyle w:val="P68B1DB1-Normal66"/>
              <w:spacing w:after="200" w:line="276" w:lineRule="auto"/>
              <w:jc w:val="center"/>
              <w:rPr>
                <w:noProof/>
              </w:rPr>
            </w:pPr>
            <w:r>
              <w:rPr>
                <w:noProof/>
              </w:rPr>
              <w:t>2022</w:t>
            </w:r>
          </w:p>
        </w:tc>
        <w:tc>
          <w:tcPr>
            <w:tcW w:w="3951" w:type="dxa"/>
            <w:tcBorders>
              <w:top w:val="nil"/>
              <w:left w:val="nil"/>
              <w:bottom w:val="single" w:sz="4" w:space="0" w:color="auto"/>
              <w:right w:val="single" w:sz="4" w:space="0" w:color="auto"/>
            </w:tcBorders>
            <w:shd w:val="clear" w:color="auto" w:fill="C6EFCE"/>
            <w:noWrap/>
          </w:tcPr>
          <w:p w14:paraId="69C9459D" w14:textId="77777777" w:rsidR="00553430" w:rsidRDefault="00212577">
            <w:pPr>
              <w:pStyle w:val="P68B1DB1-Normal66"/>
              <w:spacing w:after="200" w:line="276" w:lineRule="auto"/>
              <w:rPr>
                <w:noProof/>
              </w:rPr>
            </w:pPr>
            <w:r>
              <w:rPr>
                <w:noProof/>
              </w:rPr>
              <w:t>Le règlement relatif aux zones de services, le règlement relatif à l’évaluation des performances des opérateurs du secteur de l’eau, le règlement relatif à la méthode de détermination de</w:t>
            </w:r>
            <w:r>
              <w:rPr>
                <w:noProof/>
              </w:rPr>
              <w:t xml:space="preserve"> la tarification des services liés à l’utilisation de l’eau et le règlement relatif aux conditions spécifiques de fourniture de services liés à l’utilisation de l’eau sont modifiés afin de créer la condition juridique préalable à la consolidation des opéra</w:t>
            </w:r>
            <w:r>
              <w:rPr>
                <w:noProof/>
              </w:rPr>
              <w:t xml:space="preserve">teurs du secteur de l’eau. </w:t>
            </w:r>
            <w:r>
              <w:rPr>
                <w:noProof/>
              </w:rPr>
              <w:br/>
              <w:t>Le règlement relatif à l’évaluation des performances des exploitants du secteur de l’eau contient également la base juridique pour la création d’un système obligatoire d’étalonnage des performances des entreprises de services pu</w:t>
            </w:r>
            <w:r>
              <w:rPr>
                <w:noProof/>
              </w:rPr>
              <w:t xml:space="preserve">blics, mis à la disposition du public, ainsi que pour garantir qu’au moins les résumés des rapports annuels audités des entreprises de services publics soient mis à la disposition du public. </w:t>
            </w:r>
          </w:p>
        </w:tc>
      </w:tr>
      <w:tr w:rsidR="00553430" w14:paraId="690C5A47" w14:textId="77777777" w:rsidTr="00E0330C">
        <w:trPr>
          <w:jc w:val="center"/>
        </w:trPr>
        <w:tc>
          <w:tcPr>
            <w:tcW w:w="835" w:type="dxa"/>
            <w:tcBorders>
              <w:top w:val="nil"/>
              <w:left w:val="single" w:sz="4" w:space="0" w:color="auto"/>
              <w:bottom w:val="single" w:sz="4" w:space="0" w:color="auto"/>
              <w:right w:val="single" w:sz="4" w:space="0" w:color="auto"/>
            </w:tcBorders>
            <w:shd w:val="clear" w:color="auto" w:fill="C6EFCE"/>
            <w:noWrap/>
          </w:tcPr>
          <w:p w14:paraId="024C7124" w14:textId="77777777" w:rsidR="00553430" w:rsidRDefault="00212577">
            <w:pPr>
              <w:pStyle w:val="P68B1DB1-Normal66"/>
              <w:spacing w:after="200" w:line="276" w:lineRule="auto"/>
              <w:jc w:val="center"/>
              <w:rPr>
                <w:noProof/>
              </w:rPr>
            </w:pPr>
            <w:r>
              <w:rPr>
                <w:noProof/>
              </w:rPr>
              <w:t>61</w:t>
            </w:r>
          </w:p>
        </w:tc>
        <w:tc>
          <w:tcPr>
            <w:tcW w:w="1080" w:type="dxa"/>
            <w:tcBorders>
              <w:top w:val="nil"/>
              <w:left w:val="nil"/>
              <w:bottom w:val="single" w:sz="4" w:space="0" w:color="auto"/>
              <w:right w:val="single" w:sz="4" w:space="0" w:color="auto"/>
            </w:tcBorders>
            <w:shd w:val="clear" w:color="auto" w:fill="C6EFCE"/>
            <w:noWrap/>
          </w:tcPr>
          <w:p w14:paraId="499D319E" w14:textId="77777777" w:rsidR="00553430" w:rsidRDefault="00212577">
            <w:pPr>
              <w:pStyle w:val="P68B1DB1-Normal66"/>
              <w:spacing w:after="200" w:line="276" w:lineRule="auto"/>
              <w:jc w:val="center"/>
              <w:rPr>
                <w:noProof/>
              </w:rPr>
            </w:pPr>
            <w:r>
              <w:rPr>
                <w:noProof/>
              </w:rPr>
              <w:t>C1.3. R1</w:t>
            </w:r>
          </w:p>
        </w:tc>
        <w:tc>
          <w:tcPr>
            <w:tcW w:w="1080" w:type="dxa"/>
            <w:tcBorders>
              <w:top w:val="nil"/>
              <w:left w:val="nil"/>
              <w:bottom w:val="single" w:sz="4" w:space="0" w:color="auto"/>
              <w:right w:val="single" w:sz="4" w:space="0" w:color="auto"/>
            </w:tcBorders>
            <w:shd w:val="clear" w:color="auto" w:fill="C6EFCE"/>
            <w:noWrap/>
          </w:tcPr>
          <w:p w14:paraId="2E855571" w14:textId="77777777" w:rsidR="00553430" w:rsidRDefault="00212577">
            <w:pPr>
              <w:pStyle w:val="P68B1DB1-Normal66"/>
              <w:spacing w:after="200" w:line="276" w:lineRule="auto"/>
              <w:jc w:val="center"/>
              <w:rPr>
                <w:noProof/>
              </w:rPr>
            </w:pPr>
            <w:r>
              <w:rPr>
                <w:noProof/>
              </w:rPr>
              <w:t>T</w:t>
            </w:r>
          </w:p>
        </w:tc>
        <w:tc>
          <w:tcPr>
            <w:tcW w:w="1920" w:type="dxa"/>
            <w:tcBorders>
              <w:top w:val="nil"/>
              <w:left w:val="nil"/>
              <w:bottom w:val="single" w:sz="4" w:space="0" w:color="auto"/>
              <w:right w:val="single" w:sz="4" w:space="0" w:color="auto"/>
            </w:tcBorders>
            <w:shd w:val="clear" w:color="auto" w:fill="C6EFCE"/>
            <w:noWrap/>
          </w:tcPr>
          <w:p w14:paraId="4C2B8EC4" w14:textId="35C53FDF" w:rsidR="00553430" w:rsidRDefault="00212577">
            <w:pPr>
              <w:pStyle w:val="P68B1DB1-Normal66"/>
              <w:spacing w:after="200" w:line="276" w:lineRule="auto"/>
              <w:rPr>
                <w:noProof/>
              </w:rPr>
            </w:pPr>
            <w:r>
              <w:rPr>
                <w:noProof/>
              </w:rPr>
              <w:t xml:space="preserve">Intégration des prestataires de services d'eau </w:t>
            </w:r>
          </w:p>
        </w:tc>
        <w:tc>
          <w:tcPr>
            <w:tcW w:w="1884" w:type="dxa"/>
            <w:tcBorders>
              <w:top w:val="nil"/>
              <w:left w:val="nil"/>
              <w:bottom w:val="single" w:sz="4" w:space="0" w:color="auto"/>
              <w:right w:val="single" w:sz="4" w:space="0" w:color="auto"/>
            </w:tcBorders>
            <w:shd w:val="clear" w:color="auto" w:fill="C6EFCE"/>
            <w:noWrap/>
          </w:tcPr>
          <w:p w14:paraId="3E10D051" w14:textId="77777777" w:rsidR="00553430" w:rsidRDefault="00212577">
            <w:pPr>
              <w:pStyle w:val="P68B1DB1-Normal66"/>
              <w:spacing w:after="200" w:line="276" w:lineRule="auto"/>
              <w:rPr>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26148879" w14:textId="77777777" w:rsidR="00553430" w:rsidRDefault="00212577">
            <w:pPr>
              <w:pStyle w:val="P68B1DB1-Normal66"/>
              <w:spacing w:after="200" w:line="276" w:lineRule="auto"/>
              <w:jc w:val="center"/>
              <w:rPr>
                <w:noProof/>
              </w:rPr>
            </w:pPr>
            <w:r>
              <w:rPr>
                <w:noProof/>
              </w:rPr>
              <w:t>Numéro</w:t>
            </w:r>
          </w:p>
        </w:tc>
        <w:tc>
          <w:tcPr>
            <w:tcW w:w="1011" w:type="dxa"/>
            <w:tcBorders>
              <w:top w:val="nil"/>
              <w:left w:val="nil"/>
              <w:bottom w:val="single" w:sz="4" w:space="0" w:color="auto"/>
              <w:right w:val="single" w:sz="4" w:space="0" w:color="auto"/>
            </w:tcBorders>
            <w:shd w:val="clear" w:color="auto" w:fill="C6EFCE"/>
            <w:noWrap/>
          </w:tcPr>
          <w:p w14:paraId="7CC443A6" w14:textId="77777777" w:rsidR="00553430" w:rsidRDefault="00212577">
            <w:pPr>
              <w:pStyle w:val="P68B1DB1-Normal66"/>
              <w:spacing w:after="200" w:line="276" w:lineRule="auto"/>
              <w:jc w:val="center"/>
              <w:rPr>
                <w:noProof/>
              </w:rPr>
            </w:pPr>
            <w:r>
              <w:rPr>
                <w:noProof/>
              </w:rPr>
              <w:t>200</w:t>
            </w:r>
          </w:p>
        </w:tc>
        <w:tc>
          <w:tcPr>
            <w:tcW w:w="992" w:type="dxa"/>
            <w:tcBorders>
              <w:top w:val="nil"/>
              <w:left w:val="nil"/>
              <w:bottom w:val="single" w:sz="4" w:space="0" w:color="auto"/>
              <w:right w:val="single" w:sz="4" w:space="0" w:color="auto"/>
            </w:tcBorders>
            <w:shd w:val="clear" w:color="auto" w:fill="C6EFCE"/>
            <w:noWrap/>
          </w:tcPr>
          <w:p w14:paraId="10643244" w14:textId="77777777" w:rsidR="00553430" w:rsidRDefault="00212577">
            <w:pPr>
              <w:pStyle w:val="P68B1DB1-Normal66"/>
              <w:spacing w:after="200" w:line="276" w:lineRule="auto"/>
              <w:jc w:val="center"/>
              <w:rPr>
                <w:noProof/>
              </w:rPr>
            </w:pPr>
            <w:r>
              <w:rPr>
                <w:noProof/>
              </w:rPr>
              <w:t>40</w:t>
            </w:r>
          </w:p>
        </w:tc>
        <w:tc>
          <w:tcPr>
            <w:tcW w:w="992" w:type="dxa"/>
            <w:tcBorders>
              <w:top w:val="nil"/>
              <w:left w:val="nil"/>
              <w:bottom w:val="single" w:sz="4" w:space="0" w:color="auto"/>
              <w:right w:val="single" w:sz="4" w:space="0" w:color="auto"/>
            </w:tcBorders>
            <w:shd w:val="clear" w:color="auto" w:fill="C6EFCE"/>
            <w:noWrap/>
          </w:tcPr>
          <w:p w14:paraId="6EE91106" w14:textId="77777777" w:rsidR="00553430" w:rsidRDefault="00212577">
            <w:pPr>
              <w:pStyle w:val="P68B1DB1-Normal66"/>
              <w:spacing w:after="200" w:line="276" w:lineRule="auto"/>
              <w:jc w:val="center"/>
              <w:rPr>
                <w:noProof/>
              </w:rPr>
            </w:pPr>
            <w:r>
              <w:rPr>
                <w:noProof/>
              </w:rPr>
              <w:t>T4</w:t>
            </w:r>
          </w:p>
        </w:tc>
        <w:tc>
          <w:tcPr>
            <w:tcW w:w="851" w:type="dxa"/>
            <w:tcBorders>
              <w:top w:val="nil"/>
              <w:left w:val="nil"/>
              <w:bottom w:val="single" w:sz="4" w:space="0" w:color="auto"/>
              <w:right w:val="single" w:sz="4" w:space="0" w:color="auto"/>
            </w:tcBorders>
            <w:shd w:val="clear" w:color="auto" w:fill="C6EFCE"/>
            <w:noWrap/>
          </w:tcPr>
          <w:p w14:paraId="7E3F0777" w14:textId="77777777" w:rsidR="00553430" w:rsidRDefault="00212577">
            <w:pPr>
              <w:pStyle w:val="P68B1DB1-Normal66"/>
              <w:spacing w:after="200" w:line="276" w:lineRule="auto"/>
              <w:jc w:val="center"/>
              <w:rPr>
                <w:noProof/>
              </w:rPr>
            </w:pPr>
            <w:r>
              <w:rPr>
                <w:noProof/>
              </w:rPr>
              <w:t>2024</w:t>
            </w:r>
          </w:p>
        </w:tc>
        <w:tc>
          <w:tcPr>
            <w:tcW w:w="3951" w:type="dxa"/>
            <w:tcBorders>
              <w:top w:val="nil"/>
              <w:left w:val="nil"/>
              <w:bottom w:val="single" w:sz="4" w:space="0" w:color="auto"/>
              <w:right w:val="single" w:sz="4" w:space="0" w:color="auto"/>
            </w:tcBorders>
            <w:shd w:val="clear" w:color="auto" w:fill="C6EFCE"/>
            <w:noWrap/>
          </w:tcPr>
          <w:p w14:paraId="530E5CD6" w14:textId="77777777" w:rsidR="00553430" w:rsidRDefault="00212577">
            <w:pPr>
              <w:pStyle w:val="P68B1DB1-Normal66"/>
              <w:spacing w:after="200" w:line="276" w:lineRule="auto"/>
              <w:rPr>
                <w:noProof/>
              </w:rPr>
            </w:pPr>
            <w:r>
              <w:rPr>
                <w:noProof/>
              </w:rPr>
              <w:t>Intégration des 200 fournisseurs publics existants en 40, selon le principe d'un fournisseur d'eau par zone de service.</w:t>
            </w:r>
          </w:p>
        </w:tc>
      </w:tr>
      <w:tr w:rsidR="00553430" w14:paraId="4452373A"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9F03C26" w14:textId="77777777" w:rsidR="00553430" w:rsidRDefault="00212577">
            <w:pPr>
              <w:pStyle w:val="P68B1DB1-Normal66"/>
              <w:spacing w:after="200" w:line="276" w:lineRule="auto"/>
              <w:jc w:val="center"/>
              <w:rPr>
                <w:noProof/>
              </w:rPr>
            </w:pPr>
            <w:r>
              <w:rPr>
                <w:noProof/>
              </w:rPr>
              <w:t>63</w:t>
            </w:r>
          </w:p>
        </w:tc>
        <w:tc>
          <w:tcPr>
            <w:tcW w:w="1080" w:type="dxa"/>
            <w:tcBorders>
              <w:top w:val="single" w:sz="4" w:space="0" w:color="auto"/>
              <w:left w:val="nil"/>
              <w:bottom w:val="single" w:sz="4" w:space="0" w:color="auto"/>
              <w:right w:val="single" w:sz="4" w:space="0" w:color="auto"/>
            </w:tcBorders>
            <w:shd w:val="clear" w:color="auto" w:fill="C6EFCE"/>
            <w:noWrap/>
          </w:tcPr>
          <w:p w14:paraId="304035ED" w14:textId="77777777" w:rsidR="00553430" w:rsidRDefault="00212577">
            <w:pPr>
              <w:pStyle w:val="P68B1DB1-Normal66"/>
              <w:spacing w:after="200" w:line="276" w:lineRule="auto"/>
              <w:jc w:val="center"/>
              <w:rPr>
                <w:noProof/>
              </w:rPr>
            </w:pPr>
            <w:r>
              <w:rPr>
                <w:noProof/>
              </w:rPr>
              <w:t>C1.3. R1-I1</w:t>
            </w:r>
          </w:p>
        </w:tc>
        <w:tc>
          <w:tcPr>
            <w:tcW w:w="1080" w:type="dxa"/>
            <w:tcBorders>
              <w:top w:val="single" w:sz="4" w:space="0" w:color="auto"/>
              <w:left w:val="nil"/>
              <w:bottom w:val="single" w:sz="4" w:space="0" w:color="auto"/>
              <w:right w:val="single" w:sz="4" w:space="0" w:color="auto"/>
            </w:tcBorders>
            <w:shd w:val="clear" w:color="auto" w:fill="C6EFCE"/>
            <w:noWrap/>
          </w:tcPr>
          <w:p w14:paraId="2A61A0D0"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7E630B9F" w14:textId="77777777" w:rsidR="00553430" w:rsidRDefault="00212577">
            <w:pPr>
              <w:pStyle w:val="P68B1DB1-Normal66"/>
              <w:spacing w:after="200" w:line="276" w:lineRule="auto"/>
              <w:rPr>
                <w:noProof/>
              </w:rPr>
            </w:pPr>
            <w:r>
              <w:rPr>
                <w:noProof/>
              </w:rPr>
              <w:t xml:space="preserve">Réseau d'assainissement public construit ou reconstruit </w:t>
            </w:r>
          </w:p>
        </w:tc>
        <w:tc>
          <w:tcPr>
            <w:tcW w:w="1884" w:type="dxa"/>
            <w:tcBorders>
              <w:top w:val="single" w:sz="4" w:space="0" w:color="auto"/>
              <w:left w:val="nil"/>
              <w:bottom w:val="single" w:sz="4" w:space="0" w:color="auto"/>
              <w:right w:val="single" w:sz="4" w:space="0" w:color="auto"/>
            </w:tcBorders>
            <w:shd w:val="clear" w:color="auto" w:fill="C6EFCE"/>
            <w:noWrap/>
          </w:tcPr>
          <w:p w14:paraId="38C1DE94"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0084AB83"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7CB46899" w14:textId="77777777" w:rsidR="00553430" w:rsidRDefault="00212577">
            <w:pPr>
              <w:pStyle w:val="P68B1DB1-Normal66"/>
              <w:spacing w:after="20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301DB5A3" w14:textId="77777777" w:rsidR="00553430" w:rsidRDefault="00212577">
            <w:pPr>
              <w:pStyle w:val="P68B1DB1-Normal66"/>
              <w:spacing w:after="200" w:line="276" w:lineRule="auto"/>
              <w:jc w:val="center"/>
              <w:rPr>
                <w:noProof/>
              </w:rPr>
            </w:pPr>
            <w:r>
              <w:rPr>
                <w:noProof/>
              </w:rPr>
              <w:t>115</w:t>
            </w:r>
          </w:p>
        </w:tc>
        <w:tc>
          <w:tcPr>
            <w:tcW w:w="992" w:type="dxa"/>
            <w:tcBorders>
              <w:top w:val="single" w:sz="4" w:space="0" w:color="auto"/>
              <w:left w:val="nil"/>
              <w:bottom w:val="single" w:sz="4" w:space="0" w:color="auto"/>
              <w:right w:val="single" w:sz="4" w:space="0" w:color="auto"/>
            </w:tcBorders>
            <w:shd w:val="clear" w:color="auto" w:fill="C6EFCE"/>
            <w:noWrap/>
          </w:tcPr>
          <w:p w14:paraId="7ECDFD8F" w14:textId="77777777" w:rsidR="00553430" w:rsidRDefault="00212577">
            <w:pPr>
              <w:pStyle w:val="P68B1DB1-Normal66"/>
              <w:spacing w:after="200" w:line="276" w:lineRule="auto"/>
              <w:jc w:val="center"/>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3F8564DD" w14:textId="77777777" w:rsidR="00553430" w:rsidRDefault="00212577">
            <w:pPr>
              <w:pStyle w:val="P68B1DB1-Normal66"/>
              <w:spacing w:after="200" w:line="276" w:lineRule="auto"/>
              <w:jc w:val="center"/>
              <w:rPr>
                <w:noProof/>
              </w:rPr>
            </w:pPr>
            <w:r>
              <w:rPr>
                <w:noProof/>
              </w:rPr>
              <w:t>2022</w:t>
            </w:r>
          </w:p>
        </w:tc>
        <w:tc>
          <w:tcPr>
            <w:tcW w:w="3951" w:type="dxa"/>
            <w:tcBorders>
              <w:top w:val="single" w:sz="4" w:space="0" w:color="auto"/>
              <w:left w:val="nil"/>
              <w:bottom w:val="single" w:sz="4" w:space="0" w:color="auto"/>
              <w:right w:val="single" w:sz="4" w:space="0" w:color="auto"/>
            </w:tcBorders>
            <w:shd w:val="clear" w:color="auto" w:fill="C6EFCE"/>
            <w:noWrap/>
          </w:tcPr>
          <w:p w14:paraId="7B7B4D52" w14:textId="77777777" w:rsidR="00553430" w:rsidRDefault="00212577">
            <w:pPr>
              <w:pStyle w:val="P68B1DB1-Normal66"/>
              <w:spacing w:after="200" w:line="276" w:lineRule="auto"/>
              <w:rPr>
                <w:noProof/>
              </w:rPr>
            </w:pPr>
            <w:r>
              <w:rPr>
                <w:noProof/>
              </w:rPr>
              <w:t xml:space="preserve">Construction ou reconstruction d’au moins 115 km de réseau public d’assainissement (drainage) </w:t>
            </w:r>
            <w:r>
              <w:rPr>
                <w:noProof/>
              </w:rPr>
              <w:br/>
              <w:t xml:space="preserve">L’investissement garantit le respect de la directive relative au traitement des eaux urbaines résiduaires dans les domaines concernés, conformément au programme </w:t>
            </w:r>
            <w:r>
              <w:rPr>
                <w:noProof/>
              </w:rPr>
              <w:t>pluriannuel pour la construction de systèmes de traitement des eaux et des eaux usées.</w:t>
            </w:r>
          </w:p>
        </w:tc>
      </w:tr>
      <w:tr w:rsidR="00553430" w14:paraId="54B1F2E8"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11D9067" w14:textId="77777777" w:rsidR="00553430" w:rsidRDefault="00212577">
            <w:pPr>
              <w:pStyle w:val="P68B1DB1-Normal66"/>
              <w:spacing w:after="200" w:line="276" w:lineRule="auto"/>
              <w:jc w:val="center"/>
              <w:rPr>
                <w:noProof/>
              </w:rPr>
            </w:pPr>
            <w:r>
              <w:rPr>
                <w:noProof/>
              </w:rPr>
              <w:t>64</w:t>
            </w:r>
          </w:p>
        </w:tc>
        <w:tc>
          <w:tcPr>
            <w:tcW w:w="1080" w:type="dxa"/>
            <w:tcBorders>
              <w:top w:val="single" w:sz="4" w:space="0" w:color="auto"/>
              <w:left w:val="nil"/>
              <w:bottom w:val="single" w:sz="4" w:space="0" w:color="auto"/>
              <w:right w:val="single" w:sz="4" w:space="0" w:color="auto"/>
            </w:tcBorders>
            <w:shd w:val="clear" w:color="auto" w:fill="C6EFCE"/>
            <w:noWrap/>
          </w:tcPr>
          <w:p w14:paraId="06397B37" w14:textId="77777777" w:rsidR="00553430" w:rsidRDefault="00212577">
            <w:pPr>
              <w:pStyle w:val="P68B1DB1-Normal66"/>
              <w:spacing w:after="200" w:line="276" w:lineRule="auto"/>
              <w:jc w:val="center"/>
              <w:rPr>
                <w:noProof/>
              </w:rPr>
            </w:pPr>
            <w:r>
              <w:rPr>
                <w:noProof/>
              </w:rPr>
              <w:t>C1.3. R1-I1</w:t>
            </w:r>
          </w:p>
        </w:tc>
        <w:tc>
          <w:tcPr>
            <w:tcW w:w="1080" w:type="dxa"/>
            <w:tcBorders>
              <w:top w:val="single" w:sz="4" w:space="0" w:color="auto"/>
              <w:left w:val="nil"/>
              <w:bottom w:val="single" w:sz="4" w:space="0" w:color="auto"/>
              <w:right w:val="single" w:sz="4" w:space="0" w:color="auto"/>
            </w:tcBorders>
            <w:shd w:val="clear" w:color="auto" w:fill="C6EFCE"/>
            <w:noWrap/>
          </w:tcPr>
          <w:p w14:paraId="66389E82"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2525BD8A" w14:textId="77777777" w:rsidR="00553430" w:rsidRDefault="00212577">
            <w:pPr>
              <w:pStyle w:val="P68B1DB1-Normal66"/>
              <w:spacing w:after="200" w:line="276" w:lineRule="auto"/>
              <w:rPr>
                <w:noProof/>
              </w:rPr>
            </w:pPr>
            <w:r>
              <w:rPr>
                <w:noProof/>
              </w:rPr>
              <w:t xml:space="preserve">Contrats de travaux conclus pour des projets d'infrastructures de traitement des eaux usées </w:t>
            </w:r>
          </w:p>
        </w:tc>
        <w:tc>
          <w:tcPr>
            <w:tcW w:w="1884" w:type="dxa"/>
            <w:tcBorders>
              <w:top w:val="single" w:sz="4" w:space="0" w:color="auto"/>
              <w:left w:val="nil"/>
              <w:bottom w:val="single" w:sz="4" w:space="0" w:color="auto"/>
              <w:right w:val="single" w:sz="4" w:space="0" w:color="auto"/>
            </w:tcBorders>
            <w:shd w:val="clear" w:color="auto" w:fill="C6EFCE"/>
            <w:noWrap/>
          </w:tcPr>
          <w:p w14:paraId="33E52895"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7952A09C"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71E8819F" w14:textId="77777777" w:rsidR="00553430" w:rsidRDefault="00212577">
            <w:pPr>
              <w:pStyle w:val="P68B1DB1-Normal66"/>
              <w:spacing w:after="20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7FC1A1D3" w14:textId="77777777" w:rsidR="00553430" w:rsidRDefault="00212577">
            <w:pPr>
              <w:pStyle w:val="P68B1DB1-Normal66"/>
              <w:spacing w:after="200" w:line="276" w:lineRule="auto"/>
              <w:jc w:val="center"/>
              <w:rPr>
                <w:noProof/>
              </w:rPr>
            </w:pPr>
            <w:r>
              <w:rPr>
                <w:noProof/>
              </w:rPr>
              <w:t>60</w:t>
            </w:r>
          </w:p>
        </w:tc>
        <w:tc>
          <w:tcPr>
            <w:tcW w:w="992" w:type="dxa"/>
            <w:tcBorders>
              <w:top w:val="single" w:sz="4" w:space="0" w:color="auto"/>
              <w:left w:val="nil"/>
              <w:bottom w:val="single" w:sz="4" w:space="0" w:color="auto"/>
              <w:right w:val="single" w:sz="4" w:space="0" w:color="auto"/>
            </w:tcBorders>
            <w:shd w:val="clear" w:color="auto" w:fill="C6EFCE"/>
            <w:noWrap/>
          </w:tcPr>
          <w:p w14:paraId="426A1F9A"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7C4B2BD6" w14:textId="77777777" w:rsidR="00553430" w:rsidRDefault="00212577">
            <w:pPr>
              <w:pStyle w:val="P68B1DB1-Normal66"/>
              <w:spacing w:after="200" w:line="276" w:lineRule="auto"/>
              <w:jc w:val="center"/>
              <w:rPr>
                <w:noProof/>
              </w:rPr>
            </w:pPr>
            <w:r>
              <w:rPr>
                <w:noProof/>
              </w:rPr>
              <w:t>2023</w:t>
            </w:r>
          </w:p>
        </w:tc>
        <w:tc>
          <w:tcPr>
            <w:tcW w:w="3951" w:type="dxa"/>
            <w:tcBorders>
              <w:top w:val="single" w:sz="4" w:space="0" w:color="auto"/>
              <w:left w:val="nil"/>
              <w:bottom w:val="single" w:sz="4" w:space="0" w:color="auto"/>
              <w:right w:val="single" w:sz="4" w:space="0" w:color="auto"/>
            </w:tcBorders>
            <w:shd w:val="clear" w:color="auto" w:fill="C6EFCE"/>
            <w:noWrap/>
          </w:tcPr>
          <w:p w14:paraId="6ADDA939" w14:textId="77777777" w:rsidR="00553430" w:rsidRDefault="00212577">
            <w:pPr>
              <w:pStyle w:val="P68B1DB1-Normal66"/>
              <w:spacing w:after="200" w:line="276" w:lineRule="auto"/>
              <w:rPr>
                <w:noProof/>
              </w:rPr>
            </w:pPr>
            <w:r>
              <w:rPr>
                <w:noProof/>
              </w:rPr>
              <w:t>Au moins 60 contrats de travaux sont signés pour des projets d’infrastructures de traitement des eaux usées liés à des contrats devant être attribués d’ici à la fin de 2023.</w:t>
            </w:r>
            <w:r>
              <w:rPr>
                <w:noProof/>
              </w:rPr>
              <w:br/>
              <w:t>L’évaluation des incidences sur l’environnement est effectuée conformément aux pro</w:t>
            </w:r>
            <w:r>
              <w:rPr>
                <w:noProof/>
              </w:rPr>
              <w:t>cédures d’autorisation au titre de l’EIE conformément à la directive 2011/92/UE et à l’examen préalable et/ou à l’évaluation appropriée conformément à l’article 6, paragraphe 3, de la directive «Habitats». La preuve doit être apportée que le projet n’a pas</w:t>
            </w:r>
            <w:r>
              <w:rPr>
                <w:noProof/>
              </w:rPr>
              <w:t xml:space="preserve"> d’effet significatif sur l’intégrité des sites Natura 2000 concernés.</w:t>
            </w:r>
          </w:p>
        </w:tc>
      </w:tr>
      <w:tr w:rsidR="00553430" w14:paraId="1CEFEDDF"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9C08A38" w14:textId="77777777" w:rsidR="00553430" w:rsidRDefault="00212577">
            <w:pPr>
              <w:pStyle w:val="P68B1DB1-Normal66"/>
              <w:spacing w:after="200" w:line="276" w:lineRule="auto"/>
              <w:jc w:val="center"/>
              <w:rPr>
                <w:noProof/>
              </w:rPr>
            </w:pPr>
            <w:r>
              <w:rPr>
                <w:noProof/>
              </w:rPr>
              <w:t>65</w:t>
            </w:r>
          </w:p>
        </w:tc>
        <w:tc>
          <w:tcPr>
            <w:tcW w:w="1080" w:type="dxa"/>
            <w:tcBorders>
              <w:top w:val="single" w:sz="4" w:space="0" w:color="auto"/>
              <w:left w:val="nil"/>
              <w:bottom w:val="single" w:sz="4" w:space="0" w:color="auto"/>
              <w:right w:val="single" w:sz="4" w:space="0" w:color="auto"/>
            </w:tcBorders>
            <w:shd w:val="clear" w:color="auto" w:fill="C6EFCE"/>
            <w:noWrap/>
          </w:tcPr>
          <w:p w14:paraId="7A835B4F" w14:textId="77777777" w:rsidR="00553430" w:rsidRDefault="00212577">
            <w:pPr>
              <w:pStyle w:val="P68B1DB1-Normal66"/>
              <w:spacing w:after="200" w:line="276" w:lineRule="auto"/>
              <w:jc w:val="center"/>
              <w:rPr>
                <w:noProof/>
              </w:rPr>
            </w:pPr>
            <w:r>
              <w:rPr>
                <w:noProof/>
              </w:rPr>
              <w:t>C1.3. R1-I1</w:t>
            </w:r>
          </w:p>
        </w:tc>
        <w:tc>
          <w:tcPr>
            <w:tcW w:w="1080" w:type="dxa"/>
            <w:tcBorders>
              <w:top w:val="single" w:sz="4" w:space="0" w:color="auto"/>
              <w:left w:val="nil"/>
              <w:bottom w:val="single" w:sz="4" w:space="0" w:color="auto"/>
              <w:right w:val="single" w:sz="4" w:space="0" w:color="auto"/>
            </w:tcBorders>
            <w:shd w:val="clear" w:color="auto" w:fill="C6EFCE"/>
            <w:noWrap/>
          </w:tcPr>
          <w:p w14:paraId="1C52E528"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332DE1F6" w14:textId="77777777" w:rsidR="00553430" w:rsidRDefault="00212577">
            <w:pPr>
              <w:pStyle w:val="P68B1DB1-Normal66"/>
              <w:spacing w:after="200" w:line="276" w:lineRule="auto"/>
              <w:rPr>
                <w:noProof/>
              </w:rPr>
            </w:pPr>
            <w:r>
              <w:rPr>
                <w:noProof/>
              </w:rPr>
              <w:t>Installations de traitement des eaux usées construites ou modernisées</w:t>
            </w:r>
          </w:p>
        </w:tc>
        <w:tc>
          <w:tcPr>
            <w:tcW w:w="1884" w:type="dxa"/>
            <w:tcBorders>
              <w:top w:val="single" w:sz="4" w:space="0" w:color="auto"/>
              <w:left w:val="nil"/>
              <w:bottom w:val="single" w:sz="4" w:space="0" w:color="auto"/>
              <w:right w:val="single" w:sz="4" w:space="0" w:color="auto"/>
            </w:tcBorders>
            <w:shd w:val="clear" w:color="auto" w:fill="C6EFCE"/>
            <w:noWrap/>
          </w:tcPr>
          <w:p w14:paraId="02425737"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461878FA"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33E5D7CE" w14:textId="77777777" w:rsidR="00553430" w:rsidRDefault="00212577">
            <w:pPr>
              <w:pStyle w:val="P68B1DB1-Normal66"/>
              <w:spacing w:after="20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1394C12C" w14:textId="77777777" w:rsidR="00553430" w:rsidRDefault="00212577">
            <w:pPr>
              <w:pStyle w:val="P68B1DB1-Normal66"/>
              <w:spacing w:after="200" w:line="276" w:lineRule="auto"/>
              <w:jc w:val="center"/>
              <w:rPr>
                <w:noProof/>
              </w:rPr>
            </w:pPr>
            <w:r>
              <w:rPr>
                <w:noProof/>
              </w:rPr>
              <w:t>12</w:t>
            </w:r>
          </w:p>
        </w:tc>
        <w:tc>
          <w:tcPr>
            <w:tcW w:w="992" w:type="dxa"/>
            <w:tcBorders>
              <w:top w:val="single" w:sz="4" w:space="0" w:color="auto"/>
              <w:left w:val="nil"/>
              <w:bottom w:val="single" w:sz="4" w:space="0" w:color="auto"/>
              <w:right w:val="single" w:sz="4" w:space="0" w:color="auto"/>
            </w:tcBorders>
            <w:shd w:val="clear" w:color="auto" w:fill="C6EFCE"/>
            <w:noWrap/>
          </w:tcPr>
          <w:p w14:paraId="4CC36576"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7F184DB5" w14:textId="77777777" w:rsidR="00553430" w:rsidRDefault="00212577">
            <w:pPr>
              <w:pStyle w:val="P68B1DB1-Normal66"/>
              <w:spacing w:after="200" w:line="276" w:lineRule="auto"/>
              <w:jc w:val="center"/>
              <w:rPr>
                <w:noProof/>
              </w:rPr>
            </w:pPr>
            <w:r>
              <w:rPr>
                <w:noProof/>
              </w:rPr>
              <w:t>2025</w:t>
            </w:r>
          </w:p>
        </w:tc>
        <w:tc>
          <w:tcPr>
            <w:tcW w:w="3951" w:type="dxa"/>
            <w:tcBorders>
              <w:top w:val="single" w:sz="4" w:space="0" w:color="auto"/>
              <w:left w:val="nil"/>
              <w:bottom w:val="single" w:sz="4" w:space="0" w:color="auto"/>
              <w:right w:val="single" w:sz="4" w:space="0" w:color="auto"/>
            </w:tcBorders>
            <w:shd w:val="clear" w:color="auto" w:fill="C6EFCE"/>
            <w:noWrap/>
          </w:tcPr>
          <w:p w14:paraId="626A23E5" w14:textId="77777777" w:rsidR="00553430" w:rsidRDefault="00212577">
            <w:pPr>
              <w:pStyle w:val="P68B1DB1-Normal66"/>
              <w:spacing w:after="200" w:line="276" w:lineRule="auto"/>
              <w:rPr>
                <w:noProof/>
              </w:rPr>
            </w:pPr>
            <w:r>
              <w:rPr>
                <w:noProof/>
              </w:rPr>
              <w:t xml:space="preserve">Au moins 12 stations d’épuration des eaux usées doivent être modernisées ou construites. </w:t>
            </w:r>
          </w:p>
        </w:tc>
      </w:tr>
      <w:tr w:rsidR="00553430" w14:paraId="5FCEA76A"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3B854A25" w14:textId="77777777" w:rsidR="00553430" w:rsidRDefault="00212577">
            <w:pPr>
              <w:pStyle w:val="P68B1DB1-Normal66"/>
              <w:spacing w:after="200" w:line="276" w:lineRule="auto"/>
              <w:jc w:val="center"/>
              <w:rPr>
                <w:noProof/>
              </w:rPr>
            </w:pPr>
            <w:r>
              <w:rPr>
                <w:noProof/>
              </w:rPr>
              <w:t>66</w:t>
            </w:r>
          </w:p>
        </w:tc>
        <w:tc>
          <w:tcPr>
            <w:tcW w:w="1080" w:type="dxa"/>
            <w:tcBorders>
              <w:top w:val="single" w:sz="4" w:space="0" w:color="auto"/>
              <w:left w:val="nil"/>
              <w:bottom w:val="single" w:sz="4" w:space="0" w:color="auto"/>
              <w:right w:val="single" w:sz="4" w:space="0" w:color="auto"/>
            </w:tcBorders>
            <w:shd w:val="clear" w:color="auto" w:fill="C6EFCE"/>
            <w:noWrap/>
          </w:tcPr>
          <w:p w14:paraId="037A47E2" w14:textId="77777777" w:rsidR="00553430" w:rsidRDefault="00212577">
            <w:pPr>
              <w:pStyle w:val="P68B1DB1-Normal66"/>
              <w:spacing w:after="200" w:line="276" w:lineRule="auto"/>
              <w:jc w:val="center"/>
              <w:rPr>
                <w:noProof/>
              </w:rPr>
            </w:pPr>
            <w:r>
              <w:rPr>
                <w:noProof/>
              </w:rPr>
              <w:t>C1.3. R1-I1</w:t>
            </w:r>
          </w:p>
        </w:tc>
        <w:tc>
          <w:tcPr>
            <w:tcW w:w="1080" w:type="dxa"/>
            <w:tcBorders>
              <w:top w:val="single" w:sz="4" w:space="0" w:color="auto"/>
              <w:left w:val="nil"/>
              <w:bottom w:val="single" w:sz="4" w:space="0" w:color="auto"/>
              <w:right w:val="single" w:sz="4" w:space="0" w:color="auto"/>
            </w:tcBorders>
            <w:shd w:val="clear" w:color="auto" w:fill="C6EFCE"/>
            <w:noWrap/>
          </w:tcPr>
          <w:p w14:paraId="052465CC"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6061FB87" w14:textId="77777777" w:rsidR="00553430" w:rsidRDefault="00212577">
            <w:pPr>
              <w:pStyle w:val="P68B1DB1-Normal66"/>
              <w:spacing w:after="200" w:line="276" w:lineRule="auto"/>
              <w:rPr>
                <w:noProof/>
              </w:rPr>
            </w:pPr>
            <w:r>
              <w:rPr>
                <w:noProof/>
              </w:rPr>
              <w:t xml:space="preserve">Construction ou reconstruction d'un réseau public d'égouts </w:t>
            </w:r>
          </w:p>
        </w:tc>
        <w:tc>
          <w:tcPr>
            <w:tcW w:w="1884" w:type="dxa"/>
            <w:tcBorders>
              <w:top w:val="single" w:sz="4" w:space="0" w:color="auto"/>
              <w:left w:val="nil"/>
              <w:bottom w:val="single" w:sz="4" w:space="0" w:color="auto"/>
              <w:right w:val="single" w:sz="4" w:space="0" w:color="auto"/>
            </w:tcBorders>
            <w:shd w:val="clear" w:color="auto" w:fill="C6EFCE"/>
            <w:noWrap/>
          </w:tcPr>
          <w:p w14:paraId="29FB61A1"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2BDD336F"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600AE9E9" w14:textId="2AF3B730" w:rsidR="00553430" w:rsidRDefault="00212577">
            <w:pPr>
              <w:pStyle w:val="P68B1DB1-Normal66"/>
              <w:spacing w:after="200" w:line="276" w:lineRule="auto"/>
              <w:jc w:val="center"/>
              <w:rPr>
                <w:noProof/>
              </w:rPr>
            </w:pPr>
            <w:r>
              <w:rPr>
                <w:noProof/>
              </w:rPr>
              <w:t>115</w:t>
            </w:r>
          </w:p>
        </w:tc>
        <w:tc>
          <w:tcPr>
            <w:tcW w:w="992" w:type="dxa"/>
            <w:tcBorders>
              <w:top w:val="single" w:sz="4" w:space="0" w:color="auto"/>
              <w:left w:val="nil"/>
              <w:bottom w:val="single" w:sz="4" w:space="0" w:color="auto"/>
              <w:right w:val="single" w:sz="4" w:space="0" w:color="auto"/>
            </w:tcBorders>
            <w:shd w:val="clear" w:color="auto" w:fill="C6EFCE"/>
            <w:noWrap/>
          </w:tcPr>
          <w:p w14:paraId="1DBC7F84" w14:textId="77777777" w:rsidR="00553430" w:rsidRDefault="00212577">
            <w:pPr>
              <w:pStyle w:val="P68B1DB1-Normal66"/>
              <w:spacing w:after="200" w:line="276" w:lineRule="auto"/>
              <w:jc w:val="center"/>
              <w:rPr>
                <w:noProof/>
              </w:rPr>
            </w:pPr>
            <w:r>
              <w:rPr>
                <w:noProof/>
              </w:rPr>
              <w:t>807</w:t>
            </w:r>
          </w:p>
        </w:tc>
        <w:tc>
          <w:tcPr>
            <w:tcW w:w="992" w:type="dxa"/>
            <w:tcBorders>
              <w:top w:val="single" w:sz="4" w:space="0" w:color="auto"/>
              <w:left w:val="nil"/>
              <w:bottom w:val="single" w:sz="4" w:space="0" w:color="auto"/>
              <w:right w:val="single" w:sz="4" w:space="0" w:color="auto"/>
            </w:tcBorders>
            <w:shd w:val="clear" w:color="auto" w:fill="C6EFCE"/>
            <w:noWrap/>
          </w:tcPr>
          <w:p w14:paraId="6374A5B2"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0D058717" w14:textId="77777777" w:rsidR="00553430" w:rsidRDefault="00212577">
            <w:pPr>
              <w:pStyle w:val="P68B1DB1-Normal66"/>
              <w:spacing w:after="200" w:line="276" w:lineRule="auto"/>
              <w:jc w:val="center"/>
              <w:rPr>
                <w:noProof/>
              </w:rPr>
            </w:pPr>
            <w:r>
              <w:rPr>
                <w:noProof/>
              </w:rPr>
              <w:t>2025</w:t>
            </w:r>
          </w:p>
        </w:tc>
        <w:tc>
          <w:tcPr>
            <w:tcW w:w="3951" w:type="dxa"/>
            <w:tcBorders>
              <w:top w:val="single" w:sz="4" w:space="0" w:color="auto"/>
              <w:left w:val="nil"/>
              <w:bottom w:val="single" w:sz="4" w:space="0" w:color="auto"/>
              <w:right w:val="single" w:sz="4" w:space="0" w:color="auto"/>
            </w:tcBorders>
            <w:shd w:val="clear" w:color="auto" w:fill="C6EFCE"/>
            <w:noWrap/>
          </w:tcPr>
          <w:p w14:paraId="281C46A3" w14:textId="62C782D4" w:rsidR="00553430" w:rsidRDefault="00212577">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 xml:space="preserve">Construction ou reconstruction d'au moins 692 km de réseau </w:t>
            </w:r>
            <w:r>
              <w:rPr>
                <w:rFonts w:ascii="Times New Roman" w:eastAsia="Calibri" w:hAnsi="Times New Roman" w:cs="Times New Roman"/>
                <w:noProof/>
                <w:color w:val="000000" w:themeColor="text1"/>
              </w:rPr>
              <w:t>public d'égouts (drainage)</w:t>
            </w:r>
            <w:r>
              <w:rPr>
                <w:rFonts w:ascii="Times New Roman" w:hAnsi="Times New Roman" w:cs="Times New Roman"/>
                <w:noProof/>
              </w:rPr>
              <w:br/>
            </w:r>
          </w:p>
        </w:tc>
      </w:tr>
      <w:tr w:rsidR="00553430" w14:paraId="748AD4CB"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5F9834C" w14:textId="77777777" w:rsidR="00553430" w:rsidRDefault="00212577">
            <w:pPr>
              <w:pStyle w:val="P68B1DB1-Normal66"/>
              <w:spacing w:after="200" w:line="276" w:lineRule="auto"/>
              <w:jc w:val="center"/>
              <w:rPr>
                <w:noProof/>
              </w:rPr>
            </w:pPr>
            <w:r>
              <w:rPr>
                <w:noProof/>
              </w:rPr>
              <w:t>68</w:t>
            </w:r>
          </w:p>
        </w:tc>
        <w:tc>
          <w:tcPr>
            <w:tcW w:w="1080" w:type="dxa"/>
            <w:tcBorders>
              <w:top w:val="single" w:sz="4" w:space="0" w:color="auto"/>
              <w:left w:val="nil"/>
              <w:bottom w:val="single" w:sz="4" w:space="0" w:color="auto"/>
              <w:right w:val="single" w:sz="4" w:space="0" w:color="auto"/>
            </w:tcBorders>
            <w:shd w:val="clear" w:color="auto" w:fill="C6EFCE"/>
            <w:noWrap/>
          </w:tcPr>
          <w:p w14:paraId="202EC2C5" w14:textId="77777777" w:rsidR="00553430" w:rsidRDefault="00212577">
            <w:pPr>
              <w:pStyle w:val="P68B1DB1-Normal66"/>
              <w:spacing w:after="200" w:line="276" w:lineRule="auto"/>
              <w:jc w:val="center"/>
              <w:rPr>
                <w:noProof/>
              </w:rPr>
            </w:pPr>
            <w:r>
              <w:rPr>
                <w:noProof/>
              </w:rPr>
              <w:t>C1.3. R1-I2</w:t>
            </w:r>
          </w:p>
        </w:tc>
        <w:tc>
          <w:tcPr>
            <w:tcW w:w="1080" w:type="dxa"/>
            <w:tcBorders>
              <w:top w:val="single" w:sz="4" w:space="0" w:color="auto"/>
              <w:left w:val="nil"/>
              <w:bottom w:val="single" w:sz="4" w:space="0" w:color="auto"/>
              <w:right w:val="single" w:sz="4" w:space="0" w:color="auto"/>
            </w:tcBorders>
            <w:shd w:val="clear" w:color="auto" w:fill="C6EFCE"/>
            <w:noWrap/>
          </w:tcPr>
          <w:p w14:paraId="3CF2AFF8"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4555A3F8" w14:textId="77777777" w:rsidR="00553430" w:rsidRDefault="00212577">
            <w:pPr>
              <w:pStyle w:val="P68B1DB1-Normal66"/>
              <w:spacing w:after="200" w:line="276" w:lineRule="auto"/>
              <w:rPr>
                <w:noProof/>
              </w:rPr>
            </w:pPr>
            <w:r>
              <w:rPr>
                <w:noProof/>
              </w:rPr>
              <w:t xml:space="preserve">Construction ou reconstruction d'un réseau public d'approvisionnement en eau </w:t>
            </w:r>
          </w:p>
        </w:tc>
        <w:tc>
          <w:tcPr>
            <w:tcW w:w="1884" w:type="dxa"/>
            <w:tcBorders>
              <w:top w:val="single" w:sz="4" w:space="0" w:color="auto"/>
              <w:left w:val="nil"/>
              <w:bottom w:val="single" w:sz="4" w:space="0" w:color="auto"/>
              <w:right w:val="single" w:sz="4" w:space="0" w:color="auto"/>
            </w:tcBorders>
            <w:shd w:val="clear" w:color="auto" w:fill="C6EFCE"/>
            <w:noWrap/>
          </w:tcPr>
          <w:p w14:paraId="018049FF"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31A37A81"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679F698C" w14:textId="77777777" w:rsidR="00553430" w:rsidRDefault="00212577">
            <w:pPr>
              <w:pStyle w:val="P68B1DB1-Normal66"/>
              <w:spacing w:after="20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69A11E86" w14:textId="77777777" w:rsidR="00553430" w:rsidRDefault="00212577">
            <w:pPr>
              <w:pStyle w:val="P68B1DB1-Normal66"/>
              <w:spacing w:after="200" w:line="276" w:lineRule="auto"/>
              <w:jc w:val="center"/>
              <w:rPr>
                <w:noProof/>
              </w:rPr>
            </w:pPr>
            <w:r>
              <w:rPr>
                <w:noProof/>
              </w:rPr>
              <w:t>226</w:t>
            </w:r>
          </w:p>
        </w:tc>
        <w:tc>
          <w:tcPr>
            <w:tcW w:w="992" w:type="dxa"/>
            <w:tcBorders>
              <w:top w:val="single" w:sz="4" w:space="0" w:color="auto"/>
              <w:left w:val="nil"/>
              <w:bottom w:val="single" w:sz="4" w:space="0" w:color="auto"/>
              <w:right w:val="single" w:sz="4" w:space="0" w:color="auto"/>
            </w:tcBorders>
            <w:shd w:val="clear" w:color="auto" w:fill="C6EFCE"/>
            <w:noWrap/>
          </w:tcPr>
          <w:p w14:paraId="651CEA2C" w14:textId="77777777" w:rsidR="00553430" w:rsidRDefault="00212577">
            <w:pPr>
              <w:pStyle w:val="P68B1DB1-Normal66"/>
              <w:spacing w:after="200" w:line="276" w:lineRule="auto"/>
              <w:jc w:val="center"/>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21507E9E" w14:textId="77777777" w:rsidR="00553430" w:rsidRDefault="00212577">
            <w:pPr>
              <w:pStyle w:val="P68B1DB1-Normal66"/>
              <w:spacing w:after="200" w:line="276" w:lineRule="auto"/>
              <w:jc w:val="center"/>
              <w:rPr>
                <w:noProof/>
              </w:rPr>
            </w:pPr>
            <w:r>
              <w:rPr>
                <w:noProof/>
              </w:rPr>
              <w:t>2022</w:t>
            </w:r>
          </w:p>
        </w:tc>
        <w:tc>
          <w:tcPr>
            <w:tcW w:w="3951" w:type="dxa"/>
            <w:tcBorders>
              <w:top w:val="single" w:sz="4" w:space="0" w:color="auto"/>
              <w:left w:val="nil"/>
              <w:bottom w:val="single" w:sz="4" w:space="0" w:color="auto"/>
              <w:right w:val="single" w:sz="4" w:space="0" w:color="auto"/>
            </w:tcBorders>
            <w:shd w:val="clear" w:color="auto" w:fill="C6EFCE"/>
            <w:noWrap/>
          </w:tcPr>
          <w:p w14:paraId="281624B4" w14:textId="2FFFF8AE" w:rsidR="00553430" w:rsidRDefault="00212577">
            <w:pPr>
              <w:pStyle w:val="P68B1DB1-Normal66"/>
              <w:spacing w:after="200" w:line="276" w:lineRule="auto"/>
              <w:rPr>
                <w:noProof/>
              </w:rPr>
            </w:pPr>
            <w:r>
              <w:rPr>
                <w:noProof/>
              </w:rPr>
              <w:t>Construction ou reconstruction d'au moins 226 km de réseau public d'approvisionnement en eau.</w:t>
            </w:r>
            <w:r>
              <w:rPr>
                <w:noProof/>
              </w:rPr>
              <w:br/>
            </w:r>
            <w:r>
              <w:rPr>
                <w:noProof/>
              </w:rPr>
              <w:t>L'investissement consiste à construire des systèmes d'approvisionnement en eau potable ayant une consommation d'énergie moyenne de ≤ 0,5 kWh ou un indice de fuite des infrastructures (ILI) de ≤ 1,5, et à rénover les systèmes d'approvisionnement en eau pota</w:t>
            </w:r>
            <w:r>
              <w:rPr>
                <w:noProof/>
              </w:rPr>
              <w:t xml:space="preserve">ble existants afin de réduire la consommation d'énergie moyenne de plus de 20 % ou de réduire les fuites de plus de 20 %. </w:t>
            </w:r>
          </w:p>
        </w:tc>
      </w:tr>
      <w:tr w:rsidR="00553430" w14:paraId="7D49F049"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0D1273EC" w14:textId="77777777" w:rsidR="00553430" w:rsidRDefault="00212577">
            <w:pPr>
              <w:pStyle w:val="P68B1DB1-Normal66"/>
              <w:spacing w:after="200" w:line="276" w:lineRule="auto"/>
              <w:jc w:val="center"/>
              <w:rPr>
                <w:noProof/>
              </w:rPr>
            </w:pPr>
            <w:r>
              <w:rPr>
                <w:noProof/>
              </w:rPr>
              <w:t>69</w:t>
            </w:r>
          </w:p>
        </w:tc>
        <w:tc>
          <w:tcPr>
            <w:tcW w:w="1080" w:type="dxa"/>
            <w:tcBorders>
              <w:top w:val="single" w:sz="4" w:space="0" w:color="auto"/>
              <w:left w:val="nil"/>
              <w:bottom w:val="single" w:sz="4" w:space="0" w:color="auto"/>
              <w:right w:val="single" w:sz="4" w:space="0" w:color="auto"/>
            </w:tcBorders>
            <w:shd w:val="clear" w:color="auto" w:fill="C6EFCE"/>
            <w:noWrap/>
          </w:tcPr>
          <w:p w14:paraId="17F5E819" w14:textId="77777777" w:rsidR="00553430" w:rsidRDefault="00212577">
            <w:pPr>
              <w:pStyle w:val="P68B1DB1-Normal66"/>
              <w:spacing w:after="200" w:line="276" w:lineRule="auto"/>
              <w:jc w:val="center"/>
              <w:rPr>
                <w:noProof/>
              </w:rPr>
            </w:pPr>
            <w:r>
              <w:rPr>
                <w:noProof/>
              </w:rPr>
              <w:t>C1.3. R1-I2</w:t>
            </w:r>
          </w:p>
        </w:tc>
        <w:tc>
          <w:tcPr>
            <w:tcW w:w="1080" w:type="dxa"/>
            <w:tcBorders>
              <w:top w:val="single" w:sz="4" w:space="0" w:color="auto"/>
              <w:left w:val="nil"/>
              <w:bottom w:val="single" w:sz="4" w:space="0" w:color="auto"/>
              <w:right w:val="single" w:sz="4" w:space="0" w:color="auto"/>
            </w:tcBorders>
            <w:shd w:val="clear" w:color="auto" w:fill="C6EFCE"/>
            <w:noWrap/>
          </w:tcPr>
          <w:p w14:paraId="4FD5C5DF"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5714DE17" w14:textId="77777777" w:rsidR="00553430" w:rsidRDefault="00212577">
            <w:pPr>
              <w:pStyle w:val="P68B1DB1-Normal66"/>
              <w:spacing w:after="200" w:line="276" w:lineRule="auto"/>
              <w:rPr>
                <w:noProof/>
              </w:rPr>
            </w:pPr>
            <w:r>
              <w:rPr>
                <w:noProof/>
              </w:rPr>
              <w:t xml:space="preserve">Dispositifs de mesure de l'eau installés sur les sites de captage d'eau </w:t>
            </w:r>
          </w:p>
        </w:tc>
        <w:tc>
          <w:tcPr>
            <w:tcW w:w="1884" w:type="dxa"/>
            <w:tcBorders>
              <w:top w:val="single" w:sz="4" w:space="0" w:color="auto"/>
              <w:left w:val="nil"/>
              <w:bottom w:val="single" w:sz="4" w:space="0" w:color="auto"/>
              <w:right w:val="single" w:sz="4" w:space="0" w:color="auto"/>
            </w:tcBorders>
            <w:shd w:val="clear" w:color="auto" w:fill="C6EFCE"/>
            <w:noWrap/>
          </w:tcPr>
          <w:p w14:paraId="56990FA4"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48F9E703"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36202F2A" w14:textId="77777777" w:rsidR="00553430" w:rsidRDefault="00212577">
            <w:pPr>
              <w:pStyle w:val="P68B1DB1-Normal66"/>
              <w:spacing w:after="20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0BBE2644" w14:textId="77777777" w:rsidR="00553430" w:rsidRDefault="00212577">
            <w:pPr>
              <w:pStyle w:val="P68B1DB1-Normal66"/>
              <w:spacing w:after="200" w:line="276" w:lineRule="auto"/>
              <w:jc w:val="center"/>
              <w:rPr>
                <w:noProof/>
              </w:rPr>
            </w:pPr>
            <w:r>
              <w:rPr>
                <w:noProof/>
              </w:rPr>
              <w:t>526</w:t>
            </w:r>
          </w:p>
        </w:tc>
        <w:tc>
          <w:tcPr>
            <w:tcW w:w="992" w:type="dxa"/>
            <w:tcBorders>
              <w:top w:val="single" w:sz="4" w:space="0" w:color="auto"/>
              <w:left w:val="nil"/>
              <w:bottom w:val="single" w:sz="4" w:space="0" w:color="auto"/>
              <w:right w:val="single" w:sz="4" w:space="0" w:color="auto"/>
            </w:tcBorders>
            <w:shd w:val="clear" w:color="auto" w:fill="C6EFCE"/>
            <w:noWrap/>
          </w:tcPr>
          <w:p w14:paraId="18CEC789"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4FC99B86" w14:textId="77777777" w:rsidR="00553430" w:rsidRDefault="00212577">
            <w:pPr>
              <w:pStyle w:val="P68B1DB1-Normal66"/>
              <w:spacing w:after="200" w:line="276" w:lineRule="auto"/>
              <w:jc w:val="center"/>
              <w:rPr>
                <w:noProof/>
              </w:rPr>
            </w:pPr>
            <w:r>
              <w:rPr>
                <w:noProof/>
              </w:rPr>
              <w:t>2022</w:t>
            </w:r>
          </w:p>
        </w:tc>
        <w:tc>
          <w:tcPr>
            <w:tcW w:w="3951" w:type="dxa"/>
            <w:tcBorders>
              <w:top w:val="single" w:sz="4" w:space="0" w:color="auto"/>
              <w:left w:val="nil"/>
              <w:bottom w:val="single" w:sz="4" w:space="0" w:color="auto"/>
              <w:right w:val="single" w:sz="4" w:space="0" w:color="auto"/>
            </w:tcBorders>
            <w:shd w:val="clear" w:color="auto" w:fill="C6EFCE"/>
            <w:noWrap/>
          </w:tcPr>
          <w:p w14:paraId="04604BD5" w14:textId="77777777" w:rsidR="00553430" w:rsidRDefault="00212577">
            <w:pPr>
              <w:pStyle w:val="P68B1DB1-Normal66"/>
              <w:spacing w:after="200" w:line="276" w:lineRule="auto"/>
              <w:rPr>
                <w:noProof/>
              </w:rPr>
            </w:pPr>
            <w:r>
              <w:rPr>
                <w:noProof/>
              </w:rPr>
              <w:t xml:space="preserve">Au moins 526 appareils de mesure installés sur les sites de captage d'eau, pour mesurer les quantités d'eau. </w:t>
            </w:r>
          </w:p>
        </w:tc>
      </w:tr>
      <w:tr w:rsidR="00553430" w14:paraId="7BC81ADE"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8940C6B" w14:textId="77777777" w:rsidR="00553430" w:rsidRDefault="00212577">
            <w:pPr>
              <w:pStyle w:val="P68B1DB1-Normal66"/>
              <w:spacing w:after="200" w:line="276" w:lineRule="auto"/>
              <w:jc w:val="center"/>
              <w:rPr>
                <w:noProof/>
              </w:rPr>
            </w:pPr>
            <w:r>
              <w:rPr>
                <w:noProof/>
              </w:rPr>
              <w:t>70</w:t>
            </w:r>
          </w:p>
        </w:tc>
        <w:tc>
          <w:tcPr>
            <w:tcW w:w="1080" w:type="dxa"/>
            <w:tcBorders>
              <w:top w:val="single" w:sz="4" w:space="0" w:color="auto"/>
              <w:left w:val="nil"/>
              <w:bottom w:val="single" w:sz="4" w:space="0" w:color="auto"/>
              <w:right w:val="single" w:sz="4" w:space="0" w:color="auto"/>
            </w:tcBorders>
            <w:shd w:val="clear" w:color="auto" w:fill="C6EFCE"/>
            <w:noWrap/>
          </w:tcPr>
          <w:p w14:paraId="02AD2DEE" w14:textId="77777777" w:rsidR="00553430" w:rsidRDefault="00212577">
            <w:pPr>
              <w:pStyle w:val="P68B1DB1-Normal66"/>
              <w:spacing w:after="200" w:line="276" w:lineRule="auto"/>
              <w:jc w:val="center"/>
              <w:rPr>
                <w:noProof/>
              </w:rPr>
            </w:pPr>
            <w:r>
              <w:rPr>
                <w:noProof/>
              </w:rPr>
              <w:t>C1.3. R1-I2</w:t>
            </w:r>
          </w:p>
        </w:tc>
        <w:tc>
          <w:tcPr>
            <w:tcW w:w="1080" w:type="dxa"/>
            <w:tcBorders>
              <w:top w:val="single" w:sz="4" w:space="0" w:color="auto"/>
              <w:left w:val="nil"/>
              <w:bottom w:val="single" w:sz="4" w:space="0" w:color="auto"/>
              <w:right w:val="single" w:sz="4" w:space="0" w:color="auto"/>
            </w:tcBorders>
            <w:shd w:val="clear" w:color="auto" w:fill="C6EFCE"/>
            <w:noWrap/>
          </w:tcPr>
          <w:p w14:paraId="48C7BAC2"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31548044" w14:textId="77777777" w:rsidR="00553430" w:rsidRDefault="00212577">
            <w:pPr>
              <w:pStyle w:val="P68B1DB1-Normal66"/>
              <w:spacing w:after="200" w:line="276" w:lineRule="auto"/>
              <w:rPr>
                <w:noProof/>
              </w:rPr>
            </w:pPr>
            <w:r>
              <w:rPr>
                <w:noProof/>
              </w:rPr>
              <w:t xml:space="preserve">Contrats de travaux conclus pour des projets d'approvisionnement en eau </w:t>
            </w:r>
          </w:p>
        </w:tc>
        <w:tc>
          <w:tcPr>
            <w:tcW w:w="1884" w:type="dxa"/>
            <w:tcBorders>
              <w:top w:val="single" w:sz="4" w:space="0" w:color="auto"/>
              <w:left w:val="nil"/>
              <w:bottom w:val="single" w:sz="4" w:space="0" w:color="auto"/>
              <w:right w:val="single" w:sz="4" w:space="0" w:color="auto"/>
            </w:tcBorders>
            <w:shd w:val="clear" w:color="auto" w:fill="C6EFCE"/>
            <w:noWrap/>
          </w:tcPr>
          <w:p w14:paraId="11C98EBE"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7C75C0EC"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4C771CE3" w14:textId="77777777" w:rsidR="00553430" w:rsidRDefault="00212577">
            <w:pPr>
              <w:pStyle w:val="P68B1DB1-Normal66"/>
              <w:spacing w:after="20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109C13C0" w14:textId="77777777" w:rsidR="00553430" w:rsidRDefault="00212577">
            <w:pPr>
              <w:pStyle w:val="P68B1DB1-Normal66"/>
              <w:spacing w:after="200" w:line="276" w:lineRule="auto"/>
              <w:jc w:val="center"/>
              <w:rPr>
                <w:noProof/>
              </w:rPr>
            </w:pPr>
            <w:r>
              <w:rPr>
                <w:noProof/>
              </w:rPr>
              <w:t>100</w:t>
            </w:r>
          </w:p>
        </w:tc>
        <w:tc>
          <w:tcPr>
            <w:tcW w:w="992" w:type="dxa"/>
            <w:tcBorders>
              <w:top w:val="single" w:sz="4" w:space="0" w:color="auto"/>
              <w:left w:val="nil"/>
              <w:bottom w:val="single" w:sz="4" w:space="0" w:color="auto"/>
              <w:right w:val="single" w:sz="4" w:space="0" w:color="auto"/>
            </w:tcBorders>
            <w:shd w:val="clear" w:color="auto" w:fill="C6EFCE"/>
            <w:noWrap/>
          </w:tcPr>
          <w:p w14:paraId="4EAE53B6"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10CE5858" w14:textId="77777777" w:rsidR="00553430" w:rsidRDefault="00212577">
            <w:pPr>
              <w:pStyle w:val="P68B1DB1-Normal66"/>
              <w:spacing w:after="200" w:line="276" w:lineRule="auto"/>
              <w:jc w:val="center"/>
              <w:rPr>
                <w:noProof/>
              </w:rPr>
            </w:pPr>
            <w:r>
              <w:rPr>
                <w:noProof/>
              </w:rPr>
              <w:t>2023</w:t>
            </w:r>
          </w:p>
        </w:tc>
        <w:tc>
          <w:tcPr>
            <w:tcW w:w="3951" w:type="dxa"/>
            <w:tcBorders>
              <w:top w:val="single" w:sz="4" w:space="0" w:color="auto"/>
              <w:left w:val="nil"/>
              <w:bottom w:val="single" w:sz="4" w:space="0" w:color="auto"/>
              <w:right w:val="single" w:sz="4" w:space="0" w:color="auto"/>
            </w:tcBorders>
            <w:shd w:val="clear" w:color="auto" w:fill="C6EFCE"/>
            <w:noWrap/>
          </w:tcPr>
          <w:p w14:paraId="571FD8AC" w14:textId="77777777" w:rsidR="00553430" w:rsidRDefault="00212577">
            <w:pPr>
              <w:pStyle w:val="P68B1DB1-Normal66"/>
              <w:spacing w:after="200" w:line="276" w:lineRule="auto"/>
              <w:rPr>
                <w:noProof/>
              </w:rPr>
            </w:pPr>
            <w:r>
              <w:rPr>
                <w:noProof/>
              </w:rPr>
              <w:t>Le nombre de contrats de travaux</w:t>
            </w:r>
            <w:r>
              <w:rPr>
                <w:noProof/>
              </w:rPr>
              <w:t xml:space="preserve"> signés pour des projets liés à l’eau concerne des contrats qui seront attribués d’ici la fin de 2023.</w:t>
            </w:r>
            <w:r>
              <w:rPr>
                <w:noProof/>
              </w:rPr>
              <w:br/>
              <w:t>L’évaluation des incidences sur l’environnement est effectuée conformément aux procédures d’autorisation au titre de l’EIE conformément à la directive 20</w:t>
            </w:r>
            <w:r>
              <w:rPr>
                <w:noProof/>
              </w:rPr>
              <w:t>11/92/UE et à l’examen préalable et/ou à l’évaluation appropriée conformément à l’article 6, paragraphe 3, de la directive «Habitats». La preuve doit être apportée que le projet n’a pas d’effet significatif sur l’intégrité des sites Natura 2 000 concernés.</w:t>
            </w:r>
          </w:p>
        </w:tc>
      </w:tr>
      <w:tr w:rsidR="00553430" w14:paraId="589669FE"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6BBB56D" w14:textId="77777777" w:rsidR="00553430" w:rsidRDefault="00212577">
            <w:pPr>
              <w:pStyle w:val="P68B1DB1-Normal66"/>
              <w:spacing w:after="200" w:line="276" w:lineRule="auto"/>
              <w:jc w:val="center"/>
              <w:rPr>
                <w:noProof/>
              </w:rPr>
            </w:pPr>
            <w:r>
              <w:rPr>
                <w:noProof/>
              </w:rPr>
              <w:t>71</w:t>
            </w:r>
          </w:p>
        </w:tc>
        <w:tc>
          <w:tcPr>
            <w:tcW w:w="1080" w:type="dxa"/>
            <w:tcBorders>
              <w:top w:val="single" w:sz="4" w:space="0" w:color="auto"/>
              <w:left w:val="nil"/>
              <w:bottom w:val="single" w:sz="4" w:space="0" w:color="auto"/>
              <w:right w:val="single" w:sz="4" w:space="0" w:color="auto"/>
            </w:tcBorders>
            <w:shd w:val="clear" w:color="auto" w:fill="C6EFCE"/>
            <w:noWrap/>
          </w:tcPr>
          <w:p w14:paraId="2A2BFD53" w14:textId="77777777" w:rsidR="00553430" w:rsidRDefault="00212577">
            <w:pPr>
              <w:pStyle w:val="P68B1DB1-Normal66"/>
              <w:spacing w:after="200" w:line="276" w:lineRule="auto"/>
              <w:jc w:val="center"/>
              <w:rPr>
                <w:noProof/>
              </w:rPr>
            </w:pPr>
            <w:r>
              <w:rPr>
                <w:noProof/>
              </w:rPr>
              <w:t>C1.3. R1-I2</w:t>
            </w:r>
          </w:p>
        </w:tc>
        <w:tc>
          <w:tcPr>
            <w:tcW w:w="1080" w:type="dxa"/>
            <w:tcBorders>
              <w:top w:val="single" w:sz="4" w:space="0" w:color="auto"/>
              <w:left w:val="nil"/>
              <w:bottom w:val="single" w:sz="4" w:space="0" w:color="auto"/>
              <w:right w:val="single" w:sz="4" w:space="0" w:color="auto"/>
            </w:tcBorders>
            <w:shd w:val="clear" w:color="auto" w:fill="C6EFCE"/>
            <w:noWrap/>
          </w:tcPr>
          <w:p w14:paraId="74A2341D"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0DB62A02" w14:textId="77777777" w:rsidR="00553430" w:rsidRDefault="00212577">
            <w:pPr>
              <w:pStyle w:val="P68B1DB1-Normal66"/>
              <w:spacing w:after="200" w:line="276" w:lineRule="auto"/>
              <w:rPr>
                <w:noProof/>
              </w:rPr>
            </w:pPr>
            <w:r>
              <w:rPr>
                <w:noProof/>
              </w:rPr>
              <w:t xml:space="preserve">Construction ou reconstruction d'un réseau public d'approvisionnement en eau </w:t>
            </w:r>
          </w:p>
        </w:tc>
        <w:tc>
          <w:tcPr>
            <w:tcW w:w="1884" w:type="dxa"/>
            <w:tcBorders>
              <w:top w:val="single" w:sz="4" w:space="0" w:color="auto"/>
              <w:left w:val="nil"/>
              <w:bottom w:val="single" w:sz="4" w:space="0" w:color="auto"/>
              <w:right w:val="single" w:sz="4" w:space="0" w:color="auto"/>
            </w:tcBorders>
            <w:shd w:val="clear" w:color="auto" w:fill="C6EFCE"/>
            <w:noWrap/>
          </w:tcPr>
          <w:p w14:paraId="207650BE"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76043D78"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1BB72A7E" w14:textId="77777777" w:rsidR="00553430" w:rsidRDefault="00212577">
            <w:pPr>
              <w:pStyle w:val="P68B1DB1-Normal66"/>
              <w:spacing w:after="20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5CE5EE07" w14:textId="77777777" w:rsidR="00553430" w:rsidRDefault="00212577">
            <w:pPr>
              <w:pStyle w:val="P68B1DB1-Normal66"/>
              <w:spacing w:after="200" w:line="276" w:lineRule="auto"/>
              <w:jc w:val="center"/>
              <w:rPr>
                <w:noProof/>
              </w:rPr>
            </w:pPr>
            <w:r>
              <w:rPr>
                <w:noProof/>
              </w:rPr>
              <w:t>517</w:t>
            </w:r>
          </w:p>
        </w:tc>
        <w:tc>
          <w:tcPr>
            <w:tcW w:w="992" w:type="dxa"/>
            <w:tcBorders>
              <w:top w:val="single" w:sz="4" w:space="0" w:color="auto"/>
              <w:left w:val="nil"/>
              <w:bottom w:val="single" w:sz="4" w:space="0" w:color="auto"/>
              <w:right w:val="single" w:sz="4" w:space="0" w:color="auto"/>
            </w:tcBorders>
            <w:shd w:val="clear" w:color="auto" w:fill="C6EFCE"/>
            <w:noWrap/>
          </w:tcPr>
          <w:p w14:paraId="7BE95C9A"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42928CE3" w14:textId="77777777" w:rsidR="00553430" w:rsidRDefault="00212577">
            <w:pPr>
              <w:pStyle w:val="P68B1DB1-Normal66"/>
              <w:spacing w:after="200" w:line="276" w:lineRule="auto"/>
              <w:jc w:val="center"/>
              <w:rPr>
                <w:noProof/>
              </w:rPr>
            </w:pPr>
            <w:r>
              <w:rPr>
                <w:noProof/>
              </w:rPr>
              <w:t>2023</w:t>
            </w:r>
          </w:p>
        </w:tc>
        <w:tc>
          <w:tcPr>
            <w:tcW w:w="3951" w:type="dxa"/>
            <w:tcBorders>
              <w:top w:val="single" w:sz="4" w:space="0" w:color="auto"/>
              <w:left w:val="nil"/>
              <w:bottom w:val="single" w:sz="4" w:space="0" w:color="auto"/>
              <w:right w:val="single" w:sz="4" w:space="0" w:color="auto"/>
            </w:tcBorders>
            <w:shd w:val="clear" w:color="auto" w:fill="C6EFCE"/>
            <w:noWrap/>
          </w:tcPr>
          <w:p w14:paraId="0B33AD92" w14:textId="712D987F" w:rsidR="00553430" w:rsidRDefault="00212577">
            <w:pPr>
              <w:pStyle w:val="P68B1DB1-Normal66"/>
              <w:spacing w:after="200" w:line="276" w:lineRule="auto"/>
              <w:rPr>
                <w:noProof/>
              </w:rPr>
            </w:pPr>
            <w:r>
              <w:rPr>
                <w:noProof/>
              </w:rPr>
              <w:t>Construction ou reconstruction d'au moins 517 km de réseau public d'approvisionnement en eau.</w:t>
            </w:r>
            <w:r>
              <w:rPr>
                <w:noProof/>
              </w:rPr>
              <w:br/>
              <w:t>L'investissement consiste à construire des</w:t>
            </w:r>
            <w:r>
              <w:rPr>
                <w:noProof/>
              </w:rPr>
              <w:t xml:space="preserve"> systèmes d'approvisionnement en eau potable ayant une consommation d'énergie moyenne de ≤ 0,5 kWh ou un indice de fuite des infrastructures (ILI) de ≤ 1,5, et à rénover les systèmes d'approvisionnement en eau potable existants afin de réduire la consommat</w:t>
            </w:r>
            <w:r>
              <w:rPr>
                <w:noProof/>
              </w:rPr>
              <w:t xml:space="preserve">ion d'énergie moyenne de plus de 20 % ou de réduire les fuites de plus de 20 %. </w:t>
            </w:r>
          </w:p>
        </w:tc>
      </w:tr>
      <w:tr w:rsidR="00553430" w14:paraId="5CACDB27"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D6D18B5" w14:textId="77777777" w:rsidR="00553430" w:rsidRDefault="00212577">
            <w:pPr>
              <w:pStyle w:val="P68B1DB1-Normal66"/>
              <w:spacing w:after="200" w:line="276" w:lineRule="auto"/>
              <w:jc w:val="center"/>
              <w:rPr>
                <w:noProof/>
              </w:rPr>
            </w:pPr>
            <w:r>
              <w:rPr>
                <w:noProof/>
              </w:rPr>
              <w:t>72</w:t>
            </w:r>
          </w:p>
        </w:tc>
        <w:tc>
          <w:tcPr>
            <w:tcW w:w="1080" w:type="dxa"/>
            <w:tcBorders>
              <w:top w:val="single" w:sz="4" w:space="0" w:color="auto"/>
              <w:left w:val="nil"/>
              <w:bottom w:val="single" w:sz="4" w:space="0" w:color="auto"/>
              <w:right w:val="single" w:sz="4" w:space="0" w:color="auto"/>
            </w:tcBorders>
            <w:shd w:val="clear" w:color="auto" w:fill="C6EFCE"/>
            <w:noWrap/>
          </w:tcPr>
          <w:p w14:paraId="7D598CA6" w14:textId="77777777" w:rsidR="00553430" w:rsidRDefault="00212577">
            <w:pPr>
              <w:pStyle w:val="P68B1DB1-Normal66"/>
              <w:spacing w:after="200" w:line="276" w:lineRule="auto"/>
              <w:jc w:val="center"/>
              <w:rPr>
                <w:noProof/>
              </w:rPr>
            </w:pPr>
            <w:r>
              <w:rPr>
                <w:noProof/>
              </w:rPr>
              <w:t>C1.3. R1-I2</w:t>
            </w:r>
          </w:p>
        </w:tc>
        <w:tc>
          <w:tcPr>
            <w:tcW w:w="1080" w:type="dxa"/>
            <w:tcBorders>
              <w:top w:val="single" w:sz="4" w:space="0" w:color="auto"/>
              <w:left w:val="nil"/>
              <w:bottom w:val="single" w:sz="4" w:space="0" w:color="auto"/>
              <w:right w:val="single" w:sz="4" w:space="0" w:color="auto"/>
            </w:tcBorders>
            <w:shd w:val="clear" w:color="auto" w:fill="C6EFCE"/>
            <w:noWrap/>
          </w:tcPr>
          <w:p w14:paraId="6F75C5A5"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142C4933" w14:textId="77777777" w:rsidR="00553430" w:rsidRDefault="00212577">
            <w:pPr>
              <w:pStyle w:val="P68B1DB1-Normal66"/>
              <w:spacing w:after="200" w:line="276" w:lineRule="auto"/>
              <w:rPr>
                <w:noProof/>
              </w:rPr>
            </w:pPr>
            <w:r>
              <w:rPr>
                <w:noProof/>
              </w:rPr>
              <w:t xml:space="preserve">Construction ou reconstruction d'un réseau public d'approvisionnement en eau </w:t>
            </w:r>
          </w:p>
        </w:tc>
        <w:tc>
          <w:tcPr>
            <w:tcW w:w="1884" w:type="dxa"/>
            <w:tcBorders>
              <w:top w:val="single" w:sz="4" w:space="0" w:color="auto"/>
              <w:left w:val="nil"/>
              <w:bottom w:val="single" w:sz="4" w:space="0" w:color="auto"/>
              <w:right w:val="single" w:sz="4" w:space="0" w:color="auto"/>
            </w:tcBorders>
            <w:shd w:val="clear" w:color="auto" w:fill="C6EFCE"/>
            <w:noWrap/>
          </w:tcPr>
          <w:p w14:paraId="0200DF8E"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768CFCA3"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19C4DFF2" w14:textId="1AF2E96B" w:rsidR="00553430" w:rsidRDefault="00212577">
            <w:pPr>
              <w:pStyle w:val="P68B1DB1-Normal66"/>
              <w:spacing w:after="200" w:line="276" w:lineRule="auto"/>
              <w:jc w:val="center"/>
              <w:rPr>
                <w:noProof/>
              </w:rPr>
            </w:pPr>
            <w:r>
              <w:rPr>
                <w:noProof/>
              </w:rPr>
              <w:t>517</w:t>
            </w:r>
          </w:p>
        </w:tc>
        <w:tc>
          <w:tcPr>
            <w:tcW w:w="992" w:type="dxa"/>
            <w:tcBorders>
              <w:top w:val="single" w:sz="4" w:space="0" w:color="auto"/>
              <w:left w:val="nil"/>
              <w:bottom w:val="single" w:sz="4" w:space="0" w:color="auto"/>
              <w:right w:val="single" w:sz="4" w:space="0" w:color="auto"/>
            </w:tcBorders>
            <w:shd w:val="clear" w:color="auto" w:fill="C6EFCE"/>
            <w:noWrap/>
          </w:tcPr>
          <w:p w14:paraId="30D01285" w14:textId="77777777" w:rsidR="00553430" w:rsidRDefault="00212577">
            <w:pPr>
              <w:pStyle w:val="P68B1DB1-Normal66"/>
              <w:spacing w:after="200" w:line="276" w:lineRule="auto"/>
              <w:jc w:val="center"/>
              <w:rPr>
                <w:noProof/>
              </w:rPr>
            </w:pPr>
            <w:r>
              <w:rPr>
                <w:noProof/>
              </w:rPr>
              <w:t>1023</w:t>
            </w:r>
          </w:p>
        </w:tc>
        <w:tc>
          <w:tcPr>
            <w:tcW w:w="992" w:type="dxa"/>
            <w:tcBorders>
              <w:top w:val="single" w:sz="4" w:space="0" w:color="auto"/>
              <w:left w:val="nil"/>
              <w:bottom w:val="single" w:sz="4" w:space="0" w:color="auto"/>
              <w:right w:val="single" w:sz="4" w:space="0" w:color="auto"/>
            </w:tcBorders>
            <w:shd w:val="clear" w:color="auto" w:fill="C6EFCE"/>
            <w:noWrap/>
          </w:tcPr>
          <w:p w14:paraId="3963365C"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2E292A2F" w14:textId="77777777" w:rsidR="00553430" w:rsidRDefault="00212577">
            <w:pPr>
              <w:pStyle w:val="P68B1DB1-Normal66"/>
              <w:spacing w:after="200" w:line="276" w:lineRule="auto"/>
              <w:jc w:val="center"/>
              <w:rPr>
                <w:noProof/>
              </w:rPr>
            </w:pPr>
            <w:r>
              <w:rPr>
                <w:noProof/>
              </w:rPr>
              <w:t>2025</w:t>
            </w:r>
          </w:p>
        </w:tc>
        <w:tc>
          <w:tcPr>
            <w:tcW w:w="3951" w:type="dxa"/>
            <w:tcBorders>
              <w:top w:val="single" w:sz="4" w:space="0" w:color="auto"/>
              <w:left w:val="nil"/>
              <w:bottom w:val="single" w:sz="4" w:space="0" w:color="auto"/>
              <w:right w:val="single" w:sz="4" w:space="0" w:color="auto"/>
            </w:tcBorders>
            <w:shd w:val="clear" w:color="auto" w:fill="C6EFCE"/>
            <w:noWrap/>
          </w:tcPr>
          <w:p w14:paraId="7C4420D7" w14:textId="2272F811" w:rsidR="00553430" w:rsidRDefault="00212577">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 xml:space="preserve">Construction ou reconstruction d'au moins 506 km de réseau public d'approvisionnement en eau. </w:t>
            </w:r>
            <w:r>
              <w:rPr>
                <w:rFonts w:ascii="Times New Roman" w:hAnsi="Times New Roman" w:cs="Times New Roman"/>
                <w:noProof/>
              </w:rPr>
              <w:br/>
            </w:r>
            <w:r>
              <w:rPr>
                <w:rFonts w:ascii="Times New Roman" w:eastAsia="Calibri" w:hAnsi="Times New Roman" w:cs="Times New Roman"/>
                <w:noProof/>
                <w:color w:val="000000" w:themeColor="text1"/>
              </w:rPr>
              <w:t>L'investissement consiste à construire des systèmes d'approvisionnement en eau potable ayant une consommation d'énergie moyenne de ≤ 0,5 kWh ou un indice de fuit</w:t>
            </w:r>
            <w:r>
              <w:rPr>
                <w:rFonts w:ascii="Times New Roman" w:eastAsia="Calibri" w:hAnsi="Times New Roman" w:cs="Times New Roman"/>
                <w:noProof/>
                <w:color w:val="000000" w:themeColor="text1"/>
              </w:rPr>
              <w:t xml:space="preserve">e des infrastructures (ILI) de ≤ 1,5, et à rénover les systèmes d'approvisionnement en eau potable existants afin de réduire la consommation d'énergie moyenne de plus de 20 % ou de réduire les fuites de plus de 20 %. </w:t>
            </w:r>
          </w:p>
        </w:tc>
      </w:tr>
      <w:tr w:rsidR="00553430" w14:paraId="40D9C3CA"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6E605B87" w14:textId="77777777" w:rsidR="00553430" w:rsidRDefault="00212577">
            <w:pPr>
              <w:pStyle w:val="P68B1DB1-Normal66"/>
              <w:spacing w:after="200" w:line="276" w:lineRule="auto"/>
              <w:jc w:val="center"/>
              <w:rPr>
                <w:noProof/>
              </w:rPr>
            </w:pPr>
            <w:r>
              <w:rPr>
                <w:noProof/>
              </w:rPr>
              <w:t>74</w:t>
            </w:r>
          </w:p>
        </w:tc>
        <w:tc>
          <w:tcPr>
            <w:tcW w:w="1080" w:type="dxa"/>
            <w:tcBorders>
              <w:top w:val="single" w:sz="4" w:space="0" w:color="auto"/>
              <w:left w:val="nil"/>
              <w:bottom w:val="single" w:sz="4" w:space="0" w:color="auto"/>
              <w:right w:val="single" w:sz="4" w:space="0" w:color="auto"/>
            </w:tcBorders>
            <w:shd w:val="clear" w:color="auto" w:fill="C6EFCE"/>
            <w:noWrap/>
          </w:tcPr>
          <w:p w14:paraId="01A44D9F" w14:textId="77777777" w:rsidR="00553430" w:rsidRDefault="00212577">
            <w:pPr>
              <w:pStyle w:val="P68B1DB1-Normal66"/>
              <w:spacing w:after="200" w:line="276" w:lineRule="auto"/>
              <w:jc w:val="center"/>
              <w:rPr>
                <w:noProof/>
              </w:rPr>
            </w:pPr>
            <w:r>
              <w:rPr>
                <w:noProof/>
              </w:rPr>
              <w:t>C1.3. R1-I3</w:t>
            </w:r>
          </w:p>
        </w:tc>
        <w:tc>
          <w:tcPr>
            <w:tcW w:w="1080" w:type="dxa"/>
            <w:tcBorders>
              <w:top w:val="single" w:sz="4" w:space="0" w:color="auto"/>
              <w:left w:val="nil"/>
              <w:bottom w:val="single" w:sz="4" w:space="0" w:color="auto"/>
              <w:right w:val="single" w:sz="4" w:space="0" w:color="auto"/>
            </w:tcBorders>
            <w:shd w:val="clear" w:color="auto" w:fill="C6EFCE"/>
            <w:noWrap/>
          </w:tcPr>
          <w:p w14:paraId="17427EBE"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6D04F86B" w14:textId="77777777" w:rsidR="00553430" w:rsidRDefault="00212577">
            <w:pPr>
              <w:pStyle w:val="P68B1DB1-Normal66"/>
              <w:spacing w:after="200" w:line="276" w:lineRule="auto"/>
              <w:rPr>
                <w:noProof/>
              </w:rPr>
            </w:pPr>
            <w:r>
              <w:rPr>
                <w:noProof/>
              </w:rPr>
              <w:t xml:space="preserve">Contrats de travaux conclus pour des projets de protection contre les inondations </w:t>
            </w:r>
          </w:p>
        </w:tc>
        <w:tc>
          <w:tcPr>
            <w:tcW w:w="1884" w:type="dxa"/>
            <w:tcBorders>
              <w:top w:val="single" w:sz="4" w:space="0" w:color="auto"/>
              <w:left w:val="nil"/>
              <w:bottom w:val="single" w:sz="4" w:space="0" w:color="auto"/>
              <w:right w:val="single" w:sz="4" w:space="0" w:color="auto"/>
            </w:tcBorders>
            <w:shd w:val="clear" w:color="auto" w:fill="C6EFCE"/>
            <w:noWrap/>
          </w:tcPr>
          <w:p w14:paraId="72BB0B74"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0CB35D00"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58038637" w14:textId="77777777" w:rsidR="00553430" w:rsidRDefault="00212577">
            <w:pPr>
              <w:pStyle w:val="P68B1DB1-Normal66"/>
              <w:spacing w:after="20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1A40D52F" w14:textId="77777777" w:rsidR="00553430" w:rsidRDefault="00212577">
            <w:pPr>
              <w:pStyle w:val="P68B1DB1-Normal66"/>
              <w:spacing w:after="200" w:line="276" w:lineRule="auto"/>
              <w:jc w:val="center"/>
              <w:rPr>
                <w:noProof/>
              </w:rPr>
            </w:pPr>
            <w:r>
              <w:rPr>
                <w:noProof/>
              </w:rPr>
              <w:t>20</w:t>
            </w:r>
          </w:p>
        </w:tc>
        <w:tc>
          <w:tcPr>
            <w:tcW w:w="992" w:type="dxa"/>
            <w:tcBorders>
              <w:top w:val="single" w:sz="4" w:space="0" w:color="auto"/>
              <w:left w:val="nil"/>
              <w:bottom w:val="single" w:sz="4" w:space="0" w:color="auto"/>
              <w:right w:val="single" w:sz="4" w:space="0" w:color="auto"/>
            </w:tcBorders>
            <w:shd w:val="clear" w:color="auto" w:fill="C6EFCE"/>
            <w:noWrap/>
          </w:tcPr>
          <w:p w14:paraId="443F2073"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44CCB458" w14:textId="77777777" w:rsidR="00553430" w:rsidRDefault="00212577">
            <w:pPr>
              <w:pStyle w:val="P68B1DB1-Normal66"/>
              <w:spacing w:after="200" w:line="276" w:lineRule="auto"/>
              <w:jc w:val="center"/>
              <w:rPr>
                <w:noProof/>
              </w:rPr>
            </w:pPr>
            <w:r>
              <w:rPr>
                <w:noProof/>
              </w:rPr>
              <w:t>2022</w:t>
            </w:r>
          </w:p>
        </w:tc>
        <w:tc>
          <w:tcPr>
            <w:tcW w:w="3951" w:type="dxa"/>
            <w:tcBorders>
              <w:top w:val="single" w:sz="4" w:space="0" w:color="auto"/>
              <w:left w:val="nil"/>
              <w:bottom w:val="single" w:sz="4" w:space="0" w:color="auto"/>
              <w:right w:val="single" w:sz="4" w:space="0" w:color="auto"/>
            </w:tcBorders>
            <w:shd w:val="clear" w:color="auto" w:fill="C6EFCE"/>
            <w:noWrap/>
          </w:tcPr>
          <w:p w14:paraId="7C2F6244" w14:textId="77777777" w:rsidR="00553430" w:rsidRDefault="00212577">
            <w:pPr>
              <w:pStyle w:val="P68B1DB1-Normal66"/>
              <w:spacing w:after="200" w:line="276" w:lineRule="auto"/>
              <w:rPr>
                <w:noProof/>
              </w:rPr>
            </w:pPr>
            <w:r>
              <w:rPr>
                <w:noProof/>
              </w:rPr>
              <w:t xml:space="preserve">Au moins 20 marchés de travaux conclus pour des projets dans le secteur de la protection contre les inondations, liés à des marchés devant être attribués d’ici la fin de 2022. </w:t>
            </w:r>
            <w:r>
              <w:rPr>
                <w:noProof/>
              </w:rPr>
              <w:br/>
              <w:t>Les critères d’appel d’offres se concentrent sur les mesures de solutions fondé</w:t>
            </w:r>
            <w:r>
              <w:rPr>
                <w:noProof/>
              </w:rPr>
              <w:t xml:space="preserve">es sur la nature et les infrastructures vertes. Les contrats garantissent que les projets seront mis en œuvre conformément à l’acquis de l’UE et à la réglementation environnementale, ainsi qu’aux annexes du règlement délégué de la Commission [C(2021) 2800 </w:t>
            </w:r>
            <w:r>
              <w:rPr>
                <w:noProof/>
              </w:rPr>
              <w:t>final] complétant le règlement (UE) 2020/852.</w:t>
            </w:r>
            <w:r>
              <w:rPr>
                <w:noProof/>
              </w:rPr>
              <w:br/>
              <w:t>Cette mesure ne devrait pas causer de préjudice important aux objectifs environnementaux au sens de l’article 17 du règlement (UE) 2020/852, compte tenu de la description des mesures et des mesures d’atténuatio</w:t>
            </w:r>
            <w:r>
              <w:rPr>
                <w:noProof/>
              </w:rPr>
              <w:t>n énoncées dans le plan pour la reprise et la résilience conformément aux orientations techniques DNSH (2021/C58/01). Toutes les activités doivent être conformes aux exigences de la législation de l’UE sur l’eau, telle qu’incorporée dans la législation cro</w:t>
            </w:r>
            <w:r>
              <w:rPr>
                <w:noProof/>
              </w:rPr>
              <w:t>ate. L’évaluation des incidences sur l’environnement est effectuée conformément aux procédures d’autorisation au titre de l’EIE conformément à la directive 2011/92/UE et à l’examen préalable et/ou à l’évaluation appropriée conformément à l’article 6, parag</w:t>
            </w:r>
            <w:r>
              <w:rPr>
                <w:noProof/>
              </w:rPr>
              <w:t>raphe 3, de la directive «Habitats». La preuve doit être apportée que le projet n’a pas d’effet significatif sur l’intégrité des sites Natura 2 000 concernés.</w:t>
            </w:r>
          </w:p>
        </w:tc>
      </w:tr>
      <w:tr w:rsidR="00553430" w14:paraId="653A7165"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D38E43C" w14:textId="77777777" w:rsidR="00553430" w:rsidRDefault="00212577">
            <w:pPr>
              <w:pStyle w:val="P68B1DB1-Normal66"/>
              <w:spacing w:after="200" w:line="276" w:lineRule="auto"/>
              <w:jc w:val="center"/>
              <w:rPr>
                <w:noProof/>
              </w:rPr>
            </w:pPr>
            <w:r>
              <w:rPr>
                <w:noProof/>
              </w:rPr>
              <w:t>75</w:t>
            </w:r>
          </w:p>
        </w:tc>
        <w:tc>
          <w:tcPr>
            <w:tcW w:w="1080" w:type="dxa"/>
            <w:tcBorders>
              <w:top w:val="single" w:sz="4" w:space="0" w:color="auto"/>
              <w:left w:val="nil"/>
              <w:bottom w:val="single" w:sz="4" w:space="0" w:color="auto"/>
              <w:right w:val="single" w:sz="4" w:space="0" w:color="auto"/>
            </w:tcBorders>
            <w:shd w:val="clear" w:color="auto" w:fill="C6EFCE"/>
            <w:noWrap/>
          </w:tcPr>
          <w:p w14:paraId="0A98D96C" w14:textId="77777777" w:rsidR="00553430" w:rsidRDefault="00212577">
            <w:pPr>
              <w:pStyle w:val="P68B1DB1-Normal66"/>
              <w:spacing w:after="200" w:line="276" w:lineRule="auto"/>
              <w:jc w:val="center"/>
              <w:rPr>
                <w:noProof/>
              </w:rPr>
            </w:pPr>
            <w:r>
              <w:rPr>
                <w:noProof/>
              </w:rPr>
              <w:t>C1.3. R1-I3</w:t>
            </w:r>
          </w:p>
        </w:tc>
        <w:tc>
          <w:tcPr>
            <w:tcW w:w="1080" w:type="dxa"/>
            <w:tcBorders>
              <w:top w:val="single" w:sz="4" w:space="0" w:color="auto"/>
              <w:left w:val="nil"/>
              <w:bottom w:val="single" w:sz="4" w:space="0" w:color="auto"/>
              <w:right w:val="single" w:sz="4" w:space="0" w:color="auto"/>
            </w:tcBorders>
            <w:shd w:val="clear" w:color="auto" w:fill="C6EFCE"/>
            <w:noWrap/>
          </w:tcPr>
          <w:p w14:paraId="24D9AF05"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4E1C21CA" w14:textId="77777777" w:rsidR="00553430" w:rsidRDefault="00212577">
            <w:pPr>
              <w:pStyle w:val="P68B1DB1-Normal66"/>
              <w:spacing w:after="200" w:line="276" w:lineRule="auto"/>
              <w:rPr>
                <w:noProof/>
              </w:rPr>
            </w:pPr>
            <w:r>
              <w:rPr>
                <w:noProof/>
              </w:rPr>
              <w:t xml:space="preserve">Construction de structures de protection contre les inondations </w:t>
            </w:r>
          </w:p>
        </w:tc>
        <w:tc>
          <w:tcPr>
            <w:tcW w:w="1884" w:type="dxa"/>
            <w:tcBorders>
              <w:top w:val="single" w:sz="4" w:space="0" w:color="auto"/>
              <w:left w:val="nil"/>
              <w:bottom w:val="single" w:sz="4" w:space="0" w:color="auto"/>
              <w:right w:val="single" w:sz="4" w:space="0" w:color="auto"/>
            </w:tcBorders>
            <w:shd w:val="clear" w:color="auto" w:fill="C6EFCE"/>
            <w:noWrap/>
          </w:tcPr>
          <w:p w14:paraId="28492D75"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1A61AAA3"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2FDBED7B" w14:textId="77777777" w:rsidR="00553430" w:rsidRDefault="00212577">
            <w:pPr>
              <w:pStyle w:val="P68B1DB1-Normal66"/>
              <w:spacing w:after="20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23325F5A" w14:textId="77777777" w:rsidR="00553430" w:rsidRDefault="00212577">
            <w:pPr>
              <w:pStyle w:val="P68B1DB1-Normal66"/>
              <w:spacing w:after="200" w:line="276" w:lineRule="auto"/>
              <w:jc w:val="center"/>
              <w:rPr>
                <w:noProof/>
              </w:rPr>
            </w:pPr>
            <w:r>
              <w:rPr>
                <w:noProof/>
              </w:rPr>
              <w:t>13</w:t>
            </w:r>
          </w:p>
        </w:tc>
        <w:tc>
          <w:tcPr>
            <w:tcW w:w="992" w:type="dxa"/>
            <w:tcBorders>
              <w:top w:val="single" w:sz="4" w:space="0" w:color="auto"/>
              <w:left w:val="nil"/>
              <w:bottom w:val="single" w:sz="4" w:space="0" w:color="auto"/>
              <w:right w:val="single" w:sz="4" w:space="0" w:color="auto"/>
            </w:tcBorders>
            <w:shd w:val="clear" w:color="auto" w:fill="C6EFCE"/>
            <w:noWrap/>
          </w:tcPr>
          <w:p w14:paraId="5E80C71A"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0D630E42" w14:textId="77777777" w:rsidR="00553430" w:rsidRDefault="00212577">
            <w:pPr>
              <w:pStyle w:val="P68B1DB1-Normal66"/>
              <w:spacing w:after="200" w:line="276" w:lineRule="auto"/>
              <w:jc w:val="center"/>
              <w:rPr>
                <w:noProof/>
              </w:rPr>
            </w:pPr>
            <w:r>
              <w:rPr>
                <w:noProof/>
              </w:rPr>
              <w:t>2022</w:t>
            </w:r>
          </w:p>
        </w:tc>
        <w:tc>
          <w:tcPr>
            <w:tcW w:w="3951" w:type="dxa"/>
            <w:tcBorders>
              <w:top w:val="single" w:sz="4" w:space="0" w:color="auto"/>
              <w:left w:val="nil"/>
              <w:bottom w:val="single" w:sz="4" w:space="0" w:color="auto"/>
              <w:right w:val="single" w:sz="4" w:space="0" w:color="auto"/>
            </w:tcBorders>
            <w:shd w:val="clear" w:color="auto" w:fill="C6EFCE"/>
            <w:noWrap/>
          </w:tcPr>
          <w:p w14:paraId="2C26BD57" w14:textId="77777777" w:rsidR="00553430" w:rsidRDefault="00212577">
            <w:pPr>
              <w:pStyle w:val="P68B1DB1-Normal66"/>
              <w:spacing w:after="200" w:line="276" w:lineRule="auto"/>
              <w:rPr>
                <w:noProof/>
              </w:rPr>
            </w:pPr>
            <w:r>
              <w:rPr>
                <w:noProof/>
              </w:rPr>
              <w:t>Au moins 13 km de structures de protection contre les inondations construites pour se protéger contre les effets nocifs de l'eau;</w:t>
            </w:r>
          </w:p>
        </w:tc>
      </w:tr>
      <w:tr w:rsidR="00553430" w14:paraId="1E1E94DA"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0E1D11C7" w14:textId="77777777" w:rsidR="00553430" w:rsidRDefault="00212577">
            <w:pPr>
              <w:pStyle w:val="P68B1DB1-Normal66"/>
              <w:spacing w:after="200" w:line="276" w:lineRule="auto"/>
              <w:jc w:val="center"/>
              <w:rPr>
                <w:noProof/>
              </w:rPr>
            </w:pPr>
            <w:r>
              <w:rPr>
                <w:noProof/>
              </w:rPr>
              <w:t>76</w:t>
            </w:r>
          </w:p>
        </w:tc>
        <w:tc>
          <w:tcPr>
            <w:tcW w:w="1080" w:type="dxa"/>
            <w:tcBorders>
              <w:top w:val="single" w:sz="4" w:space="0" w:color="auto"/>
              <w:left w:val="nil"/>
              <w:bottom w:val="single" w:sz="4" w:space="0" w:color="auto"/>
              <w:right w:val="single" w:sz="4" w:space="0" w:color="auto"/>
            </w:tcBorders>
            <w:shd w:val="clear" w:color="auto" w:fill="C6EFCE"/>
            <w:noWrap/>
          </w:tcPr>
          <w:p w14:paraId="0C3FA9DB" w14:textId="77777777" w:rsidR="00553430" w:rsidRDefault="00212577">
            <w:pPr>
              <w:pStyle w:val="P68B1DB1-Normal66"/>
              <w:spacing w:after="200" w:line="276" w:lineRule="auto"/>
              <w:jc w:val="center"/>
              <w:rPr>
                <w:noProof/>
              </w:rPr>
            </w:pPr>
            <w:r>
              <w:rPr>
                <w:noProof/>
              </w:rPr>
              <w:t>C1.3. R1-I3</w:t>
            </w:r>
          </w:p>
        </w:tc>
        <w:tc>
          <w:tcPr>
            <w:tcW w:w="1080" w:type="dxa"/>
            <w:tcBorders>
              <w:top w:val="single" w:sz="4" w:space="0" w:color="auto"/>
              <w:left w:val="nil"/>
              <w:bottom w:val="single" w:sz="4" w:space="0" w:color="auto"/>
              <w:right w:val="single" w:sz="4" w:space="0" w:color="auto"/>
            </w:tcBorders>
            <w:shd w:val="clear" w:color="auto" w:fill="C6EFCE"/>
            <w:noWrap/>
          </w:tcPr>
          <w:p w14:paraId="0163F0A2"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7213218F" w14:textId="77777777" w:rsidR="00553430" w:rsidRDefault="00212577">
            <w:pPr>
              <w:pStyle w:val="P68B1DB1-Normal66"/>
              <w:spacing w:after="200" w:line="276" w:lineRule="auto"/>
              <w:rPr>
                <w:noProof/>
              </w:rPr>
            </w:pPr>
            <w:r>
              <w:rPr>
                <w:noProof/>
              </w:rPr>
              <w:t xml:space="preserve">Des cours d'eau revitalisés </w:t>
            </w:r>
          </w:p>
        </w:tc>
        <w:tc>
          <w:tcPr>
            <w:tcW w:w="1884" w:type="dxa"/>
            <w:tcBorders>
              <w:top w:val="single" w:sz="4" w:space="0" w:color="auto"/>
              <w:left w:val="nil"/>
              <w:bottom w:val="single" w:sz="4" w:space="0" w:color="auto"/>
              <w:right w:val="single" w:sz="4" w:space="0" w:color="auto"/>
            </w:tcBorders>
            <w:shd w:val="clear" w:color="auto" w:fill="C6EFCE"/>
            <w:noWrap/>
          </w:tcPr>
          <w:p w14:paraId="62FB5951"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5F9E733B"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5CB79378" w14:textId="77777777" w:rsidR="00553430" w:rsidRDefault="00212577">
            <w:pPr>
              <w:pStyle w:val="P68B1DB1-Normal66"/>
              <w:spacing w:after="20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09A15829" w14:textId="77777777" w:rsidR="00553430" w:rsidRDefault="00212577">
            <w:pPr>
              <w:pStyle w:val="P68B1DB1-Normal66"/>
              <w:spacing w:after="200" w:line="276" w:lineRule="auto"/>
              <w:jc w:val="center"/>
              <w:rPr>
                <w:noProof/>
              </w:rPr>
            </w:pPr>
            <w:r>
              <w:rPr>
                <w:noProof/>
              </w:rPr>
              <w:t>2</w:t>
            </w:r>
          </w:p>
        </w:tc>
        <w:tc>
          <w:tcPr>
            <w:tcW w:w="992" w:type="dxa"/>
            <w:tcBorders>
              <w:top w:val="single" w:sz="4" w:space="0" w:color="auto"/>
              <w:left w:val="nil"/>
              <w:bottom w:val="single" w:sz="4" w:space="0" w:color="auto"/>
              <w:right w:val="single" w:sz="4" w:space="0" w:color="auto"/>
            </w:tcBorders>
            <w:shd w:val="clear" w:color="auto" w:fill="C6EFCE"/>
            <w:noWrap/>
          </w:tcPr>
          <w:p w14:paraId="0DBFD026"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12A0FE93" w14:textId="77777777" w:rsidR="00553430" w:rsidRDefault="00212577">
            <w:pPr>
              <w:pStyle w:val="P68B1DB1-Normal66"/>
              <w:spacing w:after="200" w:line="276" w:lineRule="auto"/>
              <w:jc w:val="center"/>
              <w:rPr>
                <w:noProof/>
              </w:rPr>
            </w:pPr>
            <w:r>
              <w:rPr>
                <w:noProof/>
              </w:rPr>
              <w:t>2022</w:t>
            </w:r>
          </w:p>
        </w:tc>
        <w:tc>
          <w:tcPr>
            <w:tcW w:w="3951" w:type="dxa"/>
            <w:tcBorders>
              <w:top w:val="single" w:sz="4" w:space="0" w:color="auto"/>
              <w:left w:val="nil"/>
              <w:bottom w:val="single" w:sz="4" w:space="0" w:color="auto"/>
              <w:right w:val="single" w:sz="4" w:space="0" w:color="auto"/>
            </w:tcBorders>
            <w:shd w:val="clear" w:color="auto" w:fill="C6EFCE"/>
            <w:noWrap/>
          </w:tcPr>
          <w:p w14:paraId="45530CCB" w14:textId="77777777" w:rsidR="00553430" w:rsidRDefault="00212577">
            <w:pPr>
              <w:pStyle w:val="P68B1DB1-Normal66"/>
              <w:spacing w:after="200" w:line="276" w:lineRule="auto"/>
              <w:rPr>
                <w:noProof/>
              </w:rPr>
            </w:pPr>
            <w:r>
              <w:rPr>
                <w:noProof/>
              </w:rPr>
              <w:t xml:space="preserve">Au moins 2 km de cours d’eau restaurés, y compris </w:t>
            </w:r>
            <w:r>
              <w:rPr>
                <w:noProof/>
              </w:rPr>
              <w:t>la revitalisation des manchons abandonnés, le contact permanent avec les rivières et les manchons et les investissements dans les infrastructures connexes.</w:t>
            </w:r>
          </w:p>
        </w:tc>
      </w:tr>
      <w:tr w:rsidR="00553430" w14:paraId="11372C74"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6411F27" w14:textId="77777777" w:rsidR="00553430" w:rsidRDefault="00212577">
            <w:pPr>
              <w:pStyle w:val="P68B1DB1-Normal66"/>
              <w:spacing w:after="200" w:line="276" w:lineRule="auto"/>
              <w:jc w:val="center"/>
              <w:rPr>
                <w:noProof/>
              </w:rPr>
            </w:pPr>
            <w:r>
              <w:rPr>
                <w:noProof/>
              </w:rPr>
              <w:t>77</w:t>
            </w:r>
          </w:p>
        </w:tc>
        <w:tc>
          <w:tcPr>
            <w:tcW w:w="1080" w:type="dxa"/>
            <w:tcBorders>
              <w:top w:val="single" w:sz="4" w:space="0" w:color="auto"/>
              <w:left w:val="nil"/>
              <w:bottom w:val="single" w:sz="4" w:space="0" w:color="auto"/>
              <w:right w:val="single" w:sz="4" w:space="0" w:color="auto"/>
            </w:tcBorders>
            <w:shd w:val="clear" w:color="auto" w:fill="C6EFCE"/>
            <w:noWrap/>
          </w:tcPr>
          <w:p w14:paraId="5B54D83C" w14:textId="77777777" w:rsidR="00553430" w:rsidRDefault="00212577">
            <w:pPr>
              <w:pStyle w:val="P68B1DB1-Normal66"/>
              <w:spacing w:after="200" w:line="276" w:lineRule="auto"/>
              <w:jc w:val="center"/>
              <w:rPr>
                <w:noProof/>
              </w:rPr>
            </w:pPr>
            <w:r>
              <w:rPr>
                <w:noProof/>
              </w:rPr>
              <w:t>C1.3. R1-I3</w:t>
            </w:r>
          </w:p>
        </w:tc>
        <w:tc>
          <w:tcPr>
            <w:tcW w:w="1080" w:type="dxa"/>
            <w:tcBorders>
              <w:top w:val="single" w:sz="4" w:space="0" w:color="auto"/>
              <w:left w:val="nil"/>
              <w:bottom w:val="single" w:sz="4" w:space="0" w:color="auto"/>
              <w:right w:val="single" w:sz="4" w:space="0" w:color="auto"/>
            </w:tcBorders>
            <w:shd w:val="clear" w:color="auto" w:fill="C6EFCE"/>
            <w:noWrap/>
          </w:tcPr>
          <w:p w14:paraId="60F8510F"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314A8F6E" w14:textId="77777777" w:rsidR="00553430" w:rsidRDefault="00212577">
            <w:pPr>
              <w:pStyle w:val="P68B1DB1-Normal66"/>
              <w:spacing w:after="200" w:line="276" w:lineRule="auto"/>
              <w:rPr>
                <w:noProof/>
              </w:rPr>
            </w:pPr>
            <w:r>
              <w:rPr>
                <w:noProof/>
              </w:rPr>
              <w:t xml:space="preserve">Construction de structures de protection contre les inondations </w:t>
            </w:r>
          </w:p>
        </w:tc>
        <w:tc>
          <w:tcPr>
            <w:tcW w:w="1884" w:type="dxa"/>
            <w:tcBorders>
              <w:top w:val="single" w:sz="4" w:space="0" w:color="auto"/>
              <w:left w:val="nil"/>
              <w:bottom w:val="single" w:sz="4" w:space="0" w:color="auto"/>
              <w:right w:val="single" w:sz="4" w:space="0" w:color="auto"/>
            </w:tcBorders>
            <w:shd w:val="clear" w:color="auto" w:fill="C6EFCE"/>
            <w:noWrap/>
          </w:tcPr>
          <w:p w14:paraId="146D46C8"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3F4115A3"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3EE7E3C9" w14:textId="77777777" w:rsidR="00553430" w:rsidRDefault="00212577">
            <w:pPr>
              <w:pStyle w:val="P68B1DB1-Normal66"/>
              <w:spacing w:after="20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611A5A21" w14:textId="77777777" w:rsidR="00553430" w:rsidRDefault="00212577">
            <w:pPr>
              <w:pStyle w:val="P68B1DB1-Normal66"/>
              <w:spacing w:after="200" w:line="276" w:lineRule="auto"/>
              <w:jc w:val="center"/>
              <w:rPr>
                <w:noProof/>
              </w:rPr>
            </w:pPr>
            <w:r>
              <w:rPr>
                <w:noProof/>
              </w:rPr>
              <w:t>65</w:t>
            </w:r>
          </w:p>
        </w:tc>
        <w:tc>
          <w:tcPr>
            <w:tcW w:w="992" w:type="dxa"/>
            <w:tcBorders>
              <w:top w:val="single" w:sz="4" w:space="0" w:color="auto"/>
              <w:left w:val="nil"/>
              <w:bottom w:val="single" w:sz="4" w:space="0" w:color="auto"/>
              <w:right w:val="single" w:sz="4" w:space="0" w:color="auto"/>
            </w:tcBorders>
            <w:shd w:val="clear" w:color="auto" w:fill="C6EFCE"/>
            <w:noWrap/>
          </w:tcPr>
          <w:p w14:paraId="4B008219" w14:textId="77777777" w:rsidR="00553430" w:rsidRDefault="00212577">
            <w:pPr>
              <w:pStyle w:val="P68B1DB1-Normal66"/>
              <w:spacing w:after="200" w:line="276" w:lineRule="auto"/>
              <w:jc w:val="center"/>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6D8BD850" w14:textId="77777777" w:rsidR="00553430" w:rsidRDefault="00212577">
            <w:pPr>
              <w:pStyle w:val="P68B1DB1-Normal66"/>
              <w:spacing w:after="200" w:line="276" w:lineRule="auto"/>
              <w:jc w:val="center"/>
              <w:rPr>
                <w:noProof/>
              </w:rPr>
            </w:pPr>
            <w:r>
              <w:rPr>
                <w:noProof/>
              </w:rPr>
              <w:t>2024</w:t>
            </w:r>
          </w:p>
        </w:tc>
        <w:tc>
          <w:tcPr>
            <w:tcW w:w="3951" w:type="dxa"/>
            <w:tcBorders>
              <w:top w:val="single" w:sz="4" w:space="0" w:color="auto"/>
              <w:left w:val="nil"/>
              <w:bottom w:val="single" w:sz="4" w:space="0" w:color="auto"/>
              <w:right w:val="single" w:sz="4" w:space="0" w:color="auto"/>
            </w:tcBorders>
            <w:shd w:val="clear" w:color="auto" w:fill="C6EFCE"/>
            <w:noWrap/>
          </w:tcPr>
          <w:p w14:paraId="28F67019" w14:textId="77777777" w:rsidR="00553430" w:rsidRDefault="00212577">
            <w:pPr>
              <w:pStyle w:val="P68B1DB1-Normal66"/>
              <w:spacing w:after="200" w:line="276" w:lineRule="auto"/>
              <w:rPr>
                <w:noProof/>
                <w:color w:val="000000" w:themeColor="text1"/>
              </w:rPr>
            </w:pPr>
            <w:r>
              <w:rPr>
                <w:noProof/>
              </w:rPr>
              <w:t>Au moins 65 km de structures de protection contre les inondations construites pour se protéger contre les effets nocifs de l'eau.</w:t>
            </w:r>
          </w:p>
        </w:tc>
      </w:tr>
      <w:tr w:rsidR="00553430" w14:paraId="7FD58C71"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0CB1088E" w14:textId="77777777" w:rsidR="00553430" w:rsidRDefault="00212577">
            <w:pPr>
              <w:pStyle w:val="P68B1DB1-Normal66"/>
              <w:spacing w:after="200" w:line="276" w:lineRule="auto"/>
              <w:jc w:val="center"/>
              <w:rPr>
                <w:noProof/>
              </w:rPr>
            </w:pPr>
            <w:r>
              <w:rPr>
                <w:noProof/>
              </w:rPr>
              <w:t>78</w:t>
            </w:r>
          </w:p>
        </w:tc>
        <w:tc>
          <w:tcPr>
            <w:tcW w:w="1080" w:type="dxa"/>
            <w:tcBorders>
              <w:top w:val="single" w:sz="4" w:space="0" w:color="auto"/>
              <w:left w:val="nil"/>
              <w:bottom w:val="single" w:sz="4" w:space="0" w:color="auto"/>
              <w:right w:val="single" w:sz="4" w:space="0" w:color="auto"/>
            </w:tcBorders>
            <w:shd w:val="clear" w:color="auto" w:fill="C6EFCE"/>
            <w:noWrap/>
          </w:tcPr>
          <w:p w14:paraId="7EA1DBB7" w14:textId="77777777" w:rsidR="00553430" w:rsidRDefault="00212577">
            <w:pPr>
              <w:pStyle w:val="P68B1DB1-Normal66"/>
              <w:spacing w:after="200" w:line="276" w:lineRule="auto"/>
              <w:jc w:val="center"/>
              <w:rPr>
                <w:noProof/>
              </w:rPr>
            </w:pPr>
            <w:r>
              <w:rPr>
                <w:noProof/>
              </w:rPr>
              <w:t>C1.3. R1-I3</w:t>
            </w:r>
          </w:p>
        </w:tc>
        <w:tc>
          <w:tcPr>
            <w:tcW w:w="1080" w:type="dxa"/>
            <w:tcBorders>
              <w:top w:val="single" w:sz="4" w:space="0" w:color="auto"/>
              <w:left w:val="nil"/>
              <w:bottom w:val="single" w:sz="4" w:space="0" w:color="auto"/>
              <w:right w:val="single" w:sz="4" w:space="0" w:color="auto"/>
            </w:tcBorders>
            <w:shd w:val="clear" w:color="auto" w:fill="C6EFCE"/>
            <w:noWrap/>
          </w:tcPr>
          <w:p w14:paraId="2276FB29"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498E1B27" w14:textId="77777777" w:rsidR="00553430" w:rsidRDefault="00212577">
            <w:pPr>
              <w:pStyle w:val="P68B1DB1-Normal66"/>
              <w:spacing w:after="200" w:line="276" w:lineRule="auto"/>
              <w:rPr>
                <w:noProof/>
              </w:rPr>
            </w:pPr>
            <w:r>
              <w:rPr>
                <w:noProof/>
              </w:rPr>
              <w:t xml:space="preserve">Des cours d'eau revitalisés </w:t>
            </w:r>
          </w:p>
        </w:tc>
        <w:tc>
          <w:tcPr>
            <w:tcW w:w="1884" w:type="dxa"/>
            <w:tcBorders>
              <w:top w:val="single" w:sz="4" w:space="0" w:color="auto"/>
              <w:left w:val="nil"/>
              <w:bottom w:val="single" w:sz="4" w:space="0" w:color="auto"/>
              <w:right w:val="single" w:sz="4" w:space="0" w:color="auto"/>
            </w:tcBorders>
            <w:shd w:val="clear" w:color="auto" w:fill="C6EFCE"/>
            <w:noWrap/>
          </w:tcPr>
          <w:p w14:paraId="6BB4770A"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0547AC9A"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29B54E10" w14:textId="77777777" w:rsidR="00553430" w:rsidRDefault="00212577">
            <w:pPr>
              <w:pStyle w:val="P68B1DB1-Normal66"/>
              <w:spacing w:after="20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2B80858B" w14:textId="77777777" w:rsidR="00553430" w:rsidRDefault="00212577">
            <w:pPr>
              <w:pStyle w:val="P68B1DB1-Normal66"/>
              <w:spacing w:after="200" w:line="276" w:lineRule="auto"/>
              <w:jc w:val="center"/>
              <w:rPr>
                <w:noProof/>
              </w:rPr>
            </w:pPr>
            <w:r>
              <w:rPr>
                <w:noProof/>
              </w:rPr>
              <w:t>16</w:t>
            </w:r>
          </w:p>
        </w:tc>
        <w:tc>
          <w:tcPr>
            <w:tcW w:w="992" w:type="dxa"/>
            <w:tcBorders>
              <w:top w:val="single" w:sz="4" w:space="0" w:color="auto"/>
              <w:left w:val="nil"/>
              <w:bottom w:val="single" w:sz="4" w:space="0" w:color="auto"/>
              <w:right w:val="single" w:sz="4" w:space="0" w:color="auto"/>
            </w:tcBorders>
            <w:shd w:val="clear" w:color="auto" w:fill="C6EFCE"/>
            <w:noWrap/>
          </w:tcPr>
          <w:p w14:paraId="7C8FF524" w14:textId="77777777" w:rsidR="00553430" w:rsidRDefault="00212577">
            <w:pPr>
              <w:pStyle w:val="P68B1DB1-Normal66"/>
              <w:spacing w:after="200" w:line="276" w:lineRule="auto"/>
              <w:jc w:val="center"/>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39BC6981" w14:textId="77777777" w:rsidR="00553430" w:rsidRDefault="00212577">
            <w:pPr>
              <w:pStyle w:val="P68B1DB1-Normal66"/>
              <w:spacing w:after="200" w:line="276" w:lineRule="auto"/>
              <w:jc w:val="center"/>
              <w:rPr>
                <w:noProof/>
              </w:rPr>
            </w:pPr>
            <w:r>
              <w:rPr>
                <w:noProof/>
              </w:rPr>
              <w:t>2025</w:t>
            </w:r>
          </w:p>
        </w:tc>
        <w:tc>
          <w:tcPr>
            <w:tcW w:w="3951" w:type="dxa"/>
            <w:tcBorders>
              <w:top w:val="single" w:sz="4" w:space="0" w:color="auto"/>
              <w:left w:val="nil"/>
              <w:bottom w:val="single" w:sz="4" w:space="0" w:color="auto"/>
              <w:right w:val="single" w:sz="4" w:space="0" w:color="auto"/>
            </w:tcBorders>
            <w:shd w:val="clear" w:color="auto" w:fill="C6EFCE"/>
            <w:noWrap/>
          </w:tcPr>
          <w:p w14:paraId="0C28446C" w14:textId="77777777" w:rsidR="00553430" w:rsidRDefault="00212577">
            <w:pPr>
              <w:pStyle w:val="P68B1DB1-Normal66"/>
              <w:spacing w:after="200" w:line="276" w:lineRule="auto"/>
              <w:rPr>
                <w:noProof/>
                <w:u w:val="single"/>
              </w:rPr>
            </w:pPr>
            <w:r>
              <w:rPr>
                <w:noProof/>
              </w:rPr>
              <w:t xml:space="preserve">Au moins 16 km de cours d’eau restaurés, y compris </w:t>
            </w:r>
            <w:r>
              <w:rPr>
                <w:noProof/>
              </w:rPr>
              <w:t>la revitalisation des manchons abandonnés, le contact permanent avec les rivières et les manchons et les investissements dans les infrastructures connexes.</w:t>
            </w:r>
          </w:p>
        </w:tc>
      </w:tr>
      <w:tr w:rsidR="00553430" w14:paraId="68457A8E"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3E79C782" w14:textId="77777777" w:rsidR="00553430" w:rsidRDefault="00212577">
            <w:pPr>
              <w:pStyle w:val="P68B1DB1-Normal66"/>
              <w:spacing w:after="200" w:line="276" w:lineRule="auto"/>
              <w:jc w:val="center"/>
              <w:rPr>
                <w:noProof/>
              </w:rPr>
            </w:pPr>
            <w:r>
              <w:rPr>
                <w:noProof/>
              </w:rPr>
              <w:t>79</w:t>
            </w:r>
          </w:p>
        </w:tc>
        <w:tc>
          <w:tcPr>
            <w:tcW w:w="1080" w:type="dxa"/>
            <w:tcBorders>
              <w:top w:val="single" w:sz="4" w:space="0" w:color="auto"/>
              <w:left w:val="nil"/>
              <w:bottom w:val="single" w:sz="4" w:space="0" w:color="auto"/>
              <w:right w:val="single" w:sz="4" w:space="0" w:color="auto"/>
            </w:tcBorders>
            <w:shd w:val="clear" w:color="auto" w:fill="C6EFCE"/>
            <w:noWrap/>
          </w:tcPr>
          <w:p w14:paraId="60E794D3" w14:textId="77777777" w:rsidR="00553430" w:rsidRDefault="00212577">
            <w:pPr>
              <w:pStyle w:val="P68B1DB1-Normal66"/>
              <w:spacing w:after="200" w:line="276" w:lineRule="auto"/>
              <w:jc w:val="center"/>
              <w:rPr>
                <w:noProof/>
              </w:rPr>
            </w:pPr>
            <w:r>
              <w:rPr>
                <w:noProof/>
              </w:rPr>
              <w:t>C1.3. R1-I3</w:t>
            </w:r>
          </w:p>
        </w:tc>
        <w:tc>
          <w:tcPr>
            <w:tcW w:w="1080" w:type="dxa"/>
            <w:tcBorders>
              <w:top w:val="single" w:sz="4" w:space="0" w:color="auto"/>
              <w:left w:val="nil"/>
              <w:bottom w:val="single" w:sz="4" w:space="0" w:color="auto"/>
              <w:right w:val="single" w:sz="4" w:space="0" w:color="auto"/>
            </w:tcBorders>
            <w:shd w:val="clear" w:color="auto" w:fill="C6EFCE"/>
            <w:noWrap/>
          </w:tcPr>
          <w:p w14:paraId="2F45513F"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114ABBA0" w14:textId="77777777" w:rsidR="00553430" w:rsidRDefault="00212577">
            <w:pPr>
              <w:pStyle w:val="P68B1DB1-Normal66"/>
              <w:spacing w:after="200" w:line="276" w:lineRule="auto"/>
              <w:rPr>
                <w:noProof/>
              </w:rPr>
            </w:pPr>
            <w:r>
              <w:rPr>
                <w:noProof/>
              </w:rPr>
              <w:t xml:space="preserve">Construction de structures de protection contre les inondations </w:t>
            </w:r>
          </w:p>
        </w:tc>
        <w:tc>
          <w:tcPr>
            <w:tcW w:w="1884" w:type="dxa"/>
            <w:tcBorders>
              <w:top w:val="single" w:sz="4" w:space="0" w:color="auto"/>
              <w:left w:val="nil"/>
              <w:bottom w:val="single" w:sz="4" w:space="0" w:color="auto"/>
              <w:right w:val="single" w:sz="4" w:space="0" w:color="auto"/>
            </w:tcBorders>
            <w:shd w:val="clear" w:color="auto" w:fill="C6EFCE"/>
            <w:noWrap/>
          </w:tcPr>
          <w:p w14:paraId="7B0CA584"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2F36A23B"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5DFA6CDA" w14:textId="6FB8CCD6" w:rsidR="00553430" w:rsidRDefault="00212577">
            <w:pPr>
              <w:pStyle w:val="P68B1DB1-Normal66"/>
              <w:spacing w:after="200" w:line="276" w:lineRule="auto"/>
              <w:jc w:val="center"/>
              <w:rPr>
                <w:noProof/>
              </w:rPr>
            </w:pPr>
            <w:r>
              <w:rPr>
                <w:noProof/>
              </w:rPr>
              <w:t>65</w:t>
            </w:r>
          </w:p>
        </w:tc>
        <w:tc>
          <w:tcPr>
            <w:tcW w:w="992" w:type="dxa"/>
            <w:tcBorders>
              <w:top w:val="single" w:sz="4" w:space="0" w:color="auto"/>
              <w:left w:val="nil"/>
              <w:bottom w:val="single" w:sz="4" w:space="0" w:color="auto"/>
              <w:right w:val="single" w:sz="4" w:space="0" w:color="auto"/>
            </w:tcBorders>
            <w:shd w:val="clear" w:color="auto" w:fill="C6EFCE"/>
            <w:noWrap/>
          </w:tcPr>
          <w:p w14:paraId="6B2EC29B" w14:textId="77777777" w:rsidR="00553430" w:rsidRDefault="00212577">
            <w:pPr>
              <w:pStyle w:val="P68B1DB1-Normal66"/>
              <w:spacing w:after="200" w:line="276" w:lineRule="auto"/>
              <w:jc w:val="center"/>
              <w:rPr>
                <w:noProof/>
              </w:rPr>
            </w:pPr>
            <w:r>
              <w:rPr>
                <w:noProof/>
              </w:rPr>
              <w:t>77</w:t>
            </w:r>
          </w:p>
        </w:tc>
        <w:tc>
          <w:tcPr>
            <w:tcW w:w="992" w:type="dxa"/>
            <w:tcBorders>
              <w:top w:val="single" w:sz="4" w:space="0" w:color="auto"/>
              <w:left w:val="nil"/>
              <w:bottom w:val="single" w:sz="4" w:space="0" w:color="auto"/>
              <w:right w:val="single" w:sz="4" w:space="0" w:color="auto"/>
            </w:tcBorders>
            <w:shd w:val="clear" w:color="auto" w:fill="C6EFCE"/>
            <w:noWrap/>
          </w:tcPr>
          <w:p w14:paraId="7BECA539"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408B71B8" w14:textId="77777777" w:rsidR="00553430" w:rsidRDefault="00212577">
            <w:pPr>
              <w:pStyle w:val="P68B1DB1-Normal66"/>
              <w:spacing w:after="200" w:line="276" w:lineRule="auto"/>
              <w:jc w:val="center"/>
              <w:rPr>
                <w:noProof/>
              </w:rPr>
            </w:pPr>
            <w:r>
              <w:rPr>
                <w:noProof/>
              </w:rPr>
              <w:t>2025</w:t>
            </w:r>
          </w:p>
        </w:tc>
        <w:tc>
          <w:tcPr>
            <w:tcW w:w="3951" w:type="dxa"/>
            <w:tcBorders>
              <w:top w:val="single" w:sz="4" w:space="0" w:color="auto"/>
              <w:left w:val="nil"/>
              <w:bottom w:val="single" w:sz="4" w:space="0" w:color="auto"/>
              <w:right w:val="single" w:sz="4" w:space="0" w:color="auto"/>
            </w:tcBorders>
            <w:shd w:val="clear" w:color="auto" w:fill="C6EFCE"/>
            <w:noWrap/>
          </w:tcPr>
          <w:p w14:paraId="40967CFB" w14:textId="1F9722C8" w:rsidR="00553430" w:rsidRDefault="00212577">
            <w:pPr>
              <w:pStyle w:val="P68B1DB1-Normal66"/>
              <w:spacing w:after="200" w:line="276" w:lineRule="auto"/>
              <w:rPr>
                <w:noProof/>
                <w:color w:val="000000" w:themeColor="text1"/>
              </w:rPr>
            </w:pPr>
            <w:r>
              <w:rPr>
                <w:noProof/>
              </w:rPr>
              <w:t>Au moins 12 km de structures de protection contre les inondations construites pour se protéger contre les effets nocifs de l'eau.</w:t>
            </w:r>
          </w:p>
        </w:tc>
      </w:tr>
      <w:tr w:rsidR="00553430" w14:paraId="6190338A"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C7B7D77" w14:textId="77777777" w:rsidR="00553430" w:rsidRDefault="00212577">
            <w:pPr>
              <w:pStyle w:val="P68B1DB1-Normal66"/>
              <w:spacing w:after="200" w:line="276" w:lineRule="auto"/>
              <w:jc w:val="center"/>
              <w:rPr>
                <w:noProof/>
              </w:rPr>
            </w:pPr>
            <w:r>
              <w:rPr>
                <w:noProof/>
              </w:rPr>
              <w:t>81</w:t>
            </w:r>
          </w:p>
        </w:tc>
        <w:tc>
          <w:tcPr>
            <w:tcW w:w="1080" w:type="dxa"/>
            <w:tcBorders>
              <w:top w:val="single" w:sz="4" w:space="0" w:color="auto"/>
              <w:left w:val="nil"/>
              <w:bottom w:val="single" w:sz="4" w:space="0" w:color="auto"/>
              <w:right w:val="single" w:sz="4" w:space="0" w:color="auto"/>
            </w:tcBorders>
            <w:shd w:val="clear" w:color="auto" w:fill="C6EFCE"/>
            <w:noWrap/>
          </w:tcPr>
          <w:p w14:paraId="38891CF1" w14:textId="77777777" w:rsidR="00553430" w:rsidRDefault="00212577">
            <w:pPr>
              <w:pStyle w:val="P68B1DB1-Normal66"/>
              <w:spacing w:after="200" w:line="276" w:lineRule="auto"/>
              <w:jc w:val="center"/>
              <w:rPr>
                <w:noProof/>
              </w:rPr>
            </w:pPr>
            <w:r>
              <w:rPr>
                <w:noProof/>
              </w:rPr>
              <w:t>C1.3. R2</w:t>
            </w:r>
          </w:p>
        </w:tc>
        <w:tc>
          <w:tcPr>
            <w:tcW w:w="1080" w:type="dxa"/>
            <w:tcBorders>
              <w:top w:val="single" w:sz="4" w:space="0" w:color="auto"/>
              <w:left w:val="nil"/>
              <w:bottom w:val="single" w:sz="4" w:space="0" w:color="auto"/>
              <w:right w:val="single" w:sz="4" w:space="0" w:color="auto"/>
            </w:tcBorders>
            <w:shd w:val="clear" w:color="auto" w:fill="C6EFCE"/>
            <w:noWrap/>
          </w:tcPr>
          <w:p w14:paraId="7F2813CD" w14:textId="77777777" w:rsidR="00553430" w:rsidRDefault="00212577">
            <w:pPr>
              <w:pStyle w:val="P68B1DB1-Normal66"/>
              <w:spacing w:after="200" w:line="276" w:lineRule="auto"/>
              <w:jc w:val="center"/>
              <w:rPr>
                <w:noProof/>
              </w:rPr>
            </w:pPr>
            <w:r>
              <w:rPr>
                <w:noProof/>
              </w:rPr>
              <w:t>M</w:t>
            </w:r>
          </w:p>
        </w:tc>
        <w:tc>
          <w:tcPr>
            <w:tcW w:w="1920" w:type="dxa"/>
            <w:tcBorders>
              <w:top w:val="single" w:sz="4" w:space="0" w:color="auto"/>
              <w:left w:val="nil"/>
              <w:bottom w:val="single" w:sz="4" w:space="0" w:color="auto"/>
              <w:right w:val="single" w:sz="4" w:space="0" w:color="auto"/>
            </w:tcBorders>
            <w:shd w:val="clear" w:color="auto" w:fill="C6EFCE"/>
            <w:noWrap/>
          </w:tcPr>
          <w:p w14:paraId="3F8C9FE6" w14:textId="77777777" w:rsidR="00553430" w:rsidRDefault="00212577">
            <w:pPr>
              <w:pStyle w:val="P68B1DB1-Normal66"/>
              <w:spacing w:after="200" w:line="276" w:lineRule="auto"/>
              <w:rPr>
                <w:noProof/>
              </w:rPr>
            </w:pPr>
            <w:r>
              <w:rPr>
                <w:noProof/>
              </w:rPr>
              <w:t xml:space="preserve">Adoption de la loi sur la gestion des déchets </w:t>
            </w:r>
          </w:p>
        </w:tc>
        <w:tc>
          <w:tcPr>
            <w:tcW w:w="1884" w:type="dxa"/>
            <w:tcBorders>
              <w:top w:val="single" w:sz="4" w:space="0" w:color="auto"/>
              <w:left w:val="nil"/>
              <w:bottom w:val="single" w:sz="4" w:space="0" w:color="auto"/>
              <w:right w:val="single" w:sz="4" w:space="0" w:color="auto"/>
            </w:tcBorders>
            <w:shd w:val="clear" w:color="auto" w:fill="C6EFCE"/>
            <w:noWrap/>
          </w:tcPr>
          <w:p w14:paraId="10DF2149" w14:textId="77777777" w:rsidR="00553430" w:rsidRDefault="00212577">
            <w:pPr>
              <w:pStyle w:val="P68B1DB1-Normal66"/>
              <w:spacing w:after="200" w:line="276" w:lineRule="auto"/>
              <w:rPr>
                <w:noProof/>
              </w:rPr>
            </w:pPr>
            <w:r>
              <w:rPr>
                <w:noProof/>
              </w:rPr>
              <w:t xml:space="preserve">Entrée en vigueur de la loi sur la gestion des déchets </w:t>
            </w:r>
          </w:p>
        </w:tc>
        <w:tc>
          <w:tcPr>
            <w:tcW w:w="1134" w:type="dxa"/>
            <w:tcBorders>
              <w:top w:val="single" w:sz="4" w:space="0" w:color="auto"/>
              <w:left w:val="nil"/>
              <w:bottom w:val="single" w:sz="4" w:space="0" w:color="auto"/>
              <w:right w:val="single" w:sz="4" w:space="0" w:color="auto"/>
            </w:tcBorders>
            <w:shd w:val="clear" w:color="auto" w:fill="C6EFCE"/>
            <w:noWrap/>
          </w:tcPr>
          <w:p w14:paraId="5B0CA21E" w14:textId="77777777" w:rsidR="00553430" w:rsidRDefault="00212577">
            <w:pPr>
              <w:pStyle w:val="P68B1DB1-Normal66"/>
              <w:spacing w:after="200" w:line="276" w:lineRule="auto"/>
              <w:jc w:val="center"/>
              <w:rPr>
                <w:noProof/>
              </w:rPr>
            </w:pPr>
            <w:r>
              <w:rPr>
                <w:noProof/>
              </w:rPr>
              <w:t> </w:t>
            </w:r>
          </w:p>
        </w:tc>
        <w:tc>
          <w:tcPr>
            <w:tcW w:w="1011" w:type="dxa"/>
            <w:tcBorders>
              <w:top w:val="single" w:sz="4" w:space="0" w:color="auto"/>
              <w:left w:val="nil"/>
              <w:bottom w:val="single" w:sz="4" w:space="0" w:color="auto"/>
              <w:right w:val="single" w:sz="4" w:space="0" w:color="auto"/>
            </w:tcBorders>
            <w:shd w:val="clear" w:color="auto" w:fill="C6EFCE"/>
            <w:noWrap/>
          </w:tcPr>
          <w:p w14:paraId="0EB4465F" w14:textId="77777777" w:rsidR="00553430" w:rsidRDefault="00212577">
            <w:pPr>
              <w:pStyle w:val="P68B1DB1-Normal66"/>
              <w:spacing w:after="200" w:line="276" w:lineRule="auto"/>
              <w:jc w:val="center"/>
              <w:rPr>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34FC6C73" w14:textId="77777777" w:rsidR="00553430" w:rsidRDefault="00212577">
            <w:pPr>
              <w:pStyle w:val="P68B1DB1-Normal66"/>
              <w:spacing w:after="200" w:line="276" w:lineRule="auto"/>
              <w:jc w:val="center"/>
              <w:rPr>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52D94B9F" w14:textId="77777777" w:rsidR="00553430" w:rsidRDefault="00212577">
            <w:pPr>
              <w:pStyle w:val="P68B1DB1-Normal66"/>
              <w:spacing w:after="200" w:line="276" w:lineRule="auto"/>
              <w:jc w:val="center"/>
              <w:rPr>
                <w:noProof/>
              </w:rPr>
            </w:pPr>
            <w:r>
              <w:rPr>
                <w:noProof/>
              </w:rPr>
              <w:t>T3</w:t>
            </w:r>
          </w:p>
        </w:tc>
        <w:tc>
          <w:tcPr>
            <w:tcW w:w="851" w:type="dxa"/>
            <w:tcBorders>
              <w:top w:val="single" w:sz="4" w:space="0" w:color="auto"/>
              <w:left w:val="nil"/>
              <w:bottom w:val="single" w:sz="4" w:space="0" w:color="auto"/>
              <w:right w:val="single" w:sz="4" w:space="0" w:color="auto"/>
            </w:tcBorders>
            <w:shd w:val="clear" w:color="auto" w:fill="C6EFCE"/>
            <w:noWrap/>
          </w:tcPr>
          <w:p w14:paraId="7536F66A" w14:textId="77777777" w:rsidR="00553430" w:rsidRDefault="00212577">
            <w:pPr>
              <w:pStyle w:val="P68B1DB1-Normal66"/>
              <w:spacing w:after="200" w:line="276" w:lineRule="auto"/>
              <w:jc w:val="center"/>
              <w:rPr>
                <w:noProof/>
              </w:rPr>
            </w:pPr>
            <w:r>
              <w:rPr>
                <w:noProof/>
              </w:rPr>
              <w:t>2021</w:t>
            </w:r>
          </w:p>
        </w:tc>
        <w:tc>
          <w:tcPr>
            <w:tcW w:w="3951" w:type="dxa"/>
            <w:tcBorders>
              <w:top w:val="single" w:sz="4" w:space="0" w:color="auto"/>
              <w:left w:val="nil"/>
              <w:bottom w:val="single" w:sz="4" w:space="0" w:color="auto"/>
              <w:right w:val="single" w:sz="4" w:space="0" w:color="auto"/>
            </w:tcBorders>
            <w:shd w:val="clear" w:color="auto" w:fill="C6EFCE"/>
            <w:noWrap/>
          </w:tcPr>
          <w:p w14:paraId="589830AD" w14:textId="77777777" w:rsidR="00553430" w:rsidRDefault="00212577">
            <w:pPr>
              <w:pStyle w:val="P68B1DB1-Normal66"/>
              <w:spacing w:after="200" w:line="276" w:lineRule="auto"/>
              <w:rPr>
                <w:noProof/>
              </w:rPr>
            </w:pPr>
            <w:r>
              <w:rPr>
                <w:noProof/>
              </w:rPr>
              <w:t xml:space="preserve">Le nouveau règlement sur la gestion des déchets réglemente la prévention des déchets, la préparation en vue du réemploi et le recyclage conformément au concept d’économie circulaire et au pacte vert pour l’Europe. La loi comprendra des mesures </w:t>
            </w:r>
            <w:r>
              <w:rPr>
                <w:noProof/>
              </w:rPr>
              <w:t>spécifiques visant à soutenir l’économie circulaire, à savoir l’élaboration d’une feuille de route sur l’économie circulaire, de régimes de responsabilité élargie des producteurs et de régimes de répartition par répartition. La loi répondra à toutes les re</w:t>
            </w:r>
            <w:r>
              <w:rPr>
                <w:noProof/>
              </w:rPr>
              <w:t>commandations de la Commission formulées dans le rapport d’alerte précoce 2018 pour la Croatie.</w:t>
            </w:r>
          </w:p>
        </w:tc>
      </w:tr>
      <w:tr w:rsidR="00553430" w14:paraId="241166F9"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416150A" w14:textId="77777777" w:rsidR="00553430" w:rsidRDefault="00212577">
            <w:pPr>
              <w:pStyle w:val="P68B1DB1-Normal66"/>
              <w:spacing w:after="200" w:line="276" w:lineRule="auto"/>
              <w:jc w:val="center"/>
              <w:rPr>
                <w:noProof/>
              </w:rPr>
            </w:pPr>
            <w:r>
              <w:rPr>
                <w:noProof/>
              </w:rPr>
              <w:t>82</w:t>
            </w:r>
          </w:p>
        </w:tc>
        <w:tc>
          <w:tcPr>
            <w:tcW w:w="1080" w:type="dxa"/>
            <w:tcBorders>
              <w:top w:val="single" w:sz="4" w:space="0" w:color="auto"/>
              <w:left w:val="nil"/>
              <w:bottom w:val="single" w:sz="4" w:space="0" w:color="auto"/>
              <w:right w:val="single" w:sz="4" w:space="0" w:color="auto"/>
            </w:tcBorders>
            <w:shd w:val="clear" w:color="auto" w:fill="C6EFCE"/>
            <w:noWrap/>
          </w:tcPr>
          <w:p w14:paraId="0E320DA8" w14:textId="77777777" w:rsidR="00553430" w:rsidRDefault="00212577">
            <w:pPr>
              <w:pStyle w:val="P68B1DB1-Normal66"/>
              <w:spacing w:after="200" w:line="276" w:lineRule="auto"/>
              <w:jc w:val="center"/>
              <w:rPr>
                <w:noProof/>
              </w:rPr>
            </w:pPr>
            <w:r>
              <w:rPr>
                <w:noProof/>
              </w:rPr>
              <w:t>C1.3. R2</w:t>
            </w:r>
          </w:p>
        </w:tc>
        <w:tc>
          <w:tcPr>
            <w:tcW w:w="1080" w:type="dxa"/>
            <w:tcBorders>
              <w:top w:val="single" w:sz="4" w:space="0" w:color="auto"/>
              <w:left w:val="nil"/>
              <w:bottom w:val="single" w:sz="4" w:space="0" w:color="auto"/>
              <w:right w:val="single" w:sz="4" w:space="0" w:color="auto"/>
            </w:tcBorders>
            <w:shd w:val="clear" w:color="auto" w:fill="C6EFCE"/>
            <w:noWrap/>
          </w:tcPr>
          <w:p w14:paraId="3142A499" w14:textId="77777777" w:rsidR="00553430" w:rsidRDefault="00212577">
            <w:pPr>
              <w:pStyle w:val="P68B1DB1-Normal66"/>
              <w:spacing w:after="200" w:line="276" w:lineRule="auto"/>
              <w:jc w:val="center"/>
              <w:rPr>
                <w:noProof/>
              </w:rPr>
            </w:pPr>
            <w:r>
              <w:rPr>
                <w:noProof/>
              </w:rPr>
              <w:t>M</w:t>
            </w:r>
          </w:p>
        </w:tc>
        <w:tc>
          <w:tcPr>
            <w:tcW w:w="1920" w:type="dxa"/>
            <w:tcBorders>
              <w:top w:val="single" w:sz="4" w:space="0" w:color="auto"/>
              <w:left w:val="nil"/>
              <w:bottom w:val="single" w:sz="4" w:space="0" w:color="auto"/>
              <w:right w:val="single" w:sz="4" w:space="0" w:color="auto"/>
            </w:tcBorders>
            <w:shd w:val="clear" w:color="auto" w:fill="C6EFCE"/>
            <w:noWrap/>
          </w:tcPr>
          <w:p w14:paraId="64B14EC2" w14:textId="77777777" w:rsidR="00553430" w:rsidRDefault="00212577">
            <w:pPr>
              <w:pStyle w:val="P68B1DB1-Normal66"/>
              <w:spacing w:after="200" w:line="276" w:lineRule="auto"/>
              <w:rPr>
                <w:noProof/>
              </w:rPr>
            </w:pPr>
            <w:r>
              <w:rPr>
                <w:noProof/>
              </w:rPr>
              <w:t>Révision du plan de gestion des déchets de la République de Croatie pour la période 2017-2022</w:t>
            </w:r>
          </w:p>
        </w:tc>
        <w:tc>
          <w:tcPr>
            <w:tcW w:w="1884" w:type="dxa"/>
            <w:tcBorders>
              <w:top w:val="single" w:sz="4" w:space="0" w:color="auto"/>
              <w:left w:val="nil"/>
              <w:bottom w:val="single" w:sz="4" w:space="0" w:color="auto"/>
              <w:right w:val="single" w:sz="4" w:space="0" w:color="auto"/>
            </w:tcBorders>
            <w:shd w:val="clear" w:color="auto" w:fill="C6EFCE"/>
            <w:noWrap/>
          </w:tcPr>
          <w:p w14:paraId="012745C4" w14:textId="2883320C" w:rsidR="00553430" w:rsidRDefault="00212577">
            <w:pPr>
              <w:pStyle w:val="P68B1DB1-Normal66"/>
              <w:spacing w:after="200" w:line="276" w:lineRule="auto"/>
              <w:rPr>
                <w:noProof/>
              </w:rPr>
            </w:pPr>
            <w:r>
              <w:rPr>
                <w:noProof/>
              </w:rPr>
              <w:t>Publication au Journal officiel de la République de</w:t>
            </w:r>
            <w:r>
              <w:rPr>
                <w:noProof/>
              </w:rPr>
              <w:t xml:space="preserve"> Croatie des modifications apportées au plan de gestion des déchets de la République de Croatie pour la période 2017-2022</w:t>
            </w:r>
          </w:p>
        </w:tc>
        <w:tc>
          <w:tcPr>
            <w:tcW w:w="1134" w:type="dxa"/>
            <w:tcBorders>
              <w:top w:val="single" w:sz="4" w:space="0" w:color="auto"/>
              <w:left w:val="nil"/>
              <w:bottom w:val="single" w:sz="4" w:space="0" w:color="auto"/>
              <w:right w:val="single" w:sz="4" w:space="0" w:color="auto"/>
            </w:tcBorders>
            <w:shd w:val="clear" w:color="auto" w:fill="C6EFCE"/>
            <w:noWrap/>
          </w:tcPr>
          <w:p w14:paraId="5AAC2926" w14:textId="77777777" w:rsidR="00553430" w:rsidRDefault="00212577">
            <w:pPr>
              <w:pStyle w:val="P68B1DB1-Normal66"/>
              <w:spacing w:after="200" w:line="276" w:lineRule="auto"/>
              <w:jc w:val="center"/>
              <w:rPr>
                <w:noProof/>
              </w:rPr>
            </w:pPr>
            <w:r>
              <w:rPr>
                <w:noProof/>
              </w:rPr>
              <w:t> </w:t>
            </w:r>
          </w:p>
        </w:tc>
        <w:tc>
          <w:tcPr>
            <w:tcW w:w="1011" w:type="dxa"/>
            <w:tcBorders>
              <w:top w:val="single" w:sz="4" w:space="0" w:color="auto"/>
              <w:left w:val="nil"/>
              <w:bottom w:val="single" w:sz="4" w:space="0" w:color="auto"/>
              <w:right w:val="single" w:sz="4" w:space="0" w:color="auto"/>
            </w:tcBorders>
            <w:shd w:val="clear" w:color="auto" w:fill="C6EFCE"/>
            <w:noWrap/>
          </w:tcPr>
          <w:p w14:paraId="19B37272" w14:textId="77777777" w:rsidR="00553430" w:rsidRDefault="00212577">
            <w:pPr>
              <w:pStyle w:val="P68B1DB1-Normal66"/>
              <w:spacing w:after="200" w:line="276" w:lineRule="auto"/>
              <w:jc w:val="center"/>
              <w:rPr>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143A43FA" w14:textId="77777777" w:rsidR="00553430" w:rsidRDefault="00212577">
            <w:pPr>
              <w:pStyle w:val="P68B1DB1-Normal66"/>
              <w:spacing w:after="200" w:line="276" w:lineRule="auto"/>
              <w:jc w:val="center"/>
              <w:rPr>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1A4E8904"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51EB24F6" w14:textId="77777777" w:rsidR="00553430" w:rsidRDefault="00212577">
            <w:pPr>
              <w:pStyle w:val="P68B1DB1-Normal66"/>
              <w:spacing w:after="200" w:line="276" w:lineRule="auto"/>
              <w:jc w:val="center"/>
              <w:rPr>
                <w:noProof/>
              </w:rPr>
            </w:pPr>
            <w:r>
              <w:rPr>
                <w:noProof/>
              </w:rPr>
              <w:t>2021</w:t>
            </w:r>
          </w:p>
        </w:tc>
        <w:tc>
          <w:tcPr>
            <w:tcW w:w="3951" w:type="dxa"/>
            <w:tcBorders>
              <w:top w:val="single" w:sz="4" w:space="0" w:color="auto"/>
              <w:left w:val="nil"/>
              <w:bottom w:val="single" w:sz="4" w:space="0" w:color="auto"/>
              <w:right w:val="single" w:sz="4" w:space="0" w:color="auto"/>
            </w:tcBorders>
            <w:shd w:val="clear" w:color="auto" w:fill="C6EFCE"/>
            <w:noWrap/>
          </w:tcPr>
          <w:p w14:paraId="44F5C849" w14:textId="77777777" w:rsidR="00553430" w:rsidRDefault="00212577">
            <w:pPr>
              <w:pStyle w:val="P68B1DB1-Normal66"/>
              <w:spacing w:after="200" w:line="276" w:lineRule="auto"/>
              <w:rPr>
                <w:noProof/>
              </w:rPr>
            </w:pPr>
            <w:r>
              <w:rPr>
                <w:noProof/>
              </w:rPr>
              <w:t>Adoption et publication du plan croate révisé de gestion des déchets 2017-2022, conformément au nouveau plan d’action en</w:t>
            </w:r>
            <w:r>
              <w:rPr>
                <w:noProof/>
              </w:rPr>
              <w:t xml:space="preserve"> faveur de l’économie circulaire, à la suite de consultations publiques. Le plan révisé précise un objectif de 50 % pour le recyclage, le tri, la réutilisation et la réparation des déchets d’ici 2022, ainsi qu’un objectif distinct pour la collecte et le re</w:t>
            </w:r>
            <w:r>
              <w:rPr>
                <w:noProof/>
              </w:rPr>
              <w:t>cyclage des biodéchets. Elle comprend également des mesures spécifiques visant à encourager l’ambition des unités locales et régionales, telles que des actions de communication visant à garantir une collecte séparée efficace à la source, ou des aspects num</w:t>
            </w:r>
            <w:r>
              <w:rPr>
                <w:noProof/>
              </w:rPr>
              <w:t>ériques. Le plan comprend une évaluation de la situation actuelle, des systèmes de collecte existants et une évaluation du déficit d’investissement pour la fermeture des décharges. Elle fournit une liste de priorités pour les investissements prévus dans le</w:t>
            </w:r>
            <w:r>
              <w:rPr>
                <w:noProof/>
              </w:rPr>
              <w:t>s déchets, la capacité des futures installations de traitement des déchets, ainsi que des informations sur la manière dont les futurs sites seront déterminés. Le plan envisage également un soutien au renforcement des capacités pour la mise en œuvre de proj</w:t>
            </w:r>
            <w:r>
              <w:rPr>
                <w:noProof/>
              </w:rPr>
              <w:t>ets d'infrastructure.</w:t>
            </w:r>
          </w:p>
        </w:tc>
      </w:tr>
      <w:tr w:rsidR="00553430" w14:paraId="76EBDFC3"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AA818C0" w14:textId="77777777" w:rsidR="00553430" w:rsidRDefault="00212577">
            <w:pPr>
              <w:pStyle w:val="P68B1DB1-Normal66"/>
              <w:spacing w:after="200" w:line="276" w:lineRule="auto"/>
              <w:jc w:val="center"/>
              <w:rPr>
                <w:noProof/>
              </w:rPr>
            </w:pPr>
            <w:r>
              <w:rPr>
                <w:noProof/>
              </w:rPr>
              <w:t>83</w:t>
            </w:r>
          </w:p>
        </w:tc>
        <w:tc>
          <w:tcPr>
            <w:tcW w:w="1080" w:type="dxa"/>
            <w:tcBorders>
              <w:top w:val="single" w:sz="4" w:space="0" w:color="auto"/>
              <w:left w:val="nil"/>
              <w:bottom w:val="single" w:sz="4" w:space="0" w:color="auto"/>
              <w:right w:val="single" w:sz="4" w:space="0" w:color="auto"/>
            </w:tcBorders>
            <w:shd w:val="clear" w:color="auto" w:fill="C6EFCE"/>
            <w:noWrap/>
          </w:tcPr>
          <w:p w14:paraId="2DCA63BB" w14:textId="77777777" w:rsidR="00553430" w:rsidRDefault="00212577">
            <w:pPr>
              <w:pStyle w:val="P68B1DB1-Normal66"/>
              <w:spacing w:after="200" w:line="276" w:lineRule="auto"/>
              <w:jc w:val="center"/>
              <w:rPr>
                <w:noProof/>
              </w:rPr>
            </w:pPr>
            <w:r>
              <w:rPr>
                <w:noProof/>
              </w:rPr>
              <w:t>C1.3. R2</w:t>
            </w:r>
          </w:p>
        </w:tc>
        <w:tc>
          <w:tcPr>
            <w:tcW w:w="1080" w:type="dxa"/>
            <w:tcBorders>
              <w:top w:val="single" w:sz="4" w:space="0" w:color="auto"/>
              <w:left w:val="nil"/>
              <w:bottom w:val="single" w:sz="4" w:space="0" w:color="auto"/>
              <w:right w:val="single" w:sz="4" w:space="0" w:color="auto"/>
            </w:tcBorders>
            <w:shd w:val="clear" w:color="auto" w:fill="C6EFCE"/>
            <w:noWrap/>
          </w:tcPr>
          <w:p w14:paraId="4860B894" w14:textId="77777777" w:rsidR="00553430" w:rsidRDefault="00212577">
            <w:pPr>
              <w:pStyle w:val="P68B1DB1-Normal66"/>
              <w:spacing w:after="200" w:line="276" w:lineRule="auto"/>
              <w:jc w:val="center"/>
              <w:rPr>
                <w:noProof/>
              </w:rPr>
            </w:pPr>
            <w:r>
              <w:rPr>
                <w:noProof/>
              </w:rPr>
              <w:t>M</w:t>
            </w:r>
          </w:p>
        </w:tc>
        <w:tc>
          <w:tcPr>
            <w:tcW w:w="1920" w:type="dxa"/>
            <w:tcBorders>
              <w:top w:val="single" w:sz="4" w:space="0" w:color="auto"/>
              <w:left w:val="nil"/>
              <w:bottom w:val="single" w:sz="4" w:space="0" w:color="auto"/>
              <w:right w:val="single" w:sz="4" w:space="0" w:color="auto"/>
            </w:tcBorders>
            <w:shd w:val="clear" w:color="auto" w:fill="C6EFCE"/>
            <w:noWrap/>
          </w:tcPr>
          <w:p w14:paraId="4195CFB8" w14:textId="77777777" w:rsidR="00553430" w:rsidRDefault="00212577">
            <w:pPr>
              <w:pStyle w:val="P68B1DB1-Normal66"/>
              <w:spacing w:after="200" w:line="276" w:lineRule="auto"/>
              <w:rPr>
                <w:noProof/>
              </w:rPr>
            </w:pPr>
            <w:r>
              <w:rPr>
                <w:noProof/>
              </w:rPr>
              <w:t>Adoption du plan de gestion des déchets de la République de Croatie pour la période 2023-2029</w:t>
            </w:r>
          </w:p>
        </w:tc>
        <w:tc>
          <w:tcPr>
            <w:tcW w:w="1884" w:type="dxa"/>
            <w:tcBorders>
              <w:top w:val="single" w:sz="4" w:space="0" w:color="auto"/>
              <w:left w:val="nil"/>
              <w:bottom w:val="single" w:sz="4" w:space="0" w:color="auto"/>
              <w:right w:val="single" w:sz="4" w:space="0" w:color="auto"/>
            </w:tcBorders>
            <w:shd w:val="clear" w:color="auto" w:fill="C6EFCE"/>
            <w:noWrap/>
          </w:tcPr>
          <w:p w14:paraId="2B4EAA66" w14:textId="77777777" w:rsidR="00553430" w:rsidRDefault="00212577">
            <w:pPr>
              <w:pStyle w:val="P68B1DB1-Normal66"/>
              <w:spacing w:after="200" w:line="276" w:lineRule="auto"/>
              <w:rPr>
                <w:noProof/>
              </w:rPr>
            </w:pPr>
            <w:r>
              <w:rPr>
                <w:noProof/>
              </w:rPr>
              <w:t>Publication du plan croate de gestion des déchets 2023-2029 au Journal officiel de la République de Croatie</w:t>
            </w:r>
          </w:p>
        </w:tc>
        <w:tc>
          <w:tcPr>
            <w:tcW w:w="1134" w:type="dxa"/>
            <w:tcBorders>
              <w:top w:val="single" w:sz="4" w:space="0" w:color="auto"/>
              <w:left w:val="nil"/>
              <w:bottom w:val="single" w:sz="4" w:space="0" w:color="auto"/>
              <w:right w:val="single" w:sz="4" w:space="0" w:color="auto"/>
            </w:tcBorders>
            <w:shd w:val="clear" w:color="auto" w:fill="C6EFCE"/>
            <w:noWrap/>
          </w:tcPr>
          <w:p w14:paraId="03EBDBC2" w14:textId="77777777" w:rsidR="00553430" w:rsidRDefault="00212577">
            <w:pPr>
              <w:pStyle w:val="P68B1DB1-Normal66"/>
              <w:spacing w:after="200" w:line="276" w:lineRule="auto"/>
              <w:jc w:val="center"/>
              <w:rPr>
                <w:noProof/>
              </w:rPr>
            </w:pPr>
            <w:r>
              <w:rPr>
                <w:noProof/>
              </w:rPr>
              <w:t> </w:t>
            </w:r>
          </w:p>
        </w:tc>
        <w:tc>
          <w:tcPr>
            <w:tcW w:w="1011" w:type="dxa"/>
            <w:tcBorders>
              <w:top w:val="single" w:sz="4" w:space="0" w:color="auto"/>
              <w:left w:val="nil"/>
              <w:bottom w:val="single" w:sz="4" w:space="0" w:color="auto"/>
              <w:right w:val="single" w:sz="4" w:space="0" w:color="auto"/>
            </w:tcBorders>
            <w:shd w:val="clear" w:color="auto" w:fill="C6EFCE"/>
            <w:noWrap/>
          </w:tcPr>
          <w:p w14:paraId="0A5A46A5" w14:textId="77777777" w:rsidR="00553430" w:rsidRDefault="00212577">
            <w:pPr>
              <w:pStyle w:val="P68B1DB1-Normal66"/>
              <w:spacing w:after="200" w:line="276" w:lineRule="auto"/>
              <w:jc w:val="center"/>
              <w:rPr>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4454DF04" w14:textId="77777777" w:rsidR="00553430" w:rsidRDefault="00212577">
            <w:pPr>
              <w:pStyle w:val="P68B1DB1-Normal66"/>
              <w:spacing w:after="200" w:line="276" w:lineRule="auto"/>
              <w:jc w:val="center"/>
              <w:rPr>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06FC6357"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1B7BADA4" w14:textId="77777777" w:rsidR="00553430" w:rsidRDefault="00212577">
            <w:pPr>
              <w:pStyle w:val="P68B1DB1-Normal66"/>
              <w:spacing w:after="200" w:line="276" w:lineRule="auto"/>
              <w:jc w:val="center"/>
              <w:rPr>
                <w:noProof/>
              </w:rPr>
            </w:pPr>
            <w:r>
              <w:rPr>
                <w:noProof/>
              </w:rPr>
              <w:t>2022</w:t>
            </w:r>
          </w:p>
        </w:tc>
        <w:tc>
          <w:tcPr>
            <w:tcW w:w="3951" w:type="dxa"/>
            <w:tcBorders>
              <w:top w:val="single" w:sz="4" w:space="0" w:color="auto"/>
              <w:left w:val="nil"/>
              <w:bottom w:val="single" w:sz="4" w:space="0" w:color="auto"/>
              <w:right w:val="single" w:sz="4" w:space="0" w:color="auto"/>
            </w:tcBorders>
            <w:shd w:val="clear" w:color="auto" w:fill="C6EFCE"/>
            <w:noWrap/>
          </w:tcPr>
          <w:p w14:paraId="72C1266C" w14:textId="77777777" w:rsidR="00553430" w:rsidRDefault="00212577">
            <w:pPr>
              <w:pStyle w:val="P68B1DB1-Normal66"/>
              <w:spacing w:after="200" w:line="276" w:lineRule="auto"/>
              <w:rPr>
                <w:noProof/>
              </w:rPr>
            </w:pPr>
            <w:r>
              <w:rPr>
                <w:noProof/>
              </w:rPr>
              <w:t>Adoption et publication du plan de gestion des déchets de la Croatie pour la période 2023-2029, en liaison avec les nouveaux objectifs fixés dans la loi sur la gestion des déchets et le plan d’action en faveur de l’économie circulaire, à la suite de consul</w:t>
            </w:r>
            <w:r>
              <w:rPr>
                <w:noProof/>
              </w:rPr>
              <w:t>tations publiques. Le plan fixe un objectif d’au moins 55 % pour le recyclage, le tri, la réutilisation et la réparation des déchets d’ici à 2025, ainsi qu’un objectif pour la collecte et le recyclage des biodéchets.</w:t>
            </w:r>
          </w:p>
        </w:tc>
      </w:tr>
      <w:tr w:rsidR="00553430" w14:paraId="1CF60F50"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1F436A6" w14:textId="77777777" w:rsidR="00553430" w:rsidRDefault="00212577">
            <w:pPr>
              <w:pStyle w:val="P68B1DB1-Normal66"/>
              <w:spacing w:after="200" w:line="276" w:lineRule="auto"/>
              <w:jc w:val="center"/>
              <w:rPr>
                <w:noProof/>
              </w:rPr>
            </w:pPr>
            <w:r>
              <w:rPr>
                <w:noProof/>
              </w:rPr>
              <w:t>84</w:t>
            </w:r>
          </w:p>
        </w:tc>
        <w:tc>
          <w:tcPr>
            <w:tcW w:w="1080" w:type="dxa"/>
            <w:tcBorders>
              <w:top w:val="single" w:sz="4" w:space="0" w:color="auto"/>
              <w:left w:val="nil"/>
              <w:bottom w:val="single" w:sz="4" w:space="0" w:color="auto"/>
              <w:right w:val="single" w:sz="4" w:space="0" w:color="auto"/>
            </w:tcBorders>
            <w:shd w:val="clear" w:color="auto" w:fill="C6EFCE"/>
            <w:noWrap/>
          </w:tcPr>
          <w:p w14:paraId="20E14D0E" w14:textId="77777777" w:rsidR="00553430" w:rsidRDefault="00212577">
            <w:pPr>
              <w:pStyle w:val="P68B1DB1-Normal66"/>
              <w:spacing w:after="200" w:line="276" w:lineRule="auto"/>
              <w:jc w:val="center"/>
              <w:rPr>
                <w:noProof/>
              </w:rPr>
            </w:pPr>
            <w:r>
              <w:rPr>
                <w:noProof/>
              </w:rPr>
              <w:t>C1.3. R2-I1</w:t>
            </w:r>
          </w:p>
        </w:tc>
        <w:tc>
          <w:tcPr>
            <w:tcW w:w="1080" w:type="dxa"/>
            <w:tcBorders>
              <w:top w:val="single" w:sz="4" w:space="0" w:color="auto"/>
              <w:left w:val="nil"/>
              <w:bottom w:val="single" w:sz="4" w:space="0" w:color="auto"/>
              <w:right w:val="single" w:sz="4" w:space="0" w:color="auto"/>
            </w:tcBorders>
            <w:shd w:val="clear" w:color="auto" w:fill="C6EFCE"/>
            <w:noWrap/>
          </w:tcPr>
          <w:p w14:paraId="7E55E840"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40BBDB1B" w14:textId="77777777" w:rsidR="00553430" w:rsidRDefault="00212577">
            <w:pPr>
              <w:pStyle w:val="P68B1DB1-Normal66"/>
              <w:spacing w:after="200" w:line="276" w:lineRule="auto"/>
              <w:rPr>
                <w:noProof/>
              </w:rPr>
            </w:pPr>
            <w:r>
              <w:rPr>
                <w:noProof/>
              </w:rPr>
              <w:t xml:space="preserve">Réduction de la part </w:t>
            </w:r>
            <w:r>
              <w:rPr>
                <w:noProof/>
              </w:rPr>
              <w:t>des déchets municipaux destinés à être éliminés (49 %)</w:t>
            </w:r>
          </w:p>
        </w:tc>
        <w:tc>
          <w:tcPr>
            <w:tcW w:w="1884" w:type="dxa"/>
            <w:tcBorders>
              <w:top w:val="single" w:sz="4" w:space="0" w:color="auto"/>
              <w:left w:val="nil"/>
              <w:bottom w:val="single" w:sz="4" w:space="0" w:color="auto"/>
              <w:right w:val="single" w:sz="4" w:space="0" w:color="auto"/>
            </w:tcBorders>
            <w:shd w:val="clear" w:color="auto" w:fill="C6EFCE"/>
            <w:noWrap/>
          </w:tcPr>
          <w:p w14:paraId="01D17E64"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5CEA852A" w14:textId="77777777" w:rsidR="00553430" w:rsidRDefault="00212577">
            <w:pPr>
              <w:pStyle w:val="P68B1DB1-Normal66"/>
              <w:spacing w:after="200" w:line="276" w:lineRule="auto"/>
              <w:jc w:val="center"/>
              <w:rPr>
                <w:noProof/>
              </w:rPr>
            </w:pPr>
            <w:r>
              <w:rPr>
                <w:noProof/>
              </w:rPr>
              <w:t>% (pourcentage)</w:t>
            </w:r>
          </w:p>
        </w:tc>
        <w:tc>
          <w:tcPr>
            <w:tcW w:w="1011" w:type="dxa"/>
            <w:tcBorders>
              <w:top w:val="single" w:sz="4" w:space="0" w:color="auto"/>
              <w:left w:val="nil"/>
              <w:bottom w:val="single" w:sz="4" w:space="0" w:color="auto"/>
              <w:right w:val="single" w:sz="4" w:space="0" w:color="auto"/>
            </w:tcBorders>
            <w:shd w:val="clear" w:color="auto" w:fill="C6EFCE"/>
            <w:noWrap/>
          </w:tcPr>
          <w:p w14:paraId="2C037700" w14:textId="77777777" w:rsidR="00553430" w:rsidRDefault="00212577">
            <w:pPr>
              <w:pStyle w:val="P68B1DB1-Normal66"/>
              <w:spacing w:after="200" w:line="276" w:lineRule="auto"/>
              <w:jc w:val="center"/>
              <w:rPr>
                <w:noProof/>
              </w:rPr>
            </w:pPr>
            <w:r>
              <w:rPr>
                <w:noProof/>
              </w:rPr>
              <w:t>66</w:t>
            </w:r>
          </w:p>
        </w:tc>
        <w:tc>
          <w:tcPr>
            <w:tcW w:w="992" w:type="dxa"/>
            <w:tcBorders>
              <w:top w:val="single" w:sz="4" w:space="0" w:color="auto"/>
              <w:left w:val="nil"/>
              <w:bottom w:val="single" w:sz="4" w:space="0" w:color="auto"/>
              <w:right w:val="single" w:sz="4" w:space="0" w:color="auto"/>
            </w:tcBorders>
            <w:shd w:val="clear" w:color="auto" w:fill="C6EFCE"/>
            <w:noWrap/>
          </w:tcPr>
          <w:p w14:paraId="1BF90435" w14:textId="77777777" w:rsidR="00553430" w:rsidRDefault="00212577">
            <w:pPr>
              <w:pStyle w:val="P68B1DB1-Normal66"/>
              <w:spacing w:after="200" w:line="276" w:lineRule="auto"/>
              <w:jc w:val="center"/>
              <w:rPr>
                <w:noProof/>
              </w:rPr>
            </w:pPr>
            <w:r>
              <w:rPr>
                <w:noProof/>
              </w:rPr>
              <w:t>49</w:t>
            </w:r>
          </w:p>
        </w:tc>
        <w:tc>
          <w:tcPr>
            <w:tcW w:w="992" w:type="dxa"/>
            <w:tcBorders>
              <w:top w:val="single" w:sz="4" w:space="0" w:color="auto"/>
              <w:left w:val="nil"/>
              <w:bottom w:val="single" w:sz="4" w:space="0" w:color="auto"/>
              <w:right w:val="single" w:sz="4" w:space="0" w:color="auto"/>
            </w:tcBorders>
            <w:shd w:val="clear" w:color="auto" w:fill="C6EFCE"/>
            <w:noWrap/>
          </w:tcPr>
          <w:p w14:paraId="3B232A7D"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4F21D0F4" w14:textId="77777777" w:rsidR="00553430" w:rsidRDefault="00212577">
            <w:pPr>
              <w:pStyle w:val="P68B1DB1-Normal66"/>
              <w:spacing w:after="200" w:line="276" w:lineRule="auto"/>
              <w:jc w:val="center"/>
              <w:rPr>
                <w:noProof/>
              </w:rPr>
            </w:pPr>
            <w:r>
              <w:rPr>
                <w:noProof/>
              </w:rPr>
              <w:t>2022</w:t>
            </w:r>
          </w:p>
        </w:tc>
        <w:tc>
          <w:tcPr>
            <w:tcW w:w="3951" w:type="dxa"/>
            <w:tcBorders>
              <w:top w:val="single" w:sz="4" w:space="0" w:color="auto"/>
              <w:left w:val="nil"/>
              <w:bottom w:val="single" w:sz="4" w:space="0" w:color="auto"/>
              <w:right w:val="single" w:sz="4" w:space="0" w:color="auto"/>
            </w:tcBorders>
            <w:shd w:val="clear" w:color="auto" w:fill="C6EFCE"/>
            <w:noWrap/>
          </w:tcPr>
          <w:p w14:paraId="5F5A0EC9" w14:textId="14788BE4" w:rsidR="00553430" w:rsidRDefault="00212577">
            <w:pPr>
              <w:pStyle w:val="P68B1DB1-Normal66"/>
              <w:spacing w:after="200" w:line="276" w:lineRule="auto"/>
              <w:rPr>
                <w:noProof/>
              </w:rPr>
            </w:pPr>
            <w:r>
              <w:rPr>
                <w:noProof/>
              </w:rPr>
              <w:t xml:space="preserve">La part des déchets municipaux destinés à être éliminés est ramenée à 49 % à la suite d’investissements dans les infrastructures visant à réduire la mise en décharge, y </w:t>
            </w:r>
            <w:r>
              <w:rPr>
                <w:noProof/>
              </w:rPr>
              <w:t xml:space="preserve">compris la création de centres de réemploi, la construction d’installations de tri pour les déchets municipaux collectés séparément, la construction d’installations de biotraitement pour les biodéchets collectés séparément, la construction et l’équipement </w:t>
            </w:r>
            <w:r>
              <w:rPr>
                <w:noProof/>
              </w:rPr>
              <w:t>de sites d’équipements municipaux et de chantiers de recyclage pour les déchets de construction, l’acquisition d’équipements pour la collecte séparée des fractions utiles des déchets municipaux.</w:t>
            </w:r>
          </w:p>
        </w:tc>
      </w:tr>
      <w:tr w:rsidR="00553430" w14:paraId="11A5D150"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6B61ED2" w14:textId="77777777" w:rsidR="00553430" w:rsidRDefault="00212577">
            <w:pPr>
              <w:pStyle w:val="P68B1DB1-Normal66"/>
              <w:spacing w:after="200" w:line="276" w:lineRule="auto"/>
              <w:jc w:val="center"/>
              <w:rPr>
                <w:noProof/>
              </w:rPr>
            </w:pPr>
            <w:r>
              <w:rPr>
                <w:noProof/>
              </w:rPr>
              <w:t>85</w:t>
            </w:r>
          </w:p>
        </w:tc>
        <w:tc>
          <w:tcPr>
            <w:tcW w:w="1080" w:type="dxa"/>
            <w:tcBorders>
              <w:top w:val="single" w:sz="4" w:space="0" w:color="auto"/>
              <w:left w:val="nil"/>
              <w:bottom w:val="single" w:sz="4" w:space="0" w:color="auto"/>
              <w:right w:val="single" w:sz="4" w:space="0" w:color="auto"/>
            </w:tcBorders>
            <w:shd w:val="clear" w:color="auto" w:fill="C6EFCE"/>
            <w:noWrap/>
          </w:tcPr>
          <w:p w14:paraId="33C91EF4" w14:textId="77777777" w:rsidR="00553430" w:rsidRDefault="00212577">
            <w:pPr>
              <w:pStyle w:val="P68B1DB1-Normal66"/>
              <w:spacing w:after="200" w:line="276" w:lineRule="auto"/>
              <w:jc w:val="center"/>
              <w:rPr>
                <w:noProof/>
              </w:rPr>
            </w:pPr>
            <w:r>
              <w:rPr>
                <w:noProof/>
              </w:rPr>
              <w:t>C1.3. R2</w:t>
            </w:r>
          </w:p>
        </w:tc>
        <w:tc>
          <w:tcPr>
            <w:tcW w:w="1080" w:type="dxa"/>
            <w:tcBorders>
              <w:top w:val="single" w:sz="4" w:space="0" w:color="auto"/>
              <w:left w:val="nil"/>
              <w:bottom w:val="single" w:sz="4" w:space="0" w:color="auto"/>
              <w:right w:val="single" w:sz="4" w:space="0" w:color="auto"/>
            </w:tcBorders>
            <w:shd w:val="clear" w:color="auto" w:fill="C6EFCE"/>
            <w:noWrap/>
          </w:tcPr>
          <w:p w14:paraId="45B5471D"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56760085" w14:textId="77777777" w:rsidR="00553430" w:rsidRDefault="00212577">
            <w:pPr>
              <w:pStyle w:val="P68B1DB1-Normal66"/>
              <w:spacing w:after="200" w:line="276" w:lineRule="auto"/>
              <w:rPr>
                <w:noProof/>
              </w:rPr>
            </w:pPr>
            <w:r>
              <w:rPr>
                <w:noProof/>
              </w:rPr>
              <w:t xml:space="preserve">Réduction de la part des déchets municipaux </w:t>
            </w:r>
            <w:r>
              <w:rPr>
                <w:noProof/>
              </w:rPr>
              <w:t>destinés à être éliminés (51 %)</w:t>
            </w:r>
          </w:p>
        </w:tc>
        <w:tc>
          <w:tcPr>
            <w:tcW w:w="1884" w:type="dxa"/>
            <w:tcBorders>
              <w:top w:val="single" w:sz="4" w:space="0" w:color="auto"/>
              <w:left w:val="nil"/>
              <w:bottom w:val="single" w:sz="4" w:space="0" w:color="auto"/>
              <w:right w:val="single" w:sz="4" w:space="0" w:color="auto"/>
            </w:tcBorders>
            <w:shd w:val="clear" w:color="auto" w:fill="C6EFCE"/>
            <w:noWrap/>
          </w:tcPr>
          <w:p w14:paraId="07FED81E"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56B5BCA8" w14:textId="77777777" w:rsidR="00553430" w:rsidRDefault="00212577">
            <w:pPr>
              <w:pStyle w:val="P68B1DB1-Normal66"/>
              <w:spacing w:after="200" w:line="276" w:lineRule="auto"/>
              <w:jc w:val="center"/>
              <w:rPr>
                <w:noProof/>
              </w:rPr>
            </w:pPr>
            <w:r>
              <w:rPr>
                <w:noProof/>
              </w:rPr>
              <w:t>% (pourcentage)</w:t>
            </w:r>
          </w:p>
        </w:tc>
        <w:tc>
          <w:tcPr>
            <w:tcW w:w="1011" w:type="dxa"/>
            <w:tcBorders>
              <w:top w:val="single" w:sz="4" w:space="0" w:color="auto"/>
              <w:left w:val="nil"/>
              <w:bottom w:val="single" w:sz="4" w:space="0" w:color="auto"/>
              <w:right w:val="single" w:sz="4" w:space="0" w:color="auto"/>
            </w:tcBorders>
            <w:shd w:val="clear" w:color="auto" w:fill="C6EFCE"/>
            <w:noWrap/>
          </w:tcPr>
          <w:p w14:paraId="151356FF" w14:textId="77777777" w:rsidR="00553430" w:rsidRDefault="00212577">
            <w:pPr>
              <w:pStyle w:val="P68B1DB1-Normal66"/>
              <w:spacing w:after="200" w:line="276" w:lineRule="auto"/>
              <w:jc w:val="center"/>
              <w:rPr>
                <w:noProof/>
              </w:rPr>
            </w:pPr>
            <w:r>
              <w:rPr>
                <w:noProof/>
              </w:rPr>
              <w:t>56</w:t>
            </w:r>
          </w:p>
        </w:tc>
        <w:tc>
          <w:tcPr>
            <w:tcW w:w="992" w:type="dxa"/>
            <w:tcBorders>
              <w:top w:val="single" w:sz="4" w:space="0" w:color="auto"/>
              <w:left w:val="nil"/>
              <w:bottom w:val="single" w:sz="4" w:space="0" w:color="auto"/>
              <w:right w:val="single" w:sz="4" w:space="0" w:color="auto"/>
            </w:tcBorders>
            <w:shd w:val="clear" w:color="auto" w:fill="C6EFCE"/>
            <w:noWrap/>
          </w:tcPr>
          <w:p w14:paraId="21FD1F93" w14:textId="77777777" w:rsidR="00553430" w:rsidRDefault="00212577">
            <w:pPr>
              <w:pStyle w:val="P68B1DB1-Normal66"/>
              <w:spacing w:after="200" w:line="276" w:lineRule="auto"/>
              <w:jc w:val="center"/>
              <w:rPr>
                <w:noProof/>
                <w:color w:val="000000" w:themeColor="text1"/>
              </w:rPr>
            </w:pPr>
            <w:r>
              <w:rPr>
                <w:noProof/>
              </w:rPr>
              <w:t>51</w:t>
            </w:r>
          </w:p>
        </w:tc>
        <w:tc>
          <w:tcPr>
            <w:tcW w:w="992" w:type="dxa"/>
            <w:tcBorders>
              <w:top w:val="single" w:sz="4" w:space="0" w:color="auto"/>
              <w:left w:val="nil"/>
              <w:bottom w:val="single" w:sz="4" w:space="0" w:color="auto"/>
              <w:right w:val="single" w:sz="4" w:space="0" w:color="auto"/>
            </w:tcBorders>
            <w:shd w:val="clear" w:color="auto" w:fill="C6EFCE"/>
            <w:noWrap/>
          </w:tcPr>
          <w:p w14:paraId="06B100F4"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4F7E4D1B" w14:textId="77777777" w:rsidR="00553430" w:rsidRDefault="00212577">
            <w:pPr>
              <w:pStyle w:val="P68B1DB1-Normal66"/>
              <w:spacing w:after="200" w:line="276" w:lineRule="auto"/>
              <w:jc w:val="center"/>
              <w:rPr>
                <w:noProof/>
              </w:rPr>
            </w:pPr>
            <w:r>
              <w:rPr>
                <w:noProof/>
              </w:rPr>
              <w:t>2024</w:t>
            </w:r>
          </w:p>
        </w:tc>
        <w:tc>
          <w:tcPr>
            <w:tcW w:w="3951" w:type="dxa"/>
            <w:tcBorders>
              <w:top w:val="single" w:sz="4" w:space="0" w:color="auto"/>
              <w:left w:val="nil"/>
              <w:bottom w:val="single" w:sz="4" w:space="0" w:color="auto"/>
              <w:right w:val="single" w:sz="4" w:space="0" w:color="auto"/>
            </w:tcBorders>
            <w:shd w:val="clear" w:color="auto" w:fill="C6EFCE"/>
            <w:noWrap/>
          </w:tcPr>
          <w:p w14:paraId="3B60F50D" w14:textId="77777777" w:rsidR="00553430" w:rsidRDefault="00212577">
            <w:pPr>
              <w:pStyle w:val="P68B1DB1-Normal66"/>
              <w:spacing w:after="200" w:line="276" w:lineRule="auto"/>
              <w:rPr>
                <w:noProof/>
                <w:color w:val="000000" w:themeColor="text1"/>
              </w:rPr>
            </w:pPr>
            <w:r>
              <w:rPr>
                <w:noProof/>
              </w:rPr>
              <w:t>La part des déchets municipaux destinés à être éliminés est ramenée à 51 % par rapport au niveau de référence de 56 % déclaré en 2022. La</w:t>
            </w:r>
            <w:r>
              <w:rPr>
                <w:noProof/>
              </w:rPr>
              <w:t xml:space="preserve"> part des déchets municipaux destinés à être éliminés est calculée conformément à la méthode de calcul prévue dans la décision d’exécution (UE) 2019/1004</w:t>
            </w:r>
            <w:r>
              <w:rPr>
                <w:noProof/>
                <w:u w:val="single"/>
              </w:rPr>
              <w:t xml:space="preserve"> (règles</w:t>
            </w:r>
            <w:r>
              <w:rPr>
                <w:noProof/>
              </w:rPr>
              <w:t xml:space="preserve"> relatives au calcul, à la vérification et à la communication des données sur les déchets confo</w:t>
            </w:r>
            <w:r>
              <w:rPr>
                <w:noProof/>
              </w:rPr>
              <w:t>rmément à la directive 2008/98/CE).</w:t>
            </w:r>
          </w:p>
        </w:tc>
      </w:tr>
      <w:tr w:rsidR="00553430" w14:paraId="1FD47E3E"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15B9885" w14:textId="77777777" w:rsidR="00553430" w:rsidRDefault="00212577">
            <w:pPr>
              <w:pStyle w:val="P68B1DB1-Normal66"/>
              <w:spacing w:after="200" w:line="276" w:lineRule="auto"/>
              <w:jc w:val="center"/>
              <w:rPr>
                <w:noProof/>
              </w:rPr>
            </w:pPr>
            <w:r>
              <w:rPr>
                <w:noProof/>
              </w:rPr>
              <w:t>86</w:t>
            </w:r>
          </w:p>
        </w:tc>
        <w:tc>
          <w:tcPr>
            <w:tcW w:w="1080" w:type="dxa"/>
            <w:tcBorders>
              <w:top w:val="single" w:sz="4" w:space="0" w:color="auto"/>
              <w:left w:val="nil"/>
              <w:bottom w:val="single" w:sz="4" w:space="0" w:color="auto"/>
              <w:right w:val="single" w:sz="4" w:space="0" w:color="auto"/>
            </w:tcBorders>
            <w:shd w:val="clear" w:color="auto" w:fill="C6EFCE"/>
            <w:noWrap/>
          </w:tcPr>
          <w:p w14:paraId="51F6F178" w14:textId="77777777" w:rsidR="00553430" w:rsidRDefault="00212577">
            <w:pPr>
              <w:pStyle w:val="P68B1DB1-Normal66"/>
              <w:spacing w:after="200" w:line="276" w:lineRule="auto"/>
              <w:jc w:val="center"/>
              <w:rPr>
                <w:noProof/>
              </w:rPr>
            </w:pPr>
            <w:r>
              <w:rPr>
                <w:noProof/>
              </w:rPr>
              <w:t>C1.3. R2-I1</w:t>
            </w:r>
          </w:p>
        </w:tc>
        <w:tc>
          <w:tcPr>
            <w:tcW w:w="1080" w:type="dxa"/>
            <w:tcBorders>
              <w:top w:val="single" w:sz="4" w:space="0" w:color="auto"/>
              <w:left w:val="nil"/>
              <w:bottom w:val="single" w:sz="4" w:space="0" w:color="auto"/>
              <w:right w:val="single" w:sz="4" w:space="0" w:color="auto"/>
            </w:tcBorders>
            <w:shd w:val="clear" w:color="auto" w:fill="C6EFCE"/>
            <w:noWrap/>
          </w:tcPr>
          <w:p w14:paraId="099A698E" w14:textId="77777777" w:rsidR="00553430" w:rsidRDefault="00212577">
            <w:pPr>
              <w:pStyle w:val="P68B1DB1-Normal66"/>
              <w:spacing w:after="200" w:line="276" w:lineRule="auto"/>
              <w:jc w:val="center"/>
              <w:rPr>
                <w:noProof/>
                <w:color w:val="000000" w:themeColor="text1"/>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03D021B7" w14:textId="77777777" w:rsidR="00553430" w:rsidRDefault="00212577">
            <w:pPr>
              <w:pStyle w:val="P68B1DB1-Normal66"/>
              <w:spacing w:after="200" w:line="276" w:lineRule="auto"/>
              <w:rPr>
                <w:noProof/>
              </w:rPr>
            </w:pPr>
            <w:r>
              <w:rPr>
                <w:noProof/>
              </w:rPr>
              <w:t>Installations de tri construites</w:t>
            </w:r>
          </w:p>
        </w:tc>
        <w:tc>
          <w:tcPr>
            <w:tcW w:w="1884" w:type="dxa"/>
            <w:tcBorders>
              <w:top w:val="single" w:sz="4" w:space="0" w:color="auto"/>
              <w:left w:val="nil"/>
              <w:bottom w:val="single" w:sz="4" w:space="0" w:color="auto"/>
              <w:right w:val="single" w:sz="4" w:space="0" w:color="auto"/>
            </w:tcBorders>
            <w:shd w:val="clear" w:color="auto" w:fill="C6EFCE"/>
            <w:noWrap/>
          </w:tcPr>
          <w:p w14:paraId="62AA14A3"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31E6A308"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7809405F" w14:textId="77777777" w:rsidR="00553430" w:rsidRDefault="00212577">
            <w:pPr>
              <w:pStyle w:val="P68B1DB1-Normal66"/>
              <w:spacing w:after="20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15F76DE2" w14:textId="77777777" w:rsidR="00553430" w:rsidRDefault="00212577">
            <w:pPr>
              <w:pStyle w:val="P68B1DB1-Normal66"/>
              <w:spacing w:after="200" w:line="276" w:lineRule="auto"/>
              <w:jc w:val="center"/>
              <w:rPr>
                <w:noProof/>
              </w:rPr>
            </w:pPr>
            <w:r>
              <w:rPr>
                <w:noProof/>
              </w:rPr>
              <w:t>6</w:t>
            </w:r>
          </w:p>
        </w:tc>
        <w:tc>
          <w:tcPr>
            <w:tcW w:w="992" w:type="dxa"/>
            <w:tcBorders>
              <w:top w:val="single" w:sz="4" w:space="0" w:color="auto"/>
              <w:left w:val="nil"/>
              <w:bottom w:val="single" w:sz="4" w:space="0" w:color="auto"/>
              <w:right w:val="single" w:sz="4" w:space="0" w:color="auto"/>
            </w:tcBorders>
            <w:shd w:val="clear" w:color="auto" w:fill="C6EFCE"/>
            <w:noWrap/>
          </w:tcPr>
          <w:p w14:paraId="503F23D5"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214E8D14" w14:textId="77777777" w:rsidR="00553430" w:rsidRDefault="00212577">
            <w:pPr>
              <w:pStyle w:val="P68B1DB1-Normal66"/>
              <w:spacing w:after="200" w:line="276" w:lineRule="auto"/>
              <w:jc w:val="center"/>
              <w:rPr>
                <w:noProof/>
              </w:rPr>
            </w:pPr>
            <w:r>
              <w:rPr>
                <w:noProof/>
              </w:rPr>
              <w:t>2025</w:t>
            </w:r>
          </w:p>
        </w:tc>
        <w:tc>
          <w:tcPr>
            <w:tcW w:w="3951" w:type="dxa"/>
            <w:tcBorders>
              <w:top w:val="single" w:sz="4" w:space="0" w:color="auto"/>
              <w:left w:val="nil"/>
              <w:bottom w:val="single" w:sz="4" w:space="0" w:color="auto"/>
              <w:right w:val="single" w:sz="4" w:space="0" w:color="auto"/>
            </w:tcBorders>
            <w:shd w:val="clear" w:color="auto" w:fill="C6EFCE"/>
            <w:noWrap/>
          </w:tcPr>
          <w:p w14:paraId="5D8704EA" w14:textId="77777777" w:rsidR="00553430" w:rsidRDefault="00212577">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 xml:space="preserve">Au moins 6 installations de tri ont été construites. </w:t>
            </w:r>
            <w:r>
              <w:rPr>
                <w:rFonts w:ascii="Times New Roman" w:hAnsi="Times New Roman" w:cs="Times New Roman"/>
                <w:noProof/>
              </w:rPr>
              <w:br/>
            </w:r>
          </w:p>
        </w:tc>
      </w:tr>
      <w:tr w:rsidR="00553430" w14:paraId="3330FA08"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35FBE651" w14:textId="77777777" w:rsidR="00553430" w:rsidRDefault="00212577">
            <w:pPr>
              <w:pStyle w:val="P68B1DB1-Normal66"/>
              <w:spacing w:after="200" w:line="276" w:lineRule="auto"/>
              <w:jc w:val="center"/>
              <w:rPr>
                <w:noProof/>
              </w:rPr>
            </w:pPr>
            <w:r>
              <w:rPr>
                <w:noProof/>
              </w:rPr>
              <w:t>87</w:t>
            </w:r>
          </w:p>
        </w:tc>
        <w:tc>
          <w:tcPr>
            <w:tcW w:w="1080" w:type="dxa"/>
            <w:tcBorders>
              <w:top w:val="single" w:sz="4" w:space="0" w:color="auto"/>
              <w:left w:val="nil"/>
              <w:bottom w:val="single" w:sz="4" w:space="0" w:color="auto"/>
              <w:right w:val="single" w:sz="4" w:space="0" w:color="auto"/>
            </w:tcBorders>
            <w:shd w:val="clear" w:color="auto" w:fill="C6EFCE"/>
            <w:noWrap/>
          </w:tcPr>
          <w:p w14:paraId="1BBF8A71" w14:textId="77777777" w:rsidR="00553430" w:rsidRDefault="00212577">
            <w:pPr>
              <w:pStyle w:val="P68B1DB1-Normal66"/>
              <w:spacing w:after="200" w:line="276" w:lineRule="auto"/>
              <w:jc w:val="center"/>
              <w:rPr>
                <w:noProof/>
              </w:rPr>
            </w:pPr>
            <w:r>
              <w:rPr>
                <w:noProof/>
              </w:rPr>
              <w:t>C1.3. R2-I1</w:t>
            </w:r>
          </w:p>
        </w:tc>
        <w:tc>
          <w:tcPr>
            <w:tcW w:w="1080" w:type="dxa"/>
            <w:tcBorders>
              <w:top w:val="single" w:sz="4" w:space="0" w:color="auto"/>
              <w:left w:val="nil"/>
              <w:bottom w:val="single" w:sz="4" w:space="0" w:color="auto"/>
              <w:right w:val="single" w:sz="4" w:space="0" w:color="auto"/>
            </w:tcBorders>
            <w:shd w:val="clear" w:color="auto" w:fill="C6EFCE"/>
            <w:noWrap/>
          </w:tcPr>
          <w:p w14:paraId="1E2EE2CD" w14:textId="77777777" w:rsidR="00553430" w:rsidRDefault="00212577">
            <w:pPr>
              <w:pStyle w:val="P68B1DB1-Normal66"/>
              <w:spacing w:after="200" w:line="276" w:lineRule="auto"/>
              <w:jc w:val="center"/>
              <w:rPr>
                <w:noProof/>
                <w:color w:val="000000" w:themeColor="text1"/>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07BF8C79" w14:textId="77777777" w:rsidR="00553430" w:rsidRDefault="00212577">
            <w:pPr>
              <w:pStyle w:val="P68B1DB1-Normal66"/>
              <w:spacing w:after="200" w:line="276" w:lineRule="auto"/>
              <w:rPr>
                <w:noProof/>
              </w:rPr>
            </w:pPr>
            <w:r>
              <w:rPr>
                <w:noProof/>
              </w:rPr>
              <w:t>Installations construites pour traiter les biodéchets collectés séparément</w:t>
            </w:r>
          </w:p>
        </w:tc>
        <w:tc>
          <w:tcPr>
            <w:tcW w:w="1884" w:type="dxa"/>
            <w:tcBorders>
              <w:top w:val="single" w:sz="4" w:space="0" w:color="auto"/>
              <w:left w:val="nil"/>
              <w:bottom w:val="single" w:sz="4" w:space="0" w:color="auto"/>
              <w:right w:val="single" w:sz="4" w:space="0" w:color="auto"/>
            </w:tcBorders>
            <w:shd w:val="clear" w:color="auto" w:fill="C6EFCE"/>
            <w:noWrap/>
          </w:tcPr>
          <w:p w14:paraId="5A7CA1B2"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7A541C27"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07C8F2FE" w14:textId="77777777" w:rsidR="00553430" w:rsidRDefault="00212577">
            <w:pPr>
              <w:pStyle w:val="P68B1DB1-Normal66"/>
              <w:spacing w:after="20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431EA043" w14:textId="77777777" w:rsidR="00553430" w:rsidRDefault="00212577">
            <w:pPr>
              <w:pStyle w:val="P68B1DB1-Normal66"/>
              <w:spacing w:after="200" w:line="276" w:lineRule="auto"/>
              <w:jc w:val="center"/>
              <w:rPr>
                <w:noProof/>
              </w:rPr>
            </w:pPr>
            <w:r>
              <w:rPr>
                <w:noProof/>
              </w:rPr>
              <w:t>3</w:t>
            </w:r>
          </w:p>
        </w:tc>
        <w:tc>
          <w:tcPr>
            <w:tcW w:w="992" w:type="dxa"/>
            <w:tcBorders>
              <w:top w:val="single" w:sz="4" w:space="0" w:color="auto"/>
              <w:left w:val="nil"/>
              <w:bottom w:val="single" w:sz="4" w:space="0" w:color="auto"/>
              <w:right w:val="single" w:sz="4" w:space="0" w:color="auto"/>
            </w:tcBorders>
            <w:shd w:val="clear" w:color="auto" w:fill="C6EFCE"/>
            <w:noWrap/>
          </w:tcPr>
          <w:p w14:paraId="08F707B4"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07EF444F" w14:textId="77777777" w:rsidR="00553430" w:rsidRDefault="00212577">
            <w:pPr>
              <w:pStyle w:val="P68B1DB1-Normal66"/>
              <w:spacing w:after="200" w:line="276" w:lineRule="auto"/>
              <w:jc w:val="center"/>
              <w:rPr>
                <w:noProof/>
              </w:rPr>
            </w:pPr>
            <w:r>
              <w:rPr>
                <w:noProof/>
              </w:rPr>
              <w:t>2025</w:t>
            </w:r>
          </w:p>
        </w:tc>
        <w:tc>
          <w:tcPr>
            <w:tcW w:w="3951" w:type="dxa"/>
            <w:tcBorders>
              <w:top w:val="single" w:sz="4" w:space="0" w:color="auto"/>
              <w:left w:val="nil"/>
              <w:bottom w:val="single" w:sz="4" w:space="0" w:color="auto"/>
              <w:right w:val="single" w:sz="4" w:space="0" w:color="auto"/>
            </w:tcBorders>
            <w:shd w:val="clear" w:color="auto" w:fill="C6EFCE"/>
            <w:noWrap/>
          </w:tcPr>
          <w:p w14:paraId="011C3BDB" w14:textId="40F04C54" w:rsidR="00553430" w:rsidRDefault="00212577">
            <w:pPr>
              <w:pStyle w:val="P68B1DB1-Normal66"/>
              <w:spacing w:after="200" w:line="276" w:lineRule="auto"/>
              <w:rPr>
                <w:noProof/>
              </w:rPr>
            </w:pPr>
            <w:r>
              <w:rPr>
                <w:noProof/>
              </w:rPr>
              <w:t>Au moins 3 installations construites pour le traitement des biodéchets collectés séparément.</w:t>
            </w:r>
          </w:p>
        </w:tc>
      </w:tr>
      <w:tr w:rsidR="00553430" w14:paraId="31537721"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8F4C498" w14:textId="77777777" w:rsidR="00553430" w:rsidRDefault="00212577">
            <w:pPr>
              <w:pStyle w:val="P68B1DB1-Normal66"/>
              <w:spacing w:after="200" w:line="276" w:lineRule="auto"/>
              <w:jc w:val="center"/>
              <w:rPr>
                <w:noProof/>
              </w:rPr>
            </w:pPr>
            <w:r>
              <w:rPr>
                <w:noProof/>
              </w:rPr>
              <w:t>88</w:t>
            </w:r>
          </w:p>
        </w:tc>
        <w:tc>
          <w:tcPr>
            <w:tcW w:w="1080" w:type="dxa"/>
            <w:tcBorders>
              <w:top w:val="single" w:sz="4" w:space="0" w:color="auto"/>
              <w:left w:val="nil"/>
              <w:bottom w:val="single" w:sz="4" w:space="0" w:color="auto"/>
              <w:right w:val="single" w:sz="4" w:space="0" w:color="auto"/>
            </w:tcBorders>
            <w:shd w:val="clear" w:color="auto" w:fill="C6EFCE"/>
            <w:noWrap/>
          </w:tcPr>
          <w:p w14:paraId="6126EFB1" w14:textId="77777777" w:rsidR="00553430" w:rsidRDefault="00212577">
            <w:pPr>
              <w:pStyle w:val="P68B1DB1-Normal66"/>
              <w:spacing w:after="200" w:line="276" w:lineRule="auto"/>
              <w:jc w:val="center"/>
              <w:rPr>
                <w:noProof/>
              </w:rPr>
            </w:pPr>
            <w:r>
              <w:rPr>
                <w:noProof/>
              </w:rPr>
              <w:t>C1.3. R2-I1</w:t>
            </w:r>
          </w:p>
        </w:tc>
        <w:tc>
          <w:tcPr>
            <w:tcW w:w="1080" w:type="dxa"/>
            <w:tcBorders>
              <w:top w:val="single" w:sz="4" w:space="0" w:color="auto"/>
              <w:left w:val="nil"/>
              <w:bottom w:val="single" w:sz="4" w:space="0" w:color="auto"/>
              <w:right w:val="single" w:sz="4" w:space="0" w:color="auto"/>
            </w:tcBorders>
            <w:shd w:val="clear" w:color="auto" w:fill="C6EFCE"/>
            <w:noWrap/>
          </w:tcPr>
          <w:p w14:paraId="2DC65442"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2C9B4497" w14:textId="77777777" w:rsidR="00553430" w:rsidRDefault="00212577">
            <w:pPr>
              <w:pStyle w:val="P68B1DB1-Normal66"/>
              <w:spacing w:after="200" w:line="276" w:lineRule="auto"/>
              <w:rPr>
                <w:noProof/>
              </w:rPr>
            </w:pPr>
            <w:r>
              <w:rPr>
                <w:noProof/>
              </w:rPr>
              <w:t>Site fonctionnel de tri des déchets fixes/mobiles</w:t>
            </w:r>
          </w:p>
        </w:tc>
        <w:tc>
          <w:tcPr>
            <w:tcW w:w="1884" w:type="dxa"/>
            <w:tcBorders>
              <w:top w:val="single" w:sz="4" w:space="0" w:color="auto"/>
              <w:left w:val="nil"/>
              <w:bottom w:val="single" w:sz="4" w:space="0" w:color="auto"/>
              <w:right w:val="single" w:sz="4" w:space="0" w:color="auto"/>
            </w:tcBorders>
            <w:shd w:val="clear" w:color="auto" w:fill="C6EFCE"/>
            <w:noWrap/>
          </w:tcPr>
          <w:p w14:paraId="5BA31BD0"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1B6ED4EE"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05EB6430" w14:textId="77777777" w:rsidR="00553430" w:rsidRDefault="00212577">
            <w:pPr>
              <w:pStyle w:val="P68B1DB1-Normal66"/>
              <w:spacing w:after="20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326F41FB" w14:textId="77777777" w:rsidR="00553430" w:rsidRDefault="00212577">
            <w:pPr>
              <w:pStyle w:val="P68B1DB1-Normal66"/>
              <w:spacing w:after="200" w:line="276" w:lineRule="auto"/>
              <w:jc w:val="center"/>
              <w:rPr>
                <w:noProof/>
              </w:rPr>
            </w:pPr>
            <w:r>
              <w:rPr>
                <w:noProof/>
              </w:rPr>
              <w:t>20</w:t>
            </w:r>
          </w:p>
        </w:tc>
        <w:tc>
          <w:tcPr>
            <w:tcW w:w="992" w:type="dxa"/>
            <w:tcBorders>
              <w:top w:val="single" w:sz="4" w:space="0" w:color="auto"/>
              <w:left w:val="nil"/>
              <w:bottom w:val="single" w:sz="4" w:space="0" w:color="auto"/>
              <w:right w:val="single" w:sz="4" w:space="0" w:color="auto"/>
            </w:tcBorders>
            <w:shd w:val="clear" w:color="auto" w:fill="C6EFCE"/>
            <w:noWrap/>
          </w:tcPr>
          <w:p w14:paraId="71430B07" w14:textId="77777777" w:rsidR="00553430" w:rsidRDefault="00212577">
            <w:pPr>
              <w:pStyle w:val="P68B1DB1-Normal66"/>
              <w:spacing w:after="200" w:line="276" w:lineRule="auto"/>
              <w:jc w:val="center"/>
              <w:rPr>
                <w:noProof/>
              </w:rPr>
            </w:pPr>
            <w:r>
              <w:rPr>
                <w:noProof/>
              </w:rPr>
              <w:t>T3</w:t>
            </w:r>
          </w:p>
        </w:tc>
        <w:tc>
          <w:tcPr>
            <w:tcW w:w="851" w:type="dxa"/>
            <w:tcBorders>
              <w:top w:val="single" w:sz="4" w:space="0" w:color="auto"/>
              <w:left w:val="nil"/>
              <w:bottom w:val="single" w:sz="4" w:space="0" w:color="auto"/>
              <w:right w:val="single" w:sz="4" w:space="0" w:color="auto"/>
            </w:tcBorders>
            <w:shd w:val="clear" w:color="auto" w:fill="C6EFCE"/>
            <w:noWrap/>
          </w:tcPr>
          <w:p w14:paraId="340B0B5F" w14:textId="77777777" w:rsidR="00553430" w:rsidRDefault="00212577">
            <w:pPr>
              <w:pStyle w:val="P68B1DB1-Normal66"/>
              <w:spacing w:after="200" w:line="276" w:lineRule="auto"/>
              <w:jc w:val="center"/>
              <w:rPr>
                <w:noProof/>
              </w:rPr>
            </w:pPr>
            <w:r>
              <w:rPr>
                <w:noProof/>
              </w:rPr>
              <w:t>2025</w:t>
            </w:r>
          </w:p>
        </w:tc>
        <w:tc>
          <w:tcPr>
            <w:tcW w:w="3951" w:type="dxa"/>
            <w:tcBorders>
              <w:top w:val="single" w:sz="4" w:space="0" w:color="auto"/>
              <w:left w:val="nil"/>
              <w:bottom w:val="single" w:sz="4" w:space="0" w:color="auto"/>
              <w:right w:val="single" w:sz="4" w:space="0" w:color="auto"/>
            </w:tcBorders>
            <w:shd w:val="clear" w:color="auto" w:fill="C6EFCE"/>
            <w:noWrap/>
          </w:tcPr>
          <w:p w14:paraId="26C010DB" w14:textId="77777777" w:rsidR="00553430" w:rsidRDefault="00212577">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 xml:space="preserve">Au moins 20 sites fixes ou mobiles de tri des déchets ont été construits ou livrés. </w:t>
            </w:r>
            <w:r>
              <w:rPr>
                <w:rFonts w:ascii="Times New Roman" w:hAnsi="Times New Roman" w:cs="Times New Roman"/>
                <w:noProof/>
              </w:rPr>
              <w:br/>
            </w:r>
          </w:p>
        </w:tc>
      </w:tr>
      <w:tr w:rsidR="00553430" w14:paraId="08984E65"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6A0DF119" w14:textId="77777777" w:rsidR="00553430" w:rsidRDefault="00212577">
            <w:pPr>
              <w:pStyle w:val="P68B1DB1-Normal66"/>
              <w:spacing w:after="200" w:line="276" w:lineRule="auto"/>
              <w:jc w:val="center"/>
              <w:rPr>
                <w:noProof/>
              </w:rPr>
            </w:pPr>
            <w:r>
              <w:rPr>
                <w:noProof/>
              </w:rPr>
              <w:t>90</w:t>
            </w:r>
          </w:p>
        </w:tc>
        <w:tc>
          <w:tcPr>
            <w:tcW w:w="1080" w:type="dxa"/>
            <w:tcBorders>
              <w:top w:val="single" w:sz="4" w:space="0" w:color="auto"/>
              <w:left w:val="nil"/>
              <w:bottom w:val="single" w:sz="4" w:space="0" w:color="auto"/>
              <w:right w:val="single" w:sz="4" w:space="0" w:color="auto"/>
            </w:tcBorders>
            <w:shd w:val="clear" w:color="auto" w:fill="C6EFCE"/>
            <w:noWrap/>
          </w:tcPr>
          <w:p w14:paraId="33E72A31" w14:textId="77777777" w:rsidR="00553430" w:rsidRDefault="00212577">
            <w:pPr>
              <w:pStyle w:val="P68B1DB1-Normal66"/>
              <w:spacing w:after="200" w:line="276" w:lineRule="auto"/>
              <w:jc w:val="center"/>
              <w:rPr>
                <w:noProof/>
              </w:rPr>
            </w:pPr>
            <w:r>
              <w:rPr>
                <w:noProof/>
              </w:rPr>
              <w:t>C1.3. R2-I2</w:t>
            </w:r>
          </w:p>
        </w:tc>
        <w:tc>
          <w:tcPr>
            <w:tcW w:w="1080" w:type="dxa"/>
            <w:tcBorders>
              <w:top w:val="single" w:sz="4" w:space="0" w:color="auto"/>
              <w:left w:val="nil"/>
              <w:bottom w:val="single" w:sz="4" w:space="0" w:color="auto"/>
              <w:right w:val="single" w:sz="4" w:space="0" w:color="auto"/>
            </w:tcBorders>
            <w:shd w:val="clear" w:color="auto" w:fill="C6EFCE"/>
            <w:noWrap/>
          </w:tcPr>
          <w:p w14:paraId="464A7909"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321222F1" w14:textId="2B7FA856" w:rsidR="00553430" w:rsidRDefault="00212577">
            <w:pPr>
              <w:pStyle w:val="P68B1DB1-Normal66"/>
              <w:spacing w:after="200" w:line="276" w:lineRule="auto"/>
              <w:rPr>
                <w:noProof/>
              </w:rPr>
            </w:pPr>
            <w:r>
              <w:rPr>
                <w:noProof/>
              </w:rPr>
              <w:t>Assainissement des décharges</w:t>
            </w:r>
          </w:p>
        </w:tc>
        <w:tc>
          <w:tcPr>
            <w:tcW w:w="1884" w:type="dxa"/>
            <w:tcBorders>
              <w:top w:val="single" w:sz="4" w:space="0" w:color="auto"/>
              <w:left w:val="nil"/>
              <w:bottom w:val="single" w:sz="4" w:space="0" w:color="auto"/>
              <w:right w:val="single" w:sz="4" w:space="0" w:color="auto"/>
            </w:tcBorders>
            <w:shd w:val="clear" w:color="auto" w:fill="C6EFCE"/>
            <w:noWrap/>
          </w:tcPr>
          <w:p w14:paraId="7CD334C4" w14:textId="77777777" w:rsidR="00553430" w:rsidRDefault="00212577">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4D9C2C67"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7B604627" w14:textId="77777777" w:rsidR="00553430" w:rsidRDefault="00212577">
            <w:pPr>
              <w:pStyle w:val="P68B1DB1-Normal66"/>
              <w:spacing w:after="20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37704519" w14:textId="77777777" w:rsidR="00553430" w:rsidRDefault="00212577">
            <w:pPr>
              <w:pStyle w:val="P68B1DB1-Normal66"/>
              <w:spacing w:after="200" w:line="276" w:lineRule="auto"/>
              <w:jc w:val="center"/>
              <w:rPr>
                <w:noProof/>
              </w:rPr>
            </w:pPr>
            <w:r>
              <w:rPr>
                <w:noProof/>
              </w:rPr>
              <w:t>10</w:t>
            </w:r>
          </w:p>
        </w:tc>
        <w:tc>
          <w:tcPr>
            <w:tcW w:w="992" w:type="dxa"/>
            <w:tcBorders>
              <w:top w:val="single" w:sz="4" w:space="0" w:color="auto"/>
              <w:left w:val="nil"/>
              <w:bottom w:val="single" w:sz="4" w:space="0" w:color="auto"/>
              <w:right w:val="single" w:sz="4" w:space="0" w:color="auto"/>
            </w:tcBorders>
            <w:shd w:val="clear" w:color="auto" w:fill="C6EFCE"/>
            <w:noWrap/>
          </w:tcPr>
          <w:p w14:paraId="69179E88" w14:textId="77777777" w:rsidR="00553430" w:rsidRDefault="00212577">
            <w:pPr>
              <w:pStyle w:val="P68B1DB1-Normal66"/>
              <w:spacing w:after="200" w:line="276" w:lineRule="auto"/>
              <w:jc w:val="center"/>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4A29A810" w14:textId="77777777" w:rsidR="00553430" w:rsidRDefault="00212577">
            <w:pPr>
              <w:pStyle w:val="P68B1DB1-Normal66"/>
              <w:spacing w:after="200" w:line="276" w:lineRule="auto"/>
              <w:jc w:val="center"/>
              <w:rPr>
                <w:noProof/>
              </w:rPr>
            </w:pPr>
            <w:r>
              <w:rPr>
                <w:noProof/>
              </w:rPr>
              <w:t>2026</w:t>
            </w:r>
          </w:p>
        </w:tc>
        <w:tc>
          <w:tcPr>
            <w:tcW w:w="3951" w:type="dxa"/>
            <w:tcBorders>
              <w:top w:val="single" w:sz="4" w:space="0" w:color="auto"/>
              <w:left w:val="nil"/>
              <w:bottom w:val="single" w:sz="4" w:space="0" w:color="auto"/>
              <w:right w:val="single" w:sz="4" w:space="0" w:color="auto"/>
            </w:tcBorders>
            <w:shd w:val="clear" w:color="auto" w:fill="C6EFCE"/>
            <w:noWrap/>
          </w:tcPr>
          <w:p w14:paraId="3B2153CA" w14:textId="77777777" w:rsidR="00553430" w:rsidRDefault="00212577">
            <w:pPr>
              <w:pStyle w:val="P68B1DB1-Normal66"/>
              <w:spacing w:after="200" w:line="276" w:lineRule="auto"/>
              <w:rPr>
                <w:noProof/>
              </w:rPr>
            </w:pPr>
            <w:r>
              <w:rPr>
                <w:noProof/>
              </w:rPr>
              <w:t xml:space="preserve">Au moins 10 décharges/sites contaminés par des déchets dangereux ont été assainis. </w:t>
            </w:r>
          </w:p>
        </w:tc>
      </w:tr>
      <w:tr w:rsidR="00553430" w14:paraId="21936789"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6041C48" w14:textId="77777777" w:rsidR="00553430" w:rsidRDefault="00212577">
            <w:pPr>
              <w:pStyle w:val="P68B1DB1-Normal66"/>
              <w:spacing w:after="200" w:line="276" w:lineRule="auto"/>
              <w:jc w:val="center"/>
              <w:rPr>
                <w:noProof/>
              </w:rPr>
            </w:pPr>
            <w:r>
              <w:rPr>
                <w:noProof/>
              </w:rPr>
              <w:t>378</w:t>
            </w:r>
          </w:p>
        </w:tc>
        <w:tc>
          <w:tcPr>
            <w:tcW w:w="1080" w:type="dxa"/>
            <w:tcBorders>
              <w:top w:val="single" w:sz="4" w:space="0" w:color="auto"/>
              <w:left w:val="nil"/>
              <w:bottom w:val="single" w:sz="4" w:space="0" w:color="auto"/>
              <w:right w:val="single" w:sz="4" w:space="0" w:color="auto"/>
            </w:tcBorders>
            <w:shd w:val="clear" w:color="auto" w:fill="C6EFCE"/>
            <w:noWrap/>
          </w:tcPr>
          <w:p w14:paraId="76BDDAB5" w14:textId="77777777" w:rsidR="00553430" w:rsidRDefault="00212577">
            <w:pPr>
              <w:pStyle w:val="P68B1DB1-Normal66"/>
              <w:spacing w:after="200" w:line="276" w:lineRule="auto"/>
              <w:jc w:val="center"/>
              <w:rPr>
                <w:noProof/>
              </w:rPr>
            </w:pPr>
            <w:r>
              <w:rPr>
                <w:noProof/>
              </w:rPr>
              <w:t>C1.3. R2-I1</w:t>
            </w:r>
          </w:p>
          <w:p w14:paraId="6C7C48D0"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tcPr>
          <w:p w14:paraId="77024587" w14:textId="77777777" w:rsidR="00553430" w:rsidRDefault="00212577">
            <w:pPr>
              <w:pStyle w:val="P68B1DB1-Normal66"/>
              <w:spacing w:after="200" w:line="276" w:lineRule="auto"/>
              <w:jc w:val="center"/>
              <w:rPr>
                <w:noProof/>
              </w:rPr>
            </w:pPr>
            <w:r>
              <w:rPr>
                <w:noProof/>
              </w:rPr>
              <w:t>M</w:t>
            </w:r>
          </w:p>
        </w:tc>
        <w:tc>
          <w:tcPr>
            <w:tcW w:w="1920" w:type="dxa"/>
            <w:tcBorders>
              <w:top w:val="single" w:sz="4" w:space="0" w:color="auto"/>
              <w:left w:val="nil"/>
              <w:bottom w:val="single" w:sz="4" w:space="0" w:color="auto"/>
              <w:right w:val="single" w:sz="4" w:space="0" w:color="auto"/>
            </w:tcBorders>
            <w:shd w:val="clear" w:color="auto" w:fill="C6EFCE"/>
            <w:noWrap/>
          </w:tcPr>
          <w:p w14:paraId="2D323086" w14:textId="77777777" w:rsidR="00553430" w:rsidRDefault="00212577">
            <w:pPr>
              <w:pStyle w:val="P68B1DB1-Normal66"/>
              <w:spacing w:after="200" w:line="276" w:lineRule="auto"/>
              <w:rPr>
                <w:noProof/>
              </w:rPr>
            </w:pPr>
            <w:r>
              <w:rPr>
                <w:noProof/>
              </w:rPr>
              <w:t>Entrée en vigueur du règlement relatif à la taxe sur la mise en décharge</w:t>
            </w:r>
          </w:p>
          <w:p w14:paraId="797C4E7B" w14:textId="77777777" w:rsidR="00553430" w:rsidRDefault="00553430">
            <w:pPr>
              <w:spacing w:after="200" w:line="276" w:lineRule="auto"/>
              <w:rPr>
                <w:rFonts w:ascii="Times New Roman" w:eastAsia="Calibri" w:hAnsi="Times New Roman" w:cs="Times New Roman"/>
                <w:noProof/>
                <w:color w:val="000000"/>
                <w:sz w:val="20"/>
                <w:szCs w:val="20"/>
              </w:rPr>
            </w:pPr>
          </w:p>
        </w:tc>
        <w:tc>
          <w:tcPr>
            <w:tcW w:w="1884" w:type="dxa"/>
            <w:tcBorders>
              <w:top w:val="single" w:sz="4" w:space="0" w:color="auto"/>
              <w:left w:val="nil"/>
              <w:bottom w:val="single" w:sz="4" w:space="0" w:color="auto"/>
              <w:right w:val="single" w:sz="4" w:space="0" w:color="auto"/>
            </w:tcBorders>
            <w:shd w:val="clear" w:color="auto" w:fill="C6EFCE"/>
            <w:noWrap/>
          </w:tcPr>
          <w:p w14:paraId="30DBC1AA" w14:textId="77777777" w:rsidR="00553430" w:rsidRDefault="00212577">
            <w:pPr>
              <w:pStyle w:val="P68B1DB1-Normal66"/>
              <w:spacing w:after="200" w:line="276" w:lineRule="auto"/>
              <w:rPr>
                <w:noProof/>
              </w:rPr>
            </w:pPr>
            <w:r>
              <w:rPr>
                <w:noProof/>
              </w:rPr>
              <w:t>Disposition d’un règlement relatif à la taxe sur la mise en décharge indiquant son entrée en vigueur</w:t>
            </w:r>
          </w:p>
        </w:tc>
        <w:tc>
          <w:tcPr>
            <w:tcW w:w="1134" w:type="dxa"/>
            <w:tcBorders>
              <w:top w:val="single" w:sz="4" w:space="0" w:color="auto"/>
              <w:left w:val="nil"/>
              <w:bottom w:val="single" w:sz="4" w:space="0" w:color="auto"/>
              <w:right w:val="single" w:sz="4" w:space="0" w:color="auto"/>
            </w:tcBorders>
            <w:shd w:val="clear" w:color="auto" w:fill="C6EFCE"/>
            <w:noWrap/>
          </w:tcPr>
          <w:p w14:paraId="79A16FB2"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1011" w:type="dxa"/>
            <w:tcBorders>
              <w:top w:val="single" w:sz="4" w:space="0" w:color="auto"/>
              <w:left w:val="nil"/>
              <w:bottom w:val="single" w:sz="4" w:space="0" w:color="auto"/>
              <w:right w:val="single" w:sz="4" w:space="0" w:color="auto"/>
            </w:tcBorders>
            <w:shd w:val="clear" w:color="auto" w:fill="C6EFCE"/>
            <w:noWrap/>
          </w:tcPr>
          <w:p w14:paraId="4146F0CE"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5990F377"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28D8F3E6"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261185F7" w14:textId="77777777" w:rsidR="00553430" w:rsidRDefault="00212577">
            <w:pPr>
              <w:pStyle w:val="P68B1DB1-Normal66"/>
              <w:spacing w:after="200" w:line="276" w:lineRule="auto"/>
              <w:jc w:val="center"/>
              <w:rPr>
                <w:noProof/>
              </w:rPr>
            </w:pPr>
            <w:r>
              <w:rPr>
                <w:noProof/>
              </w:rPr>
              <w:t>2024</w:t>
            </w:r>
          </w:p>
          <w:p w14:paraId="094D0C2E"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3951" w:type="dxa"/>
            <w:tcBorders>
              <w:top w:val="single" w:sz="4" w:space="0" w:color="auto"/>
              <w:left w:val="nil"/>
              <w:bottom w:val="single" w:sz="4" w:space="0" w:color="auto"/>
              <w:right w:val="single" w:sz="4" w:space="0" w:color="auto"/>
            </w:tcBorders>
            <w:shd w:val="clear" w:color="auto" w:fill="C6EFCE"/>
            <w:noWrap/>
          </w:tcPr>
          <w:p w14:paraId="6BD90412" w14:textId="77777777" w:rsidR="00553430" w:rsidRDefault="00212577">
            <w:pPr>
              <w:pStyle w:val="P68B1DB1-Normal66"/>
              <w:spacing w:after="200" w:line="276" w:lineRule="auto"/>
              <w:rPr>
                <w:noProof/>
              </w:rPr>
            </w:pPr>
            <w:r>
              <w:rPr>
                <w:noProof/>
              </w:rPr>
              <w:t xml:space="preserve">Le règlement sur la taxe de mise en décharge entre en vigueur et </w:t>
            </w:r>
            <w:r>
              <w:rPr>
                <w:noProof/>
              </w:rPr>
              <w:t>fixe une redevance unitaire qui permet le calcul de la taxe de mise en décharge conformément à la loi sur la gestion des déchets.</w:t>
            </w:r>
          </w:p>
          <w:p w14:paraId="7F7E0BB0" w14:textId="77777777" w:rsidR="00553430" w:rsidRDefault="00212577">
            <w:pPr>
              <w:pStyle w:val="P68B1DB1-Normal66"/>
              <w:spacing w:after="200" w:line="276" w:lineRule="auto"/>
              <w:rPr>
                <w:noProof/>
              </w:rPr>
            </w:pPr>
            <w:r>
              <w:rPr>
                <w:noProof/>
              </w:rPr>
              <w:t>Le règlement établit des dispositions visant à augmenter progressivement la taxe de mise en décharge afin de supprimer progres</w:t>
            </w:r>
            <w:r>
              <w:rPr>
                <w:noProof/>
              </w:rPr>
              <w:t>sivement la mise en décharge des déchets recyclables et valorisables et à faire en sorte que les recettes soient utilisées conformément à la loi sur la gestion des déchets.</w:t>
            </w:r>
          </w:p>
        </w:tc>
      </w:tr>
      <w:tr w:rsidR="00553430" w14:paraId="17F9AD8D"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EF7AB57" w14:textId="77777777" w:rsidR="00553430" w:rsidRDefault="00212577">
            <w:pPr>
              <w:pStyle w:val="P68B1DB1-Normal66"/>
              <w:spacing w:after="200" w:line="276" w:lineRule="auto"/>
              <w:jc w:val="center"/>
              <w:rPr>
                <w:noProof/>
              </w:rPr>
            </w:pPr>
            <w:r>
              <w:rPr>
                <w:noProof/>
              </w:rPr>
              <w:t xml:space="preserve">380 </w:t>
            </w:r>
          </w:p>
        </w:tc>
        <w:tc>
          <w:tcPr>
            <w:tcW w:w="1080" w:type="dxa"/>
            <w:tcBorders>
              <w:top w:val="single" w:sz="4" w:space="0" w:color="auto"/>
              <w:left w:val="nil"/>
              <w:bottom w:val="single" w:sz="4" w:space="0" w:color="auto"/>
              <w:right w:val="single" w:sz="4" w:space="0" w:color="auto"/>
            </w:tcBorders>
            <w:shd w:val="clear" w:color="auto" w:fill="C6EFCE"/>
            <w:noWrap/>
          </w:tcPr>
          <w:p w14:paraId="6E7507C3" w14:textId="77777777" w:rsidR="00553430" w:rsidRDefault="00212577">
            <w:pPr>
              <w:pStyle w:val="P68B1DB1-Normal66"/>
              <w:spacing w:after="200" w:line="276" w:lineRule="auto"/>
              <w:jc w:val="center"/>
              <w:rPr>
                <w:noProof/>
              </w:rPr>
            </w:pPr>
            <w:r>
              <w:rPr>
                <w:noProof/>
              </w:rPr>
              <w:t>C1.3. R2-I1</w:t>
            </w:r>
          </w:p>
        </w:tc>
        <w:tc>
          <w:tcPr>
            <w:tcW w:w="1080" w:type="dxa"/>
            <w:tcBorders>
              <w:top w:val="single" w:sz="4" w:space="0" w:color="auto"/>
              <w:left w:val="nil"/>
              <w:bottom w:val="single" w:sz="4" w:space="0" w:color="auto"/>
              <w:right w:val="single" w:sz="4" w:space="0" w:color="auto"/>
            </w:tcBorders>
            <w:shd w:val="clear" w:color="auto" w:fill="C6EFCE"/>
            <w:noWrap/>
          </w:tcPr>
          <w:p w14:paraId="1AB7B7E8"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151700B2" w14:textId="77777777" w:rsidR="00553430" w:rsidRDefault="00212577">
            <w:pPr>
              <w:pStyle w:val="P68B1DB1-Normal66"/>
              <w:spacing w:after="200" w:line="276" w:lineRule="auto"/>
              <w:rPr>
                <w:noProof/>
              </w:rPr>
            </w:pPr>
            <w:r>
              <w:rPr>
                <w:noProof/>
              </w:rPr>
              <w:t>Équipements pour le traitement des biodéchets</w:t>
            </w:r>
          </w:p>
          <w:p w14:paraId="2E827618" w14:textId="77777777" w:rsidR="00553430" w:rsidRDefault="00553430">
            <w:pPr>
              <w:spacing w:after="200" w:line="276" w:lineRule="auto"/>
              <w:rPr>
                <w:rFonts w:ascii="Times New Roman" w:eastAsia="Calibri" w:hAnsi="Times New Roman" w:cs="Times New Roman"/>
                <w:noProof/>
                <w:color w:val="000000"/>
                <w:sz w:val="20"/>
                <w:szCs w:val="20"/>
              </w:rPr>
            </w:pPr>
          </w:p>
        </w:tc>
        <w:tc>
          <w:tcPr>
            <w:tcW w:w="1884" w:type="dxa"/>
            <w:tcBorders>
              <w:top w:val="single" w:sz="4" w:space="0" w:color="auto"/>
              <w:left w:val="nil"/>
              <w:bottom w:val="single" w:sz="4" w:space="0" w:color="auto"/>
              <w:right w:val="single" w:sz="4" w:space="0" w:color="auto"/>
            </w:tcBorders>
            <w:shd w:val="clear" w:color="auto" w:fill="C6EFCE"/>
            <w:noWrap/>
          </w:tcPr>
          <w:p w14:paraId="5DF950DB" w14:textId="77777777" w:rsidR="00553430" w:rsidRDefault="00553430">
            <w:pPr>
              <w:spacing w:after="200" w:line="276" w:lineRule="auto"/>
              <w:rPr>
                <w:rFonts w:ascii="Times New Roman" w:eastAsia="Calibri" w:hAnsi="Times New Roman" w:cs="Times New Roman"/>
                <w:noProof/>
                <w:color w:val="000000"/>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tcPr>
          <w:p w14:paraId="409FCF1B"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4DD907B7" w14:textId="77777777" w:rsidR="00553430" w:rsidRDefault="00212577">
            <w:pPr>
              <w:pStyle w:val="P68B1DB1-Normal66"/>
              <w:spacing w:after="20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1A09C735" w14:textId="77777777" w:rsidR="00553430" w:rsidRDefault="00212577">
            <w:pPr>
              <w:pStyle w:val="P68B1DB1-Normal66"/>
              <w:spacing w:after="200" w:line="276" w:lineRule="auto"/>
              <w:jc w:val="center"/>
              <w:rPr>
                <w:noProof/>
              </w:rPr>
            </w:pPr>
            <w:r>
              <w:rPr>
                <w:noProof/>
              </w:rPr>
              <w:t>20</w:t>
            </w:r>
          </w:p>
        </w:tc>
        <w:tc>
          <w:tcPr>
            <w:tcW w:w="992" w:type="dxa"/>
            <w:tcBorders>
              <w:top w:val="single" w:sz="4" w:space="0" w:color="auto"/>
              <w:left w:val="nil"/>
              <w:bottom w:val="single" w:sz="4" w:space="0" w:color="auto"/>
              <w:right w:val="single" w:sz="4" w:space="0" w:color="auto"/>
            </w:tcBorders>
            <w:shd w:val="clear" w:color="auto" w:fill="C6EFCE"/>
            <w:noWrap/>
          </w:tcPr>
          <w:p w14:paraId="042BF9ED"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261F9905" w14:textId="77777777" w:rsidR="00553430" w:rsidRDefault="00212577">
            <w:pPr>
              <w:pStyle w:val="P68B1DB1-Normal66"/>
              <w:spacing w:after="200" w:line="276" w:lineRule="auto"/>
              <w:jc w:val="center"/>
              <w:rPr>
                <w:noProof/>
              </w:rPr>
            </w:pPr>
            <w:r>
              <w:rPr>
                <w:noProof/>
              </w:rPr>
              <w:t>2025</w:t>
            </w:r>
          </w:p>
        </w:tc>
        <w:tc>
          <w:tcPr>
            <w:tcW w:w="3951" w:type="dxa"/>
            <w:tcBorders>
              <w:top w:val="single" w:sz="4" w:space="0" w:color="auto"/>
              <w:left w:val="nil"/>
              <w:bottom w:val="single" w:sz="4" w:space="0" w:color="auto"/>
              <w:right w:val="single" w:sz="4" w:space="0" w:color="auto"/>
            </w:tcBorders>
            <w:shd w:val="clear" w:color="auto" w:fill="C6EFCE"/>
            <w:noWrap/>
          </w:tcPr>
          <w:p w14:paraId="253E16D5" w14:textId="03F405B8" w:rsidR="00553430" w:rsidRDefault="00212577">
            <w:pPr>
              <w:pStyle w:val="P68B1DB1-Normal66"/>
              <w:spacing w:after="200" w:line="276" w:lineRule="auto"/>
              <w:rPr>
                <w:noProof/>
                <w:color w:val="000000" w:themeColor="text1"/>
              </w:rPr>
            </w:pPr>
            <w:r>
              <w:rPr>
                <w:noProof/>
              </w:rPr>
              <w:t xml:space="preserve">Au moins 20 équipements de traitement des biodéchets doivent être livrés. </w:t>
            </w:r>
          </w:p>
          <w:p w14:paraId="59FE9DD4" w14:textId="77777777" w:rsidR="00553430" w:rsidRDefault="00212577">
            <w:pPr>
              <w:pStyle w:val="P68B1DB1-Normal70"/>
              <w:spacing w:after="200" w:line="276" w:lineRule="auto"/>
              <w:rPr>
                <w:noProof/>
              </w:rPr>
            </w:pPr>
            <w:r>
              <w:rPr>
                <w:noProof/>
              </w:rPr>
              <w:t>Au moins 30 équipements destinés au recyclage et/ou à la réutilisation doivent être livrés.</w:t>
            </w:r>
          </w:p>
        </w:tc>
      </w:tr>
      <w:tr w:rsidR="00553430" w14:paraId="4B50B347" w14:textId="77777777" w:rsidTr="00E0330C">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6083C466" w14:textId="77777777" w:rsidR="00553430" w:rsidRDefault="00212577">
            <w:pPr>
              <w:pStyle w:val="P68B1DB1-Normal66"/>
              <w:spacing w:after="200" w:line="276" w:lineRule="auto"/>
              <w:jc w:val="center"/>
              <w:rPr>
                <w:noProof/>
              </w:rPr>
            </w:pPr>
            <w:r>
              <w:rPr>
                <w:noProof/>
              </w:rPr>
              <w:t xml:space="preserve">381 </w:t>
            </w:r>
          </w:p>
        </w:tc>
        <w:tc>
          <w:tcPr>
            <w:tcW w:w="1080" w:type="dxa"/>
            <w:tcBorders>
              <w:top w:val="single" w:sz="4" w:space="0" w:color="auto"/>
              <w:left w:val="nil"/>
              <w:bottom w:val="single" w:sz="4" w:space="0" w:color="auto"/>
              <w:right w:val="single" w:sz="4" w:space="0" w:color="auto"/>
            </w:tcBorders>
            <w:shd w:val="clear" w:color="auto" w:fill="C6EFCE"/>
            <w:noWrap/>
          </w:tcPr>
          <w:p w14:paraId="3A127684" w14:textId="77777777" w:rsidR="00553430" w:rsidRDefault="00212577">
            <w:pPr>
              <w:pStyle w:val="P68B1DB1-Normal66"/>
              <w:spacing w:after="200" w:line="276" w:lineRule="auto"/>
              <w:jc w:val="center"/>
              <w:rPr>
                <w:noProof/>
              </w:rPr>
            </w:pPr>
            <w:r>
              <w:rPr>
                <w:noProof/>
              </w:rPr>
              <w:t>C1.3. R2-I1</w:t>
            </w:r>
          </w:p>
        </w:tc>
        <w:tc>
          <w:tcPr>
            <w:tcW w:w="1080" w:type="dxa"/>
            <w:tcBorders>
              <w:top w:val="single" w:sz="4" w:space="0" w:color="auto"/>
              <w:left w:val="nil"/>
              <w:bottom w:val="single" w:sz="4" w:space="0" w:color="auto"/>
              <w:right w:val="single" w:sz="4" w:space="0" w:color="auto"/>
            </w:tcBorders>
            <w:shd w:val="clear" w:color="auto" w:fill="C6EFCE"/>
            <w:noWrap/>
          </w:tcPr>
          <w:p w14:paraId="71596A49" w14:textId="77777777" w:rsidR="00553430" w:rsidRDefault="00212577">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0E4F658A" w14:textId="6F7BC110" w:rsidR="00553430" w:rsidRDefault="00212577">
            <w:pPr>
              <w:pStyle w:val="P68B1DB1-Normal66"/>
              <w:spacing w:after="200" w:line="276" w:lineRule="auto"/>
              <w:rPr>
                <w:noProof/>
              </w:rPr>
            </w:pPr>
            <w:r>
              <w:rPr>
                <w:noProof/>
              </w:rPr>
              <w:t xml:space="preserve">Construction de stations de transfert de déchets </w:t>
            </w:r>
          </w:p>
        </w:tc>
        <w:tc>
          <w:tcPr>
            <w:tcW w:w="1884" w:type="dxa"/>
            <w:tcBorders>
              <w:top w:val="single" w:sz="4" w:space="0" w:color="auto"/>
              <w:left w:val="nil"/>
              <w:bottom w:val="single" w:sz="4" w:space="0" w:color="auto"/>
              <w:right w:val="single" w:sz="4" w:space="0" w:color="auto"/>
            </w:tcBorders>
            <w:shd w:val="clear" w:color="auto" w:fill="C6EFCE"/>
            <w:noWrap/>
          </w:tcPr>
          <w:p w14:paraId="16F70BB8" w14:textId="77777777" w:rsidR="00553430" w:rsidRDefault="00553430">
            <w:pPr>
              <w:spacing w:after="200" w:line="276" w:lineRule="auto"/>
              <w:rPr>
                <w:rFonts w:ascii="Times New Roman" w:eastAsia="Calibri" w:hAnsi="Times New Roman" w:cs="Times New Roman"/>
                <w:noProof/>
                <w:color w:val="000000"/>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tcPr>
          <w:p w14:paraId="1E89483E" w14:textId="77777777" w:rsidR="00553430" w:rsidRDefault="00212577">
            <w:pPr>
              <w:pStyle w:val="P68B1DB1-Normal66"/>
              <w:spacing w:after="200" w:line="276" w:lineRule="auto"/>
              <w:jc w:val="center"/>
              <w:rPr>
                <w:noProof/>
              </w:rPr>
            </w:pPr>
            <w:r>
              <w:rPr>
                <w:noProof/>
              </w:rPr>
              <w:t>Numéro</w:t>
            </w:r>
          </w:p>
        </w:tc>
        <w:tc>
          <w:tcPr>
            <w:tcW w:w="1011" w:type="dxa"/>
            <w:tcBorders>
              <w:top w:val="single" w:sz="4" w:space="0" w:color="auto"/>
              <w:left w:val="nil"/>
              <w:bottom w:val="single" w:sz="4" w:space="0" w:color="auto"/>
              <w:right w:val="single" w:sz="4" w:space="0" w:color="auto"/>
            </w:tcBorders>
            <w:shd w:val="clear" w:color="auto" w:fill="C6EFCE"/>
            <w:noWrap/>
          </w:tcPr>
          <w:p w14:paraId="13A5476C" w14:textId="77777777" w:rsidR="00553430" w:rsidRDefault="00212577">
            <w:pPr>
              <w:pStyle w:val="P68B1DB1-Normal66"/>
              <w:spacing w:after="20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46B1A5FE" w14:textId="77777777" w:rsidR="00553430" w:rsidRDefault="00212577">
            <w:pPr>
              <w:pStyle w:val="P68B1DB1-Normal66"/>
              <w:spacing w:after="200" w:line="276" w:lineRule="auto"/>
              <w:jc w:val="center"/>
              <w:rPr>
                <w:noProof/>
              </w:rPr>
            </w:pPr>
            <w:r>
              <w:rPr>
                <w:noProof/>
              </w:rPr>
              <w:t>15</w:t>
            </w:r>
          </w:p>
        </w:tc>
        <w:tc>
          <w:tcPr>
            <w:tcW w:w="992" w:type="dxa"/>
            <w:tcBorders>
              <w:top w:val="single" w:sz="4" w:space="0" w:color="auto"/>
              <w:left w:val="nil"/>
              <w:bottom w:val="single" w:sz="4" w:space="0" w:color="auto"/>
              <w:right w:val="single" w:sz="4" w:space="0" w:color="auto"/>
            </w:tcBorders>
            <w:shd w:val="clear" w:color="auto" w:fill="C6EFCE"/>
            <w:noWrap/>
          </w:tcPr>
          <w:p w14:paraId="2839DE1D" w14:textId="77777777" w:rsidR="00553430" w:rsidRDefault="00212577">
            <w:pPr>
              <w:pStyle w:val="P68B1DB1-Normal66"/>
              <w:spacing w:after="200" w:line="276" w:lineRule="auto"/>
              <w:jc w:val="center"/>
              <w:rPr>
                <w:noProof/>
              </w:rPr>
            </w:pPr>
            <w:r>
              <w:rPr>
                <w:noProof/>
              </w:rPr>
              <w:t>T1</w:t>
            </w:r>
          </w:p>
        </w:tc>
        <w:tc>
          <w:tcPr>
            <w:tcW w:w="851" w:type="dxa"/>
            <w:tcBorders>
              <w:top w:val="single" w:sz="4" w:space="0" w:color="auto"/>
              <w:left w:val="nil"/>
              <w:bottom w:val="single" w:sz="4" w:space="0" w:color="auto"/>
              <w:right w:val="single" w:sz="4" w:space="0" w:color="auto"/>
            </w:tcBorders>
            <w:shd w:val="clear" w:color="auto" w:fill="C6EFCE"/>
            <w:noWrap/>
          </w:tcPr>
          <w:p w14:paraId="4F0AB409" w14:textId="77777777" w:rsidR="00553430" w:rsidRDefault="00212577">
            <w:pPr>
              <w:pStyle w:val="P68B1DB1-Normal66"/>
              <w:spacing w:after="200" w:line="276" w:lineRule="auto"/>
              <w:jc w:val="center"/>
              <w:rPr>
                <w:noProof/>
              </w:rPr>
            </w:pPr>
            <w:r>
              <w:rPr>
                <w:noProof/>
              </w:rPr>
              <w:t>2026</w:t>
            </w:r>
          </w:p>
        </w:tc>
        <w:tc>
          <w:tcPr>
            <w:tcW w:w="3951" w:type="dxa"/>
            <w:tcBorders>
              <w:top w:val="single" w:sz="4" w:space="0" w:color="auto"/>
              <w:left w:val="nil"/>
              <w:bottom w:val="single" w:sz="4" w:space="0" w:color="auto"/>
              <w:right w:val="single" w:sz="4" w:space="0" w:color="auto"/>
            </w:tcBorders>
            <w:shd w:val="clear" w:color="auto" w:fill="C6EFCE"/>
            <w:noWrap/>
          </w:tcPr>
          <w:p w14:paraId="68A98B45" w14:textId="77777777" w:rsidR="00553430" w:rsidRDefault="00212577">
            <w:pPr>
              <w:pStyle w:val="P68B1DB1-Normal66"/>
              <w:spacing w:after="200" w:line="276" w:lineRule="auto"/>
              <w:rPr>
                <w:noProof/>
              </w:rPr>
            </w:pPr>
            <w:r>
              <w:rPr>
                <w:noProof/>
              </w:rPr>
              <w:t>Au moins 15 stations de transfert de déchets doivent être construites.</w:t>
            </w:r>
          </w:p>
        </w:tc>
      </w:tr>
    </w:tbl>
    <w:p w14:paraId="71FA8321" w14:textId="77777777" w:rsidR="00553430" w:rsidRDefault="00553430">
      <w:pPr>
        <w:rPr>
          <w:noProof/>
        </w:rPr>
      </w:pPr>
    </w:p>
    <w:p w14:paraId="32858F1C" w14:textId="77777777" w:rsidR="00553430" w:rsidRDefault="00553430">
      <w:pPr>
        <w:rPr>
          <w:noProof/>
        </w:rPr>
        <w:sectPr w:rsidR="00553430" w:rsidSect="00FA29B2">
          <w:headerReference w:type="even" r:id="rId57"/>
          <w:headerReference w:type="default" r:id="rId58"/>
          <w:footerReference w:type="even" r:id="rId59"/>
          <w:footerReference w:type="default" r:id="rId60"/>
          <w:headerReference w:type="first" r:id="rId61"/>
          <w:footerReference w:type="first" r:id="rId62"/>
          <w:pgSz w:w="16839" w:h="11907" w:orient="landscape"/>
          <w:pgMar w:top="1134" w:right="1134" w:bottom="1134" w:left="1134" w:header="567" w:footer="567" w:gutter="0"/>
          <w:cols w:space="708"/>
          <w:docGrid w:linePitch="360"/>
        </w:sectPr>
      </w:pPr>
    </w:p>
    <w:p w14:paraId="48D00468" w14:textId="1C460FA7" w:rsidR="00553430" w:rsidRDefault="00212577">
      <w:pPr>
        <w:pStyle w:val="paragraph"/>
        <w:spacing w:before="0" w:beforeAutospacing="0" w:after="0" w:afterAutospacing="0"/>
        <w:ind w:left="840"/>
        <w:jc w:val="both"/>
        <w:textAlignment w:val="baseline"/>
        <w:rPr>
          <w:rFonts w:ascii="Segoe UI" w:hAnsi="Segoe UI" w:cs="Segoe UI"/>
          <w:noProof/>
          <w:sz w:val="18"/>
          <w:szCs w:val="18"/>
          <w:u w:val="single"/>
        </w:rPr>
      </w:pPr>
      <w:r>
        <w:rPr>
          <w:rStyle w:val="normaltextrun"/>
          <w:b/>
          <w:noProof/>
          <w:u w:val="single"/>
        </w:rPr>
        <w:t xml:space="preserve">C.3. </w:t>
      </w:r>
      <w:r>
        <w:rPr>
          <w:noProof/>
          <w:u w:val="single"/>
        </w:rPr>
        <w:t xml:space="preserve"> </w:t>
      </w:r>
      <w:r>
        <w:rPr>
          <w:rStyle w:val="normaltextrun"/>
          <w:b/>
          <w:noProof/>
          <w:u w:val="single"/>
        </w:rPr>
        <w:t xml:space="preserve">Description des réformes et des investissements pour le prêt </w:t>
      </w:r>
    </w:p>
    <w:p w14:paraId="6F45DE73" w14:textId="30719F5A" w:rsidR="00553430" w:rsidRDefault="00212577">
      <w:pPr>
        <w:pStyle w:val="paragraph"/>
        <w:spacing w:before="0" w:beforeAutospacing="0" w:after="0" w:afterAutospacing="0"/>
        <w:ind w:left="840"/>
        <w:jc w:val="both"/>
        <w:textAlignment w:val="baseline"/>
        <w:rPr>
          <w:rFonts w:ascii="Segoe UI" w:hAnsi="Segoe UI" w:cs="Segoe UI"/>
          <w:noProof/>
          <w:sz w:val="18"/>
          <w:szCs w:val="18"/>
        </w:rPr>
      </w:pPr>
      <w:r>
        <w:rPr>
          <w:rStyle w:val="normaltextrun"/>
          <w:noProof/>
        </w:rPr>
        <w:t xml:space="preserve"> </w:t>
      </w:r>
    </w:p>
    <w:p w14:paraId="6673C55B" w14:textId="77777777" w:rsidR="00553430" w:rsidRDefault="00212577">
      <w:pPr>
        <w:pStyle w:val="P68B1DB1-Normal98"/>
        <w:keepNext/>
        <w:tabs>
          <w:tab w:val="num" w:pos="850"/>
        </w:tabs>
        <w:spacing w:after="200" w:line="276" w:lineRule="auto"/>
        <w:ind w:left="840"/>
        <w:jc w:val="both"/>
        <w:outlineLvl w:val="2"/>
        <w:rPr>
          <w:rFonts w:eastAsia="Calibri"/>
          <w:noProof/>
          <w:szCs w:val="24"/>
        </w:rPr>
      </w:pPr>
      <w:r>
        <w:rPr>
          <w:noProof/>
          <w:szCs w:val="24"/>
        </w:rPr>
        <w:t>Formulaire</w:t>
      </w:r>
      <w:r>
        <w:rPr>
          <w:noProof/>
          <w:szCs w:val="28"/>
        </w:rPr>
        <w:t xml:space="preserve"> C1.3 R3 – Poursuite de la mise en œuvre du programme de gestion de l’eau</w:t>
      </w:r>
    </w:p>
    <w:p w14:paraId="02671D56" w14:textId="77777777" w:rsidR="00553430" w:rsidRDefault="00212577">
      <w:pPr>
        <w:pStyle w:val="paragraph"/>
        <w:spacing w:before="0" w:beforeAutospacing="0" w:after="0" w:afterAutospacing="0"/>
        <w:jc w:val="both"/>
        <w:rPr>
          <w:noProof/>
        </w:rPr>
      </w:pPr>
      <w:r>
        <w:rPr>
          <w:noProof/>
        </w:rPr>
        <w:t xml:space="preserve">L'objectif de cette réforme est de continuer à relever les principaux défis politiques du secteur de l'eau en Croatie. </w:t>
      </w:r>
    </w:p>
    <w:p w14:paraId="48DD2796" w14:textId="77777777" w:rsidR="00553430" w:rsidRDefault="00553430">
      <w:pPr>
        <w:pStyle w:val="paragraph"/>
        <w:spacing w:before="0" w:beforeAutospacing="0" w:after="0" w:afterAutospacing="0"/>
        <w:jc w:val="both"/>
        <w:rPr>
          <w:noProof/>
        </w:rPr>
      </w:pPr>
    </w:p>
    <w:p w14:paraId="674479F0" w14:textId="69882902" w:rsidR="00553430" w:rsidRDefault="00212577">
      <w:pPr>
        <w:pStyle w:val="paragraph"/>
        <w:spacing w:before="0" w:beforeAutospacing="0" w:after="0" w:afterAutospacing="0"/>
        <w:jc w:val="both"/>
        <w:rPr>
          <w:noProof/>
        </w:rPr>
      </w:pPr>
      <w:r>
        <w:rPr>
          <w:noProof/>
        </w:rPr>
        <w:t xml:space="preserve">La réforme consiste en l’adoption d’une législation, du plan </w:t>
      </w:r>
      <w:r>
        <w:rPr>
          <w:noProof/>
        </w:rPr>
        <w:t xml:space="preserve">national et des plans des exploitants du secteur de l’eau visant à réduire les pertes d’eau dans les systèmes publics d’approvisionnement en eau, ainsi qu’en la création de l’organisme national de surveillance des pertes d’eau. </w:t>
      </w:r>
    </w:p>
    <w:p w14:paraId="4906D1DD" w14:textId="77777777" w:rsidR="00553430" w:rsidRDefault="00553430">
      <w:pPr>
        <w:spacing w:after="0" w:line="240" w:lineRule="auto"/>
        <w:jc w:val="both"/>
        <w:rPr>
          <w:rFonts w:ascii="Times New Roman" w:eastAsia="Calibri" w:hAnsi="Times New Roman" w:cs="Times New Roman"/>
          <w:noProof/>
          <w:color w:val="2B579A"/>
          <w:sz w:val="24"/>
          <w:szCs w:val="24"/>
        </w:rPr>
      </w:pPr>
    </w:p>
    <w:p w14:paraId="25ADF7C9" w14:textId="77777777" w:rsidR="00553430" w:rsidRDefault="00212577">
      <w:pPr>
        <w:pStyle w:val="P68B1DB1-Normal96"/>
        <w:keepNext/>
        <w:tabs>
          <w:tab w:val="num" w:pos="850"/>
        </w:tabs>
        <w:spacing w:after="200" w:line="276" w:lineRule="auto"/>
        <w:ind w:left="840"/>
        <w:jc w:val="both"/>
        <w:rPr>
          <w:noProof/>
        </w:rPr>
      </w:pPr>
      <w:r>
        <w:rPr>
          <w:noProof/>
        </w:rPr>
        <w:t xml:space="preserve">Investissement C1.3 R3-I1 </w:t>
      </w:r>
      <w:r>
        <w:rPr>
          <w:noProof/>
        </w:rPr>
        <w:t>– Investissements supplémentaires dans le programme public de développement des eaux usées</w:t>
      </w:r>
    </w:p>
    <w:p w14:paraId="1E078E19" w14:textId="77777777" w:rsidR="00553430" w:rsidRDefault="00212577">
      <w:pPr>
        <w:pStyle w:val="P68B1DB1-paragraph24"/>
        <w:spacing w:before="0" w:beforeAutospacing="0" w:after="0" w:afterAutospacing="0"/>
        <w:jc w:val="both"/>
        <w:rPr>
          <w:noProof/>
        </w:rPr>
      </w:pPr>
      <w:r>
        <w:rPr>
          <w:noProof/>
        </w:rPr>
        <w:t>L'objectif de cet investissement est d'améliorer davantage l'infrastructure de collecte et de traitement des eaux usées.</w:t>
      </w:r>
    </w:p>
    <w:p w14:paraId="22E311C7" w14:textId="77777777" w:rsidR="00553430" w:rsidRDefault="00553430">
      <w:pPr>
        <w:pStyle w:val="paragraph"/>
        <w:spacing w:before="0" w:beforeAutospacing="0" w:after="0" w:afterAutospacing="0"/>
        <w:jc w:val="both"/>
        <w:rPr>
          <w:rFonts w:eastAsia="Calibri"/>
          <w:noProof/>
        </w:rPr>
      </w:pPr>
    </w:p>
    <w:p w14:paraId="7C2DB7B6" w14:textId="77777777" w:rsidR="00553430" w:rsidRDefault="00212577">
      <w:pPr>
        <w:pStyle w:val="P68B1DB1-paragraph24"/>
        <w:spacing w:before="0" w:beforeAutospacing="0" w:after="0" w:afterAutospacing="0"/>
        <w:jc w:val="both"/>
        <w:rPr>
          <w:noProof/>
        </w:rPr>
      </w:pPr>
      <w:r>
        <w:rPr>
          <w:noProof/>
        </w:rPr>
        <w:t>Cette mesure consiste en la construction et</w:t>
      </w:r>
      <w:r>
        <w:rPr>
          <w:noProof/>
        </w:rPr>
        <w:t xml:space="preserve"> la reconstruction supplémentaires de réseaux publics d'assainissement, ainsi qu'en la construction de stations d'épuration des eaux usées. </w:t>
      </w:r>
    </w:p>
    <w:p w14:paraId="00EDB8B5" w14:textId="77777777" w:rsidR="00553430" w:rsidRDefault="00553430">
      <w:pPr>
        <w:pStyle w:val="paragraph"/>
        <w:spacing w:before="0" w:beforeAutospacing="0" w:after="0" w:afterAutospacing="0"/>
        <w:jc w:val="both"/>
        <w:rPr>
          <w:rFonts w:eastAsia="Calibri"/>
          <w:noProof/>
        </w:rPr>
      </w:pPr>
    </w:p>
    <w:p w14:paraId="4D281659" w14:textId="77777777" w:rsidR="00553430" w:rsidRDefault="00212577">
      <w:pPr>
        <w:pStyle w:val="P68B1DB1-Normal96"/>
        <w:spacing w:after="200" w:line="276" w:lineRule="auto"/>
        <w:ind w:left="840"/>
        <w:jc w:val="both"/>
        <w:rPr>
          <w:noProof/>
        </w:rPr>
      </w:pPr>
      <w:r>
        <w:rPr>
          <w:noProof/>
        </w:rPr>
        <w:t>Investissement C1.3 R3-I2 – Investissements supplémentaires dans le programme public de développement de l’approvi</w:t>
      </w:r>
      <w:r>
        <w:rPr>
          <w:noProof/>
        </w:rPr>
        <w:t>sionnement en eau</w:t>
      </w:r>
    </w:p>
    <w:p w14:paraId="15EE2D6D" w14:textId="77777777" w:rsidR="00553430" w:rsidRDefault="00212577">
      <w:pPr>
        <w:pStyle w:val="P68B1DB1-Normal83"/>
        <w:spacing w:after="0"/>
        <w:rPr>
          <w:noProof/>
          <w:u w:val="single"/>
        </w:rPr>
      </w:pPr>
      <w:r>
        <w:rPr>
          <w:noProof/>
        </w:rPr>
        <w:t xml:space="preserve">L'objectif de cet investissement est d'améliorer en outre les infrastructures d'approvisionnement en eau. </w:t>
      </w:r>
    </w:p>
    <w:p w14:paraId="6D5160F2" w14:textId="77777777" w:rsidR="00553430" w:rsidRDefault="00212577">
      <w:pPr>
        <w:spacing w:after="0"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Cette mesure consiste en la construction et la reconstruction supplémentaires de canalisations d'approvisionnement en eau.</w:t>
      </w:r>
      <w:r>
        <w:rPr>
          <w:noProof/>
        </w:rPr>
        <w:t xml:space="preserve"> </w:t>
      </w:r>
    </w:p>
    <w:p w14:paraId="552F6081" w14:textId="77777777" w:rsidR="00553430" w:rsidRDefault="00212577">
      <w:pPr>
        <w:pStyle w:val="P68B1DB1-paragraph99"/>
        <w:keepNext/>
        <w:ind w:left="851"/>
        <w:jc w:val="both"/>
        <w:rPr>
          <w:i/>
          <w:noProof/>
        </w:rPr>
      </w:pPr>
      <w:r>
        <w:rPr>
          <w:noProof/>
        </w:rPr>
        <w:t xml:space="preserve">Investissement C1.3 R3-I3 – Investissements supplémentaires dans le programme de réduction des risques de catastrophe </w:t>
      </w:r>
    </w:p>
    <w:p w14:paraId="3CF4D091" w14:textId="77777777" w:rsidR="00553430" w:rsidRDefault="00212577">
      <w:pPr>
        <w:pStyle w:val="P68B1DB1-paragraph24"/>
        <w:spacing w:before="0" w:beforeAutospacing="0" w:after="0" w:afterAutospacing="0"/>
        <w:jc w:val="both"/>
        <w:rPr>
          <w:noProof/>
        </w:rPr>
      </w:pPr>
      <w:r>
        <w:rPr>
          <w:noProof/>
        </w:rPr>
        <w:t>L'objectif de cet investissement est de mettre en œuvre des investissements supplémentaires dans le programme de réduction des risques de</w:t>
      </w:r>
      <w:r>
        <w:rPr>
          <w:noProof/>
        </w:rPr>
        <w:t xml:space="preserve"> catastrophe. </w:t>
      </w:r>
    </w:p>
    <w:p w14:paraId="16F21934" w14:textId="77777777" w:rsidR="00553430" w:rsidRDefault="00553430">
      <w:pPr>
        <w:pStyle w:val="paragraph"/>
        <w:spacing w:before="0" w:beforeAutospacing="0" w:after="0" w:afterAutospacing="0"/>
        <w:jc w:val="both"/>
        <w:rPr>
          <w:rFonts w:eastAsia="Calibri"/>
          <w:noProof/>
        </w:rPr>
      </w:pPr>
    </w:p>
    <w:p w14:paraId="60BDA127" w14:textId="77777777" w:rsidR="00553430" w:rsidRDefault="00212577">
      <w:pPr>
        <w:pStyle w:val="P68B1DB1-paragraph24"/>
        <w:spacing w:before="0" w:beforeAutospacing="0" w:after="0" w:afterAutospacing="0"/>
        <w:jc w:val="both"/>
        <w:rPr>
          <w:noProof/>
        </w:rPr>
      </w:pPr>
      <w:r>
        <w:rPr>
          <w:noProof/>
        </w:rPr>
        <w:t xml:space="preserve">Cette mesure consiste en la construction de </w:t>
      </w:r>
      <w:r>
        <w:rPr>
          <w:noProof/>
          <w:color w:val="000000" w:themeColor="text1"/>
          <w:szCs w:val="24"/>
        </w:rPr>
        <w:t xml:space="preserve">structures de protection contre </w:t>
      </w:r>
      <w:r>
        <w:rPr>
          <w:noProof/>
        </w:rPr>
        <w:t>les inondations et la revitalisation des systèmes d'eau douce.</w:t>
      </w:r>
    </w:p>
    <w:p w14:paraId="65DC3706" w14:textId="77777777" w:rsidR="00553430" w:rsidRDefault="00553430">
      <w:pPr>
        <w:pStyle w:val="paragraph"/>
        <w:spacing w:before="0" w:beforeAutospacing="0" w:after="0" w:afterAutospacing="0"/>
        <w:jc w:val="both"/>
        <w:rPr>
          <w:noProof/>
        </w:rPr>
      </w:pPr>
    </w:p>
    <w:p w14:paraId="4C37C38F" w14:textId="77777777" w:rsidR="00553430" w:rsidRDefault="00553430">
      <w:pPr>
        <w:tabs>
          <w:tab w:val="left" w:pos="2579"/>
        </w:tabs>
        <w:rPr>
          <w:rFonts w:eastAsia="Calibri"/>
          <w:noProof/>
        </w:rPr>
        <w:sectPr w:rsidR="00553430" w:rsidSect="00FA29B2">
          <w:headerReference w:type="even" r:id="rId63"/>
          <w:headerReference w:type="default" r:id="rId64"/>
          <w:footerReference w:type="even" r:id="rId65"/>
          <w:footerReference w:type="default" r:id="rId66"/>
          <w:headerReference w:type="first" r:id="rId67"/>
          <w:footerReference w:type="first" r:id="rId68"/>
          <w:pgSz w:w="11907" w:h="16839"/>
          <w:pgMar w:top="1134" w:right="1134" w:bottom="1134" w:left="1134" w:header="567" w:footer="567" w:gutter="0"/>
          <w:cols w:space="708"/>
          <w:docGrid w:linePitch="360"/>
        </w:sectPr>
      </w:pPr>
    </w:p>
    <w:p w14:paraId="125631C0" w14:textId="5E77EBCA" w:rsidR="00553430" w:rsidRDefault="00212577">
      <w:pPr>
        <w:pStyle w:val="paragraph"/>
        <w:spacing w:before="0" w:beforeAutospacing="0" w:after="0" w:afterAutospacing="0"/>
        <w:jc w:val="both"/>
        <w:textAlignment w:val="baseline"/>
        <w:rPr>
          <w:rStyle w:val="eop"/>
          <w:noProof/>
          <w:u w:val="single"/>
        </w:rPr>
      </w:pPr>
      <w:r>
        <w:rPr>
          <w:rStyle w:val="normaltextrun"/>
          <w:b/>
          <w:noProof/>
          <w:u w:val="single"/>
        </w:rPr>
        <w:t>C.4. Étapes, objectifs, indicateurs et</w:t>
      </w:r>
      <w:r>
        <w:rPr>
          <w:rStyle w:val="normaltextrun"/>
          <w:b/>
          <w:noProof/>
          <w:u w:val="single"/>
        </w:rPr>
        <w:t xml:space="preserve"> calendrier du suivi et de la mise en œuvre du prêt </w:t>
      </w:r>
    </w:p>
    <w:p w14:paraId="0FBF3C57" w14:textId="77777777" w:rsidR="00553430" w:rsidRDefault="00553430">
      <w:pPr>
        <w:pStyle w:val="paragraph"/>
        <w:spacing w:before="0" w:beforeAutospacing="0" w:after="0" w:afterAutospacing="0"/>
        <w:ind w:left="840"/>
        <w:jc w:val="both"/>
        <w:textAlignment w:val="baseline"/>
        <w:rPr>
          <w:rStyle w:val="eop"/>
          <w:noProof/>
        </w:rPr>
      </w:pPr>
    </w:p>
    <w:tbl>
      <w:tblPr>
        <w:tblW w:w="15906" w:type="dxa"/>
        <w:jc w:val="center"/>
        <w:tblCellMar>
          <w:top w:w="28" w:type="dxa"/>
          <w:left w:w="28" w:type="dxa"/>
          <w:bottom w:w="28" w:type="dxa"/>
          <w:right w:w="28" w:type="dxa"/>
        </w:tblCellMar>
        <w:tblLook w:val="04A0" w:firstRow="1" w:lastRow="0" w:firstColumn="1" w:lastColumn="0" w:noHBand="0" w:noVBand="1"/>
      </w:tblPr>
      <w:tblGrid>
        <w:gridCol w:w="768"/>
        <w:gridCol w:w="1356"/>
        <w:gridCol w:w="1104"/>
        <w:gridCol w:w="1731"/>
        <w:gridCol w:w="1843"/>
        <w:gridCol w:w="862"/>
        <w:gridCol w:w="852"/>
        <w:gridCol w:w="850"/>
        <w:gridCol w:w="893"/>
        <w:gridCol w:w="993"/>
        <w:gridCol w:w="4917"/>
      </w:tblGrid>
      <w:tr w:rsidR="00553430" w14:paraId="137F779D" w14:textId="77777777">
        <w:trPr>
          <w:tblHeader/>
          <w:jc w:val="center"/>
        </w:trPr>
        <w:tc>
          <w:tcPr>
            <w:tcW w:w="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7A81D0" w14:textId="77777777" w:rsidR="00553430" w:rsidRDefault="00212577">
            <w:pPr>
              <w:pStyle w:val="P68B1DB1-Normal58"/>
              <w:spacing w:after="0" w:line="276" w:lineRule="auto"/>
              <w:jc w:val="center"/>
              <w:rPr>
                <w:bCs/>
                <w:noProof/>
              </w:rPr>
            </w:pPr>
            <w:r>
              <w:rPr>
                <w:noProof/>
              </w:rPr>
              <w:t>Numéro</w:t>
            </w:r>
          </w:p>
        </w:tc>
        <w:tc>
          <w:tcPr>
            <w:tcW w:w="12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D2E8D9" w14:textId="77777777" w:rsidR="00553430" w:rsidRDefault="00212577">
            <w:pPr>
              <w:pStyle w:val="P68B1DB1-Normal87"/>
              <w:spacing w:after="0" w:line="276" w:lineRule="auto"/>
              <w:jc w:val="center"/>
              <w:rPr>
                <w:bCs/>
                <w:noProof/>
              </w:rPr>
            </w:pPr>
            <w:r>
              <w:rPr>
                <w:noProof/>
              </w:rPr>
              <w:t>Mesure connexe (réforme ou investissement)</w:t>
            </w:r>
          </w:p>
        </w:tc>
        <w:tc>
          <w:tcPr>
            <w:tcW w:w="11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A3B8FF7" w14:textId="77777777" w:rsidR="00553430" w:rsidRDefault="00212577">
            <w:pPr>
              <w:pStyle w:val="P68B1DB1-Normal58"/>
              <w:spacing w:after="0" w:line="276" w:lineRule="auto"/>
              <w:jc w:val="center"/>
              <w:rPr>
                <w:bCs/>
                <w:noProof/>
              </w:rPr>
            </w:pPr>
            <w:r>
              <w:rPr>
                <w:noProof/>
              </w:rPr>
              <w:t>Étape/cible</w:t>
            </w:r>
          </w:p>
        </w:tc>
        <w:tc>
          <w:tcPr>
            <w:tcW w:w="173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A0EED57" w14:textId="77777777" w:rsidR="00553430" w:rsidRDefault="00212577">
            <w:pPr>
              <w:pStyle w:val="P68B1DB1-Normal58"/>
              <w:spacing w:after="0" w:line="276" w:lineRule="auto"/>
              <w:jc w:val="center"/>
              <w:rPr>
                <w:bCs/>
                <w:noProof/>
              </w:rPr>
            </w:pPr>
            <w:r>
              <w:rPr>
                <w:noProof/>
              </w:rPr>
              <w:t>Nom</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B41121"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qualitatifs</w:t>
            </w:r>
            <w:r>
              <w:rPr>
                <w:rFonts w:ascii="Times New Roman" w:eastAsia="Calibri" w:hAnsi="Times New Roman" w:cs="Times New Roman"/>
                <w:noProof/>
              </w:rPr>
              <w:br/>
            </w:r>
            <w:r>
              <w:rPr>
                <w:rFonts w:ascii="Times New Roman" w:eastAsia="Times New Roman" w:hAnsi="Times New Roman" w:cs="Times New Roman"/>
                <w:b/>
                <w:noProof/>
              </w:rPr>
              <w:t>(pour les jalons)</w:t>
            </w:r>
          </w:p>
        </w:tc>
        <w:tc>
          <w:tcPr>
            <w:tcW w:w="255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C01CF64"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eastAsia="Calibri" w:hAnsi="Times New Roman" w:cs="Times New Roman"/>
                <w:noProof/>
              </w:rPr>
              <w:br/>
            </w:r>
            <w:r>
              <w:rPr>
                <w:rFonts w:ascii="Times New Roman" w:eastAsia="Times New Roman" w:hAnsi="Times New Roman" w:cs="Times New Roman"/>
                <w:b/>
                <w:noProof/>
              </w:rPr>
              <w:t>(pour les objectifs)</w:t>
            </w:r>
          </w:p>
        </w:tc>
        <w:tc>
          <w:tcPr>
            <w:tcW w:w="1749" w:type="dxa"/>
            <w:gridSpan w:val="2"/>
            <w:tcBorders>
              <w:top w:val="single" w:sz="4" w:space="0" w:color="auto"/>
              <w:left w:val="nil"/>
              <w:bottom w:val="single" w:sz="4" w:space="0" w:color="auto"/>
              <w:right w:val="single" w:sz="4" w:space="0" w:color="auto"/>
            </w:tcBorders>
            <w:shd w:val="clear" w:color="auto" w:fill="BDD7EE"/>
            <w:vAlign w:val="center"/>
            <w:hideMark/>
          </w:tcPr>
          <w:p w14:paraId="4C7E1634" w14:textId="77777777" w:rsidR="00553430" w:rsidRDefault="00212577">
            <w:pPr>
              <w:pStyle w:val="P68B1DB1-Normal58"/>
              <w:spacing w:after="0" w:line="276" w:lineRule="auto"/>
              <w:jc w:val="center"/>
              <w:rPr>
                <w:bCs/>
                <w:noProof/>
              </w:rPr>
            </w:pPr>
            <w:r>
              <w:rPr>
                <w:noProof/>
              </w:rPr>
              <w:t>Temps</w:t>
            </w:r>
          </w:p>
        </w:tc>
        <w:tc>
          <w:tcPr>
            <w:tcW w:w="49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26B1CB" w14:textId="77777777" w:rsidR="00553430" w:rsidRDefault="00212577">
            <w:pPr>
              <w:pStyle w:val="P68B1DB1-Normal58"/>
              <w:spacing w:after="0" w:line="276" w:lineRule="auto"/>
              <w:jc w:val="center"/>
              <w:rPr>
                <w:bCs/>
                <w:noProof/>
              </w:rPr>
            </w:pPr>
            <w:r>
              <w:rPr>
                <w:noProof/>
              </w:rPr>
              <w:t>Description de chaque jalon et cible</w:t>
            </w:r>
          </w:p>
        </w:tc>
      </w:tr>
      <w:tr w:rsidR="00553430" w14:paraId="62A2D9F8" w14:textId="77777777">
        <w:trPr>
          <w:tblHeader/>
          <w:jc w:val="center"/>
        </w:trPr>
        <w:tc>
          <w:tcPr>
            <w:tcW w:w="768" w:type="dxa"/>
            <w:vMerge/>
            <w:tcBorders>
              <w:top w:val="single" w:sz="4" w:space="0" w:color="auto"/>
              <w:left w:val="single" w:sz="4" w:space="0" w:color="auto"/>
              <w:bottom w:val="single" w:sz="4" w:space="0" w:color="auto"/>
              <w:right w:val="single" w:sz="4" w:space="0" w:color="auto"/>
            </w:tcBorders>
            <w:hideMark/>
          </w:tcPr>
          <w:p w14:paraId="1C1C84B9"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243" w:type="dxa"/>
            <w:vMerge/>
            <w:tcBorders>
              <w:top w:val="single" w:sz="4" w:space="0" w:color="auto"/>
              <w:left w:val="single" w:sz="4" w:space="0" w:color="auto"/>
              <w:bottom w:val="single" w:sz="4" w:space="0" w:color="auto"/>
              <w:right w:val="single" w:sz="4" w:space="0" w:color="auto"/>
            </w:tcBorders>
            <w:hideMark/>
          </w:tcPr>
          <w:p w14:paraId="0D1C7A03"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104" w:type="dxa"/>
            <w:vMerge/>
            <w:tcBorders>
              <w:top w:val="single" w:sz="4" w:space="0" w:color="auto"/>
              <w:left w:val="single" w:sz="4" w:space="0" w:color="auto"/>
              <w:bottom w:val="single" w:sz="4" w:space="0" w:color="auto"/>
              <w:right w:val="single" w:sz="4" w:space="0" w:color="auto"/>
            </w:tcBorders>
            <w:hideMark/>
          </w:tcPr>
          <w:p w14:paraId="18817F89"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731" w:type="dxa"/>
            <w:vMerge/>
            <w:tcBorders>
              <w:top w:val="single" w:sz="4" w:space="0" w:color="auto"/>
              <w:left w:val="single" w:sz="4" w:space="0" w:color="auto"/>
              <w:bottom w:val="single" w:sz="4" w:space="0" w:color="auto"/>
              <w:right w:val="single" w:sz="4" w:space="0" w:color="auto"/>
            </w:tcBorders>
            <w:hideMark/>
          </w:tcPr>
          <w:p w14:paraId="3B067852" w14:textId="77777777" w:rsidR="00553430" w:rsidRDefault="00553430">
            <w:pPr>
              <w:spacing w:after="0" w:line="276" w:lineRule="auto"/>
              <w:rPr>
                <w:rFonts w:ascii="Times New Roman" w:eastAsia="Times New Roman" w:hAnsi="Times New Roman" w:cs="Times New Roman"/>
                <w:b/>
                <w:noProof/>
                <w:sz w:val="20"/>
                <w:szCs w:val="20"/>
              </w:rPr>
            </w:pPr>
          </w:p>
        </w:tc>
        <w:tc>
          <w:tcPr>
            <w:tcW w:w="1843" w:type="dxa"/>
            <w:vMerge/>
            <w:tcBorders>
              <w:top w:val="single" w:sz="4" w:space="0" w:color="auto"/>
              <w:left w:val="single" w:sz="4" w:space="0" w:color="auto"/>
              <w:bottom w:val="single" w:sz="4" w:space="0" w:color="auto"/>
              <w:right w:val="single" w:sz="4" w:space="0" w:color="auto"/>
            </w:tcBorders>
            <w:hideMark/>
          </w:tcPr>
          <w:p w14:paraId="0242BB8F" w14:textId="77777777" w:rsidR="00553430" w:rsidRDefault="00553430">
            <w:pPr>
              <w:spacing w:after="0" w:line="276" w:lineRule="auto"/>
              <w:rPr>
                <w:rFonts w:ascii="Times New Roman" w:eastAsia="Times New Roman" w:hAnsi="Times New Roman" w:cs="Times New Roman"/>
                <w:b/>
                <w:noProof/>
                <w:sz w:val="20"/>
                <w:szCs w:val="20"/>
              </w:rPr>
            </w:pPr>
          </w:p>
        </w:tc>
        <w:tc>
          <w:tcPr>
            <w:tcW w:w="862" w:type="dxa"/>
            <w:tcBorders>
              <w:top w:val="single" w:sz="4" w:space="0" w:color="auto"/>
              <w:left w:val="single" w:sz="4" w:space="0" w:color="auto"/>
              <w:bottom w:val="single" w:sz="4" w:space="0" w:color="auto"/>
              <w:right w:val="single" w:sz="4" w:space="0" w:color="auto"/>
            </w:tcBorders>
            <w:shd w:val="clear" w:color="auto" w:fill="BDD7EE"/>
            <w:hideMark/>
          </w:tcPr>
          <w:p w14:paraId="5522014A" w14:textId="77777777" w:rsidR="00553430" w:rsidRDefault="00212577">
            <w:pPr>
              <w:pStyle w:val="P68B1DB1-Normal58"/>
              <w:spacing w:after="0" w:line="276" w:lineRule="auto"/>
              <w:jc w:val="center"/>
              <w:rPr>
                <w:bCs/>
                <w:noProof/>
              </w:rPr>
            </w:pPr>
            <w:r>
              <w:rPr>
                <w:noProof/>
              </w:rPr>
              <w:t>Unité</w:t>
            </w:r>
          </w:p>
        </w:tc>
        <w:tc>
          <w:tcPr>
            <w:tcW w:w="839" w:type="dxa"/>
            <w:tcBorders>
              <w:top w:val="single" w:sz="4" w:space="0" w:color="auto"/>
              <w:left w:val="single" w:sz="4" w:space="0" w:color="auto"/>
              <w:bottom w:val="single" w:sz="4" w:space="0" w:color="auto"/>
              <w:right w:val="single" w:sz="4" w:space="0" w:color="auto"/>
            </w:tcBorders>
            <w:shd w:val="clear" w:color="auto" w:fill="BDD7EE"/>
            <w:hideMark/>
          </w:tcPr>
          <w:p w14:paraId="14985166" w14:textId="77777777" w:rsidR="00553430" w:rsidRDefault="00212577">
            <w:pPr>
              <w:pStyle w:val="P68B1DB1-Normal58"/>
              <w:spacing w:after="0" w:line="276" w:lineRule="auto"/>
              <w:jc w:val="center"/>
              <w:rPr>
                <w:bCs/>
                <w:noProof/>
              </w:rPr>
            </w:pPr>
            <w:r>
              <w:rPr>
                <w:noProof/>
              </w:rPr>
              <w:t>Données de référence</w:t>
            </w:r>
          </w:p>
        </w:tc>
        <w:tc>
          <w:tcPr>
            <w:tcW w:w="850" w:type="dxa"/>
            <w:tcBorders>
              <w:top w:val="single" w:sz="4" w:space="0" w:color="auto"/>
              <w:left w:val="single" w:sz="4" w:space="0" w:color="auto"/>
              <w:bottom w:val="single" w:sz="4" w:space="0" w:color="auto"/>
              <w:right w:val="single" w:sz="4" w:space="0" w:color="auto"/>
            </w:tcBorders>
            <w:shd w:val="clear" w:color="auto" w:fill="BDD7EE"/>
            <w:hideMark/>
          </w:tcPr>
          <w:p w14:paraId="3277748C" w14:textId="77777777" w:rsidR="00553430" w:rsidRDefault="00212577">
            <w:pPr>
              <w:pStyle w:val="P68B1DB1-Normal58"/>
              <w:spacing w:after="0" w:line="276" w:lineRule="auto"/>
              <w:jc w:val="center"/>
              <w:rPr>
                <w:bCs/>
                <w:noProof/>
              </w:rPr>
            </w:pPr>
            <w:r>
              <w:rPr>
                <w:noProof/>
              </w:rPr>
              <w:t>Objectif</w:t>
            </w:r>
          </w:p>
        </w:tc>
        <w:tc>
          <w:tcPr>
            <w:tcW w:w="756" w:type="dxa"/>
            <w:tcBorders>
              <w:top w:val="single" w:sz="4" w:space="0" w:color="auto"/>
              <w:left w:val="single" w:sz="4" w:space="0" w:color="auto"/>
              <w:bottom w:val="single" w:sz="4" w:space="0" w:color="auto"/>
              <w:right w:val="single" w:sz="4" w:space="0" w:color="auto"/>
            </w:tcBorders>
            <w:shd w:val="clear" w:color="auto" w:fill="BDD7EE"/>
            <w:hideMark/>
          </w:tcPr>
          <w:p w14:paraId="2BBEE512" w14:textId="77777777" w:rsidR="00553430" w:rsidRDefault="00212577">
            <w:pPr>
              <w:pStyle w:val="P68B1DB1-Normal58"/>
              <w:spacing w:after="0" w:line="276" w:lineRule="auto"/>
              <w:jc w:val="center"/>
              <w:rPr>
                <w:bCs/>
                <w:noProof/>
              </w:rPr>
            </w:pPr>
            <w:r>
              <w:rPr>
                <w:noProof/>
              </w:rPr>
              <w:t>Trimestre</w:t>
            </w:r>
          </w:p>
        </w:tc>
        <w:tc>
          <w:tcPr>
            <w:tcW w:w="993" w:type="dxa"/>
            <w:tcBorders>
              <w:top w:val="single" w:sz="4" w:space="0" w:color="auto"/>
              <w:left w:val="single" w:sz="4" w:space="0" w:color="auto"/>
              <w:bottom w:val="single" w:sz="4" w:space="0" w:color="auto"/>
              <w:right w:val="single" w:sz="4" w:space="0" w:color="auto"/>
            </w:tcBorders>
            <w:shd w:val="clear" w:color="auto" w:fill="BDD7EE"/>
            <w:hideMark/>
          </w:tcPr>
          <w:p w14:paraId="55669E95" w14:textId="77777777" w:rsidR="00553430" w:rsidRDefault="00212577">
            <w:pPr>
              <w:pStyle w:val="P68B1DB1-Normal58"/>
              <w:spacing w:after="0" w:line="276" w:lineRule="auto"/>
              <w:jc w:val="center"/>
              <w:rPr>
                <w:bCs/>
                <w:noProof/>
              </w:rPr>
            </w:pPr>
            <w:r>
              <w:rPr>
                <w:noProof/>
              </w:rPr>
              <w:t>Année</w:t>
            </w:r>
          </w:p>
        </w:tc>
        <w:tc>
          <w:tcPr>
            <w:tcW w:w="4917" w:type="dxa"/>
            <w:vMerge/>
            <w:tcBorders>
              <w:top w:val="single" w:sz="4" w:space="0" w:color="auto"/>
              <w:left w:val="single" w:sz="4" w:space="0" w:color="auto"/>
              <w:bottom w:val="single" w:sz="4" w:space="0" w:color="auto"/>
              <w:right w:val="single" w:sz="4" w:space="0" w:color="auto"/>
            </w:tcBorders>
            <w:hideMark/>
          </w:tcPr>
          <w:p w14:paraId="5CDE9910"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3D7C3AA9"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C90F329" w14:textId="77777777" w:rsidR="00553430" w:rsidRDefault="00212577">
            <w:pPr>
              <w:pStyle w:val="P68B1DB1-Normal89"/>
              <w:spacing w:after="200" w:line="276" w:lineRule="auto"/>
              <w:jc w:val="center"/>
              <w:rPr>
                <w:rFonts w:eastAsia="Calibri"/>
                <w:noProof/>
                <w:color w:val="000000"/>
              </w:rPr>
            </w:pPr>
            <w:r>
              <w:rPr>
                <w:noProof/>
              </w:rPr>
              <w:t>382</w:t>
            </w:r>
          </w:p>
        </w:tc>
        <w:tc>
          <w:tcPr>
            <w:tcW w:w="1243" w:type="dxa"/>
            <w:tcBorders>
              <w:top w:val="single" w:sz="4" w:space="0" w:color="auto"/>
              <w:left w:val="nil"/>
              <w:bottom w:val="single" w:sz="4" w:space="0" w:color="auto"/>
              <w:right w:val="single" w:sz="4" w:space="0" w:color="auto"/>
            </w:tcBorders>
            <w:shd w:val="clear" w:color="auto" w:fill="C6EFCE"/>
            <w:noWrap/>
          </w:tcPr>
          <w:p w14:paraId="7FCD2D3A" w14:textId="77777777" w:rsidR="00553430" w:rsidRDefault="00212577">
            <w:pPr>
              <w:pStyle w:val="P68B1DB1-Normal76"/>
              <w:spacing w:after="200" w:line="276" w:lineRule="auto"/>
              <w:jc w:val="center"/>
              <w:rPr>
                <w:rFonts w:eastAsia="Calibri"/>
                <w:noProof/>
              </w:rPr>
            </w:pPr>
            <w:r>
              <w:rPr>
                <w:noProof/>
              </w:rPr>
              <w:t>C1.3. R3</w:t>
            </w:r>
          </w:p>
        </w:tc>
        <w:tc>
          <w:tcPr>
            <w:tcW w:w="1104" w:type="dxa"/>
            <w:tcBorders>
              <w:top w:val="single" w:sz="4" w:space="0" w:color="auto"/>
              <w:left w:val="nil"/>
              <w:bottom w:val="single" w:sz="4" w:space="0" w:color="auto"/>
              <w:right w:val="single" w:sz="4" w:space="0" w:color="auto"/>
            </w:tcBorders>
            <w:shd w:val="clear" w:color="auto" w:fill="C6EFCE"/>
            <w:noWrap/>
          </w:tcPr>
          <w:p w14:paraId="7D4D1941" w14:textId="77777777" w:rsidR="00553430" w:rsidRDefault="00212577">
            <w:pPr>
              <w:pStyle w:val="P68B1DB1-Normal89"/>
              <w:spacing w:after="200" w:line="276" w:lineRule="auto"/>
              <w:jc w:val="center"/>
              <w:rPr>
                <w:rFonts w:eastAsia="Calibri"/>
                <w:noProof/>
              </w:rPr>
            </w:pPr>
            <w:r>
              <w:rPr>
                <w:noProof/>
              </w:rPr>
              <w:t>M</w:t>
            </w:r>
          </w:p>
        </w:tc>
        <w:tc>
          <w:tcPr>
            <w:tcW w:w="1731" w:type="dxa"/>
            <w:tcBorders>
              <w:top w:val="single" w:sz="4" w:space="0" w:color="auto"/>
              <w:left w:val="nil"/>
              <w:bottom w:val="single" w:sz="4" w:space="0" w:color="auto"/>
              <w:right w:val="single" w:sz="4" w:space="0" w:color="auto"/>
            </w:tcBorders>
            <w:shd w:val="clear" w:color="auto" w:fill="C6EFCE"/>
            <w:noWrap/>
          </w:tcPr>
          <w:p w14:paraId="11CED750" w14:textId="77777777" w:rsidR="00553430" w:rsidRDefault="00212577">
            <w:pPr>
              <w:pStyle w:val="P68B1DB1-Normal89"/>
              <w:spacing w:after="200" w:line="276" w:lineRule="auto"/>
              <w:rPr>
                <w:rFonts w:eastAsia="Calibri"/>
                <w:noProof/>
              </w:rPr>
            </w:pPr>
            <w:r>
              <w:rPr>
                <w:noProof/>
              </w:rPr>
              <w:t>Adoption du Plan d'action national pour la réduction des pertes en eau</w:t>
            </w:r>
          </w:p>
        </w:tc>
        <w:tc>
          <w:tcPr>
            <w:tcW w:w="1843" w:type="dxa"/>
            <w:tcBorders>
              <w:top w:val="single" w:sz="4" w:space="0" w:color="auto"/>
              <w:left w:val="nil"/>
              <w:bottom w:val="single" w:sz="4" w:space="0" w:color="auto"/>
              <w:right w:val="single" w:sz="4" w:space="0" w:color="auto"/>
            </w:tcBorders>
            <w:shd w:val="clear" w:color="auto" w:fill="C6EFCE"/>
            <w:noWrap/>
          </w:tcPr>
          <w:p w14:paraId="4726E5EA" w14:textId="77777777" w:rsidR="00553430" w:rsidRDefault="00212577">
            <w:pPr>
              <w:pStyle w:val="P68B1DB1-Normal89"/>
              <w:spacing w:after="200" w:line="276" w:lineRule="auto"/>
              <w:rPr>
                <w:rFonts w:eastAsia="Calibri"/>
                <w:noProof/>
              </w:rPr>
            </w:pPr>
            <w:r>
              <w:rPr>
                <w:noProof/>
              </w:rPr>
              <w:t>Plan d'action national de réduction des pertes adopté par les eaux croates</w:t>
            </w:r>
          </w:p>
        </w:tc>
        <w:tc>
          <w:tcPr>
            <w:tcW w:w="862" w:type="dxa"/>
            <w:tcBorders>
              <w:top w:val="single" w:sz="4" w:space="0" w:color="auto"/>
              <w:left w:val="nil"/>
              <w:bottom w:val="single" w:sz="4" w:space="0" w:color="auto"/>
              <w:right w:val="single" w:sz="4" w:space="0" w:color="auto"/>
            </w:tcBorders>
            <w:shd w:val="clear" w:color="auto" w:fill="C6EFCE"/>
            <w:noWrap/>
          </w:tcPr>
          <w:p w14:paraId="3A4F1148" w14:textId="77777777" w:rsidR="00553430" w:rsidRDefault="00553430">
            <w:pPr>
              <w:spacing w:after="200" w:line="276" w:lineRule="auto"/>
              <w:jc w:val="center"/>
              <w:rPr>
                <w:rFonts w:ascii="Times New Roman" w:eastAsia="Calibri" w:hAnsi="Times New Roman" w:cs="Times New Roman"/>
                <w:noProof/>
                <w:sz w:val="20"/>
                <w:szCs w:val="20"/>
              </w:rPr>
            </w:pPr>
          </w:p>
        </w:tc>
        <w:tc>
          <w:tcPr>
            <w:tcW w:w="839" w:type="dxa"/>
            <w:tcBorders>
              <w:top w:val="single" w:sz="4" w:space="0" w:color="auto"/>
              <w:left w:val="nil"/>
              <w:bottom w:val="single" w:sz="4" w:space="0" w:color="auto"/>
              <w:right w:val="single" w:sz="4" w:space="0" w:color="auto"/>
            </w:tcBorders>
            <w:shd w:val="clear" w:color="auto" w:fill="C6EFCE"/>
            <w:noWrap/>
          </w:tcPr>
          <w:p w14:paraId="0656D7BE" w14:textId="77777777" w:rsidR="00553430" w:rsidRDefault="00553430">
            <w:pPr>
              <w:spacing w:after="200" w:line="276" w:lineRule="auto"/>
              <w:jc w:val="center"/>
              <w:rPr>
                <w:rFonts w:ascii="Times New Roman" w:eastAsia="Calibri" w:hAnsi="Times New Roman" w:cs="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4C9F4CAB" w14:textId="77777777" w:rsidR="00553430" w:rsidRDefault="00553430">
            <w:pPr>
              <w:spacing w:after="200" w:line="276" w:lineRule="auto"/>
              <w:jc w:val="center"/>
              <w:rPr>
                <w:rFonts w:ascii="Times New Roman" w:eastAsia="Calibri" w:hAnsi="Times New Roman" w:cs="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164D2240" w14:textId="77777777" w:rsidR="00553430" w:rsidRDefault="00212577">
            <w:pPr>
              <w:pStyle w:val="P68B1DB1-Normal89"/>
              <w:spacing w:after="200" w:line="276" w:lineRule="auto"/>
              <w:jc w:val="center"/>
              <w:rPr>
                <w:rFonts w:eastAsia="Calibri"/>
                <w:noProof/>
              </w:rPr>
            </w:pPr>
            <w:r>
              <w:rPr>
                <w:noProof/>
              </w:rPr>
              <w:t>T2</w:t>
            </w:r>
          </w:p>
        </w:tc>
        <w:tc>
          <w:tcPr>
            <w:tcW w:w="993" w:type="dxa"/>
            <w:tcBorders>
              <w:top w:val="single" w:sz="4" w:space="0" w:color="auto"/>
              <w:left w:val="nil"/>
              <w:bottom w:val="single" w:sz="4" w:space="0" w:color="auto"/>
              <w:right w:val="single" w:sz="4" w:space="0" w:color="auto"/>
            </w:tcBorders>
            <w:shd w:val="clear" w:color="auto" w:fill="C6EFCE"/>
            <w:noWrap/>
          </w:tcPr>
          <w:p w14:paraId="2827BAD5" w14:textId="77777777" w:rsidR="00553430" w:rsidRDefault="00212577">
            <w:pPr>
              <w:pStyle w:val="P68B1DB1-Normal89"/>
              <w:spacing w:after="200" w:line="276" w:lineRule="auto"/>
              <w:jc w:val="center"/>
              <w:rPr>
                <w:rFonts w:eastAsia="Calibri"/>
                <w:noProof/>
              </w:rPr>
            </w:pPr>
            <w:r>
              <w:rPr>
                <w:noProof/>
              </w:rPr>
              <w:t>2024</w:t>
            </w:r>
          </w:p>
        </w:tc>
        <w:tc>
          <w:tcPr>
            <w:tcW w:w="4917" w:type="dxa"/>
            <w:tcBorders>
              <w:top w:val="single" w:sz="4" w:space="0" w:color="auto"/>
              <w:left w:val="nil"/>
              <w:bottom w:val="single" w:sz="4" w:space="0" w:color="auto"/>
              <w:right w:val="single" w:sz="4" w:space="0" w:color="auto"/>
            </w:tcBorders>
            <w:shd w:val="clear" w:color="auto" w:fill="C6EFCE"/>
            <w:noWrap/>
          </w:tcPr>
          <w:p w14:paraId="17373F18" w14:textId="77777777" w:rsidR="00553430" w:rsidRDefault="00212577">
            <w:pPr>
              <w:pStyle w:val="P68B1DB1-Normal70"/>
              <w:spacing w:after="200" w:line="276" w:lineRule="auto"/>
              <w:rPr>
                <w:noProof/>
              </w:rPr>
            </w:pPr>
            <w:r>
              <w:rPr>
                <w:noProof/>
              </w:rPr>
              <w:t xml:space="preserve">Les eaux croates adoptent le </w:t>
            </w:r>
            <w:r>
              <w:rPr>
                <w:noProof/>
              </w:rPr>
              <w:t>plan d’action national de réduction des pertes et le publient sur leur page web. Le plan d’action national comprend la liste des activités prévues pour réduire les pertes d’eau, y compris les estimations des investissements et les sources de financement. L</w:t>
            </w:r>
            <w:r>
              <w:rPr>
                <w:noProof/>
              </w:rPr>
              <w:t>e plan couvre la période 2024-2026, dans une perspective 2030, conformément au programme pluriannuel de construction pour le traitement de l’eau et des eaux urbaines résiduaires à l’horizon 2030.</w:t>
            </w:r>
          </w:p>
        </w:tc>
      </w:tr>
      <w:tr w:rsidR="00553430" w14:paraId="20197223"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1E32F0C" w14:textId="77777777" w:rsidR="00553430" w:rsidRDefault="00212577">
            <w:pPr>
              <w:pStyle w:val="P68B1DB1-Normal89"/>
              <w:spacing w:after="0" w:line="240" w:lineRule="auto"/>
              <w:jc w:val="center"/>
              <w:textAlignment w:val="baseline"/>
              <w:rPr>
                <w:rFonts w:eastAsia="Times New Roman"/>
                <w:noProof/>
              </w:rPr>
            </w:pPr>
            <w:r>
              <w:rPr>
                <w:noProof/>
              </w:rPr>
              <w:t>383</w:t>
            </w:r>
          </w:p>
          <w:p w14:paraId="6390CE67"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1243" w:type="dxa"/>
            <w:tcBorders>
              <w:top w:val="single" w:sz="4" w:space="0" w:color="auto"/>
              <w:left w:val="nil"/>
              <w:bottom w:val="single" w:sz="4" w:space="0" w:color="auto"/>
              <w:right w:val="single" w:sz="4" w:space="0" w:color="auto"/>
            </w:tcBorders>
            <w:shd w:val="clear" w:color="auto" w:fill="C6EFCE"/>
            <w:noWrap/>
          </w:tcPr>
          <w:p w14:paraId="454B269A" w14:textId="77777777" w:rsidR="00553430" w:rsidRDefault="00212577">
            <w:pPr>
              <w:pStyle w:val="P68B1DB1-Normal76"/>
              <w:spacing w:after="200" w:line="276" w:lineRule="auto"/>
              <w:jc w:val="center"/>
              <w:rPr>
                <w:rFonts w:eastAsia="Calibri"/>
                <w:noProof/>
                <w:color w:val="000000"/>
              </w:rPr>
            </w:pPr>
            <w:r>
              <w:rPr>
                <w:noProof/>
              </w:rPr>
              <w:t xml:space="preserve">C1.3. R3 </w:t>
            </w:r>
          </w:p>
        </w:tc>
        <w:tc>
          <w:tcPr>
            <w:tcW w:w="1104" w:type="dxa"/>
            <w:tcBorders>
              <w:top w:val="single" w:sz="4" w:space="0" w:color="auto"/>
              <w:left w:val="nil"/>
              <w:bottom w:val="single" w:sz="4" w:space="0" w:color="auto"/>
              <w:right w:val="single" w:sz="4" w:space="0" w:color="auto"/>
            </w:tcBorders>
            <w:shd w:val="clear" w:color="auto" w:fill="C6EFCE"/>
            <w:noWrap/>
          </w:tcPr>
          <w:p w14:paraId="6F14ABF9" w14:textId="77777777" w:rsidR="00553430" w:rsidRDefault="00212577">
            <w:pPr>
              <w:pStyle w:val="P68B1DB1-Normal89"/>
              <w:spacing w:after="200" w:line="276" w:lineRule="auto"/>
              <w:jc w:val="center"/>
              <w:rPr>
                <w:rFonts w:eastAsia="Calibri"/>
                <w:noProof/>
                <w:color w:val="000000"/>
              </w:rPr>
            </w:pPr>
            <w:r>
              <w:rPr>
                <w:noProof/>
              </w:rPr>
              <w:t>M</w:t>
            </w:r>
          </w:p>
        </w:tc>
        <w:tc>
          <w:tcPr>
            <w:tcW w:w="1731" w:type="dxa"/>
            <w:tcBorders>
              <w:top w:val="single" w:sz="4" w:space="0" w:color="auto"/>
              <w:left w:val="nil"/>
              <w:bottom w:val="single" w:sz="4" w:space="0" w:color="auto"/>
              <w:right w:val="single" w:sz="4" w:space="0" w:color="auto"/>
            </w:tcBorders>
            <w:shd w:val="clear" w:color="auto" w:fill="C6EFCE"/>
            <w:noWrap/>
          </w:tcPr>
          <w:p w14:paraId="07165AFC" w14:textId="77777777" w:rsidR="00553430" w:rsidRDefault="00212577">
            <w:pPr>
              <w:pStyle w:val="P68B1DB1-Normal89"/>
              <w:spacing w:after="200" w:line="276" w:lineRule="auto"/>
              <w:rPr>
                <w:rFonts w:eastAsia="Calibri"/>
                <w:noProof/>
                <w:color w:val="000000"/>
              </w:rPr>
            </w:pPr>
            <w:r>
              <w:rPr>
                <w:noProof/>
              </w:rPr>
              <w:t xml:space="preserve">Création de l ' Autorité nationale de </w:t>
            </w:r>
            <w:r>
              <w:rPr>
                <w:noProof/>
              </w:rPr>
              <w:t>surveillance des pertes d ' eau</w:t>
            </w:r>
          </w:p>
        </w:tc>
        <w:tc>
          <w:tcPr>
            <w:tcW w:w="1843" w:type="dxa"/>
            <w:tcBorders>
              <w:top w:val="single" w:sz="4" w:space="0" w:color="auto"/>
              <w:left w:val="nil"/>
              <w:bottom w:val="single" w:sz="4" w:space="0" w:color="auto"/>
              <w:right w:val="single" w:sz="4" w:space="0" w:color="auto"/>
            </w:tcBorders>
            <w:shd w:val="clear" w:color="auto" w:fill="C6EFCE"/>
            <w:noWrap/>
          </w:tcPr>
          <w:p w14:paraId="7FAD1BD5" w14:textId="77777777" w:rsidR="00553430" w:rsidRDefault="00212577">
            <w:pPr>
              <w:pStyle w:val="P68B1DB1-Normal89"/>
              <w:spacing w:after="200" w:line="276" w:lineRule="auto"/>
              <w:rPr>
                <w:rFonts w:eastAsia="Calibri"/>
                <w:noProof/>
                <w:color w:val="000000"/>
              </w:rPr>
            </w:pPr>
            <w:r>
              <w:rPr>
                <w:noProof/>
              </w:rPr>
              <w:t>Création de l ' Autorité nationale de surveillance des pertes d ' eau</w:t>
            </w:r>
          </w:p>
        </w:tc>
        <w:tc>
          <w:tcPr>
            <w:tcW w:w="862" w:type="dxa"/>
            <w:tcBorders>
              <w:top w:val="single" w:sz="4" w:space="0" w:color="auto"/>
              <w:left w:val="nil"/>
              <w:bottom w:val="single" w:sz="4" w:space="0" w:color="auto"/>
              <w:right w:val="single" w:sz="4" w:space="0" w:color="auto"/>
            </w:tcBorders>
            <w:shd w:val="clear" w:color="auto" w:fill="C6EFCE"/>
            <w:noWrap/>
          </w:tcPr>
          <w:p w14:paraId="2F11B39D" w14:textId="77777777" w:rsidR="00553430" w:rsidRDefault="00553430">
            <w:pPr>
              <w:spacing w:after="200" w:line="276" w:lineRule="auto"/>
              <w:jc w:val="center"/>
              <w:rPr>
                <w:rFonts w:ascii="Times New Roman" w:eastAsia="Calibri" w:hAnsi="Times New Roman" w:cs="Times New Roman"/>
                <w:noProof/>
                <w:sz w:val="20"/>
                <w:szCs w:val="20"/>
              </w:rPr>
            </w:pPr>
          </w:p>
        </w:tc>
        <w:tc>
          <w:tcPr>
            <w:tcW w:w="839" w:type="dxa"/>
            <w:tcBorders>
              <w:top w:val="single" w:sz="4" w:space="0" w:color="auto"/>
              <w:left w:val="nil"/>
              <w:bottom w:val="single" w:sz="4" w:space="0" w:color="auto"/>
              <w:right w:val="single" w:sz="4" w:space="0" w:color="auto"/>
            </w:tcBorders>
            <w:shd w:val="clear" w:color="auto" w:fill="C6EFCE"/>
            <w:noWrap/>
          </w:tcPr>
          <w:p w14:paraId="552463FA" w14:textId="77777777" w:rsidR="00553430" w:rsidRDefault="00553430">
            <w:pPr>
              <w:spacing w:after="200" w:line="276" w:lineRule="auto"/>
              <w:jc w:val="center"/>
              <w:rPr>
                <w:rFonts w:ascii="Times New Roman" w:eastAsia="Calibri" w:hAnsi="Times New Roman" w:cs="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701C54C5" w14:textId="77777777" w:rsidR="00553430" w:rsidRDefault="00553430">
            <w:pPr>
              <w:spacing w:after="200" w:line="276" w:lineRule="auto"/>
              <w:jc w:val="center"/>
              <w:rPr>
                <w:rFonts w:ascii="Times New Roman" w:eastAsia="Calibri" w:hAnsi="Times New Roman" w:cs="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09ECF970" w14:textId="77777777" w:rsidR="00553430" w:rsidRDefault="00212577">
            <w:pPr>
              <w:pStyle w:val="P68B1DB1-Normal89"/>
              <w:spacing w:after="200" w:line="276" w:lineRule="auto"/>
              <w:jc w:val="center"/>
              <w:rPr>
                <w:rFonts w:eastAsia="Calibri"/>
                <w:noProof/>
                <w:color w:val="000000"/>
              </w:rPr>
            </w:pPr>
            <w:r>
              <w:rPr>
                <w:noProof/>
              </w:rPr>
              <w:t>T4</w:t>
            </w:r>
          </w:p>
        </w:tc>
        <w:tc>
          <w:tcPr>
            <w:tcW w:w="993" w:type="dxa"/>
            <w:tcBorders>
              <w:top w:val="single" w:sz="4" w:space="0" w:color="auto"/>
              <w:left w:val="nil"/>
              <w:bottom w:val="single" w:sz="4" w:space="0" w:color="auto"/>
              <w:right w:val="single" w:sz="4" w:space="0" w:color="auto"/>
            </w:tcBorders>
            <w:shd w:val="clear" w:color="auto" w:fill="C6EFCE"/>
            <w:noWrap/>
          </w:tcPr>
          <w:p w14:paraId="6329F881" w14:textId="77777777" w:rsidR="00553430" w:rsidRDefault="00212577">
            <w:pPr>
              <w:pStyle w:val="P68B1DB1-Normal89"/>
              <w:spacing w:after="200" w:line="276" w:lineRule="auto"/>
              <w:jc w:val="center"/>
              <w:rPr>
                <w:rFonts w:eastAsia="Calibri"/>
                <w:noProof/>
                <w:color w:val="000000"/>
              </w:rPr>
            </w:pPr>
            <w:r>
              <w:rPr>
                <w:noProof/>
              </w:rPr>
              <w:t>2024</w:t>
            </w:r>
          </w:p>
        </w:tc>
        <w:tc>
          <w:tcPr>
            <w:tcW w:w="4917" w:type="dxa"/>
            <w:tcBorders>
              <w:top w:val="single" w:sz="4" w:space="0" w:color="auto"/>
              <w:left w:val="nil"/>
              <w:bottom w:val="single" w:sz="4" w:space="0" w:color="auto"/>
              <w:right w:val="single" w:sz="4" w:space="0" w:color="auto"/>
            </w:tcBorders>
            <w:shd w:val="clear" w:color="auto" w:fill="C6EFCE"/>
            <w:noWrap/>
          </w:tcPr>
          <w:p w14:paraId="5C2F5D41" w14:textId="77777777" w:rsidR="00553430" w:rsidRDefault="00212577">
            <w:pPr>
              <w:pStyle w:val="P68B1DB1-Normal70"/>
              <w:spacing w:after="200" w:line="276" w:lineRule="auto"/>
              <w:rPr>
                <w:noProof/>
                <w:color w:val="000000"/>
              </w:rPr>
            </w:pPr>
            <w:r>
              <w:rPr>
                <w:noProof/>
              </w:rPr>
              <w:t>L’autorité nationale de surveillance des pertes d’eau est créée et a le pouvoir de superviser la mise en œuvre des mesures prescrites par le pl</w:t>
            </w:r>
            <w:r>
              <w:rPr>
                <w:noProof/>
              </w:rPr>
              <w:t>an d’action national de réduction des pertes et de vérifier les plans d’action des exploitants du secteur de l’eau en matière de réduction des pertes d’eau.</w:t>
            </w:r>
          </w:p>
        </w:tc>
      </w:tr>
      <w:tr w:rsidR="00553430" w14:paraId="0FC07E95"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B3C754C" w14:textId="77777777" w:rsidR="00553430" w:rsidRDefault="00212577">
            <w:pPr>
              <w:pStyle w:val="P68B1DB1-Normal89"/>
              <w:spacing w:after="200" w:line="276" w:lineRule="auto"/>
              <w:jc w:val="center"/>
              <w:rPr>
                <w:rFonts w:eastAsia="Calibri"/>
                <w:noProof/>
              </w:rPr>
            </w:pPr>
            <w:r>
              <w:rPr>
                <w:noProof/>
              </w:rPr>
              <w:t>384</w:t>
            </w:r>
          </w:p>
        </w:tc>
        <w:tc>
          <w:tcPr>
            <w:tcW w:w="1243" w:type="dxa"/>
            <w:tcBorders>
              <w:top w:val="single" w:sz="4" w:space="0" w:color="auto"/>
              <w:left w:val="nil"/>
              <w:bottom w:val="single" w:sz="4" w:space="0" w:color="auto"/>
              <w:right w:val="single" w:sz="4" w:space="0" w:color="auto"/>
            </w:tcBorders>
            <w:shd w:val="clear" w:color="auto" w:fill="C6EFCE"/>
            <w:noWrap/>
          </w:tcPr>
          <w:p w14:paraId="296C8A26" w14:textId="77777777" w:rsidR="00553430" w:rsidRDefault="00212577">
            <w:pPr>
              <w:pStyle w:val="P68B1DB1-Normal76"/>
              <w:spacing w:after="200" w:line="276" w:lineRule="auto"/>
              <w:jc w:val="center"/>
              <w:rPr>
                <w:rFonts w:eastAsia="Calibri"/>
                <w:noProof/>
              </w:rPr>
            </w:pPr>
            <w:r>
              <w:rPr>
                <w:noProof/>
              </w:rPr>
              <w:t xml:space="preserve"> C1.3. R3 </w:t>
            </w:r>
          </w:p>
        </w:tc>
        <w:tc>
          <w:tcPr>
            <w:tcW w:w="1104" w:type="dxa"/>
            <w:tcBorders>
              <w:top w:val="single" w:sz="4" w:space="0" w:color="auto"/>
              <w:left w:val="nil"/>
              <w:bottom w:val="single" w:sz="4" w:space="0" w:color="auto"/>
              <w:right w:val="single" w:sz="4" w:space="0" w:color="auto"/>
            </w:tcBorders>
            <w:shd w:val="clear" w:color="auto" w:fill="C6EFCE"/>
            <w:noWrap/>
          </w:tcPr>
          <w:p w14:paraId="43FCADB8" w14:textId="77777777" w:rsidR="00553430" w:rsidRDefault="00212577">
            <w:pPr>
              <w:pStyle w:val="P68B1DB1-Normal89"/>
              <w:spacing w:after="200" w:line="276" w:lineRule="auto"/>
              <w:jc w:val="center"/>
              <w:rPr>
                <w:rFonts w:eastAsia="Calibri"/>
                <w:noProof/>
              </w:rPr>
            </w:pPr>
            <w:r>
              <w:rPr>
                <w:noProof/>
              </w:rPr>
              <w:t>T</w:t>
            </w:r>
          </w:p>
        </w:tc>
        <w:tc>
          <w:tcPr>
            <w:tcW w:w="1731" w:type="dxa"/>
            <w:tcBorders>
              <w:top w:val="single" w:sz="4" w:space="0" w:color="auto"/>
              <w:left w:val="nil"/>
              <w:bottom w:val="single" w:sz="4" w:space="0" w:color="auto"/>
              <w:right w:val="single" w:sz="4" w:space="0" w:color="auto"/>
            </w:tcBorders>
            <w:shd w:val="clear" w:color="auto" w:fill="C6EFCE"/>
            <w:noWrap/>
          </w:tcPr>
          <w:p w14:paraId="4FA1447C" w14:textId="77777777" w:rsidR="00553430" w:rsidRDefault="00212577">
            <w:pPr>
              <w:pStyle w:val="P68B1DB1-Normal89"/>
              <w:spacing w:after="200" w:line="276" w:lineRule="auto"/>
              <w:rPr>
                <w:rFonts w:eastAsia="Calibri"/>
                <w:noProof/>
              </w:rPr>
            </w:pPr>
            <w:r>
              <w:rPr>
                <w:noProof/>
              </w:rPr>
              <w:t>Adoption de plans d'action pour la réduction des pertes d'eau par les exploitants</w:t>
            </w:r>
            <w:r>
              <w:rPr>
                <w:noProof/>
              </w:rPr>
              <w:t xml:space="preserve"> du secteur de l'eau</w:t>
            </w:r>
          </w:p>
        </w:tc>
        <w:tc>
          <w:tcPr>
            <w:tcW w:w="1843" w:type="dxa"/>
            <w:tcBorders>
              <w:top w:val="single" w:sz="4" w:space="0" w:color="auto"/>
              <w:left w:val="nil"/>
              <w:bottom w:val="single" w:sz="4" w:space="0" w:color="auto"/>
              <w:right w:val="single" w:sz="4" w:space="0" w:color="auto"/>
            </w:tcBorders>
            <w:shd w:val="clear" w:color="auto" w:fill="C6EFCE"/>
            <w:noWrap/>
          </w:tcPr>
          <w:p w14:paraId="78CD1E50" w14:textId="77777777" w:rsidR="00553430" w:rsidRDefault="00553430">
            <w:pPr>
              <w:spacing w:after="200" w:line="276" w:lineRule="auto"/>
              <w:rPr>
                <w:rFonts w:ascii="Times New Roman" w:eastAsia="Calibri" w:hAnsi="Times New Roman" w:cs="Times New Roman"/>
                <w:noProof/>
                <w:sz w:val="20"/>
                <w:szCs w:val="20"/>
              </w:rPr>
            </w:pPr>
          </w:p>
        </w:tc>
        <w:tc>
          <w:tcPr>
            <w:tcW w:w="862" w:type="dxa"/>
            <w:tcBorders>
              <w:top w:val="single" w:sz="4" w:space="0" w:color="auto"/>
              <w:left w:val="nil"/>
              <w:bottom w:val="single" w:sz="4" w:space="0" w:color="auto"/>
              <w:right w:val="single" w:sz="4" w:space="0" w:color="auto"/>
            </w:tcBorders>
            <w:shd w:val="clear" w:color="auto" w:fill="C6EFCE"/>
            <w:noWrap/>
          </w:tcPr>
          <w:p w14:paraId="7010D806" w14:textId="77777777" w:rsidR="00553430" w:rsidRDefault="00212577">
            <w:pPr>
              <w:pStyle w:val="P68B1DB1-Normal89"/>
              <w:spacing w:after="200" w:line="276" w:lineRule="auto"/>
              <w:jc w:val="center"/>
              <w:rPr>
                <w:rFonts w:eastAsia="Calibri"/>
                <w:noProof/>
              </w:rPr>
            </w:pPr>
            <w:r>
              <w:rPr>
                <w:noProof/>
              </w:rPr>
              <w:t>Numéro</w:t>
            </w:r>
          </w:p>
        </w:tc>
        <w:tc>
          <w:tcPr>
            <w:tcW w:w="839" w:type="dxa"/>
            <w:tcBorders>
              <w:top w:val="single" w:sz="4" w:space="0" w:color="auto"/>
              <w:left w:val="nil"/>
              <w:bottom w:val="single" w:sz="4" w:space="0" w:color="auto"/>
              <w:right w:val="single" w:sz="4" w:space="0" w:color="auto"/>
            </w:tcBorders>
            <w:shd w:val="clear" w:color="auto" w:fill="C6EFCE"/>
            <w:noWrap/>
          </w:tcPr>
          <w:p w14:paraId="513C4CD9" w14:textId="77777777" w:rsidR="00553430" w:rsidRDefault="00212577">
            <w:pPr>
              <w:pStyle w:val="P68B1DB1-Normal89"/>
              <w:spacing w:after="200" w:line="276" w:lineRule="auto"/>
              <w:jc w:val="center"/>
              <w:rPr>
                <w:rFonts w:eastAsia="Calibri"/>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115D059D" w14:textId="77777777" w:rsidR="00553430" w:rsidRDefault="00212577">
            <w:pPr>
              <w:pStyle w:val="P68B1DB1-Normal89"/>
              <w:spacing w:after="200" w:line="276" w:lineRule="auto"/>
              <w:jc w:val="center"/>
              <w:rPr>
                <w:rFonts w:eastAsia="Calibri"/>
                <w:noProof/>
              </w:rPr>
            </w:pPr>
            <w:r>
              <w:rPr>
                <w:noProof/>
              </w:rPr>
              <w:t>40</w:t>
            </w:r>
          </w:p>
        </w:tc>
        <w:tc>
          <w:tcPr>
            <w:tcW w:w="756" w:type="dxa"/>
            <w:tcBorders>
              <w:top w:val="single" w:sz="4" w:space="0" w:color="auto"/>
              <w:left w:val="nil"/>
              <w:bottom w:val="single" w:sz="4" w:space="0" w:color="auto"/>
              <w:right w:val="single" w:sz="4" w:space="0" w:color="auto"/>
            </w:tcBorders>
            <w:shd w:val="clear" w:color="auto" w:fill="C6EFCE"/>
            <w:noWrap/>
          </w:tcPr>
          <w:p w14:paraId="38AD1747" w14:textId="77777777" w:rsidR="00553430" w:rsidRDefault="00212577">
            <w:pPr>
              <w:pStyle w:val="P68B1DB1-Normal89"/>
              <w:spacing w:line="240" w:lineRule="auto"/>
              <w:jc w:val="center"/>
              <w:rPr>
                <w:rFonts w:eastAsia="Calibri"/>
                <w:noProof/>
              </w:rPr>
            </w:pPr>
            <w:r>
              <w:rPr>
                <w:noProof/>
              </w:rPr>
              <w:t>T4</w:t>
            </w:r>
          </w:p>
        </w:tc>
        <w:tc>
          <w:tcPr>
            <w:tcW w:w="993" w:type="dxa"/>
            <w:tcBorders>
              <w:top w:val="single" w:sz="4" w:space="0" w:color="auto"/>
              <w:left w:val="nil"/>
              <w:bottom w:val="single" w:sz="4" w:space="0" w:color="auto"/>
              <w:right w:val="single" w:sz="4" w:space="0" w:color="auto"/>
            </w:tcBorders>
            <w:shd w:val="clear" w:color="auto" w:fill="C6EFCE"/>
            <w:noWrap/>
          </w:tcPr>
          <w:p w14:paraId="6362BDF5" w14:textId="77777777" w:rsidR="00553430" w:rsidRDefault="00212577">
            <w:pPr>
              <w:pStyle w:val="P68B1DB1-Normal89"/>
              <w:spacing w:line="240" w:lineRule="auto"/>
              <w:jc w:val="center"/>
              <w:rPr>
                <w:rFonts w:eastAsia="Calibri"/>
                <w:noProof/>
              </w:rPr>
            </w:pPr>
            <w:r>
              <w:rPr>
                <w:noProof/>
              </w:rPr>
              <w:t>2025</w:t>
            </w:r>
          </w:p>
        </w:tc>
        <w:tc>
          <w:tcPr>
            <w:tcW w:w="4917" w:type="dxa"/>
            <w:tcBorders>
              <w:top w:val="single" w:sz="4" w:space="0" w:color="auto"/>
              <w:left w:val="nil"/>
              <w:bottom w:val="single" w:sz="4" w:space="0" w:color="auto"/>
              <w:right w:val="single" w:sz="4" w:space="0" w:color="auto"/>
            </w:tcBorders>
            <w:shd w:val="clear" w:color="auto" w:fill="C6EFCE"/>
            <w:noWrap/>
          </w:tcPr>
          <w:p w14:paraId="5E1E3E90" w14:textId="77777777" w:rsidR="00553430" w:rsidRDefault="00212577">
            <w:pPr>
              <w:pStyle w:val="P68B1DB1-Normal89"/>
              <w:spacing w:after="0" w:line="240" w:lineRule="auto"/>
              <w:textAlignment w:val="baseline"/>
              <w:rPr>
                <w:noProof/>
              </w:rPr>
            </w:pPr>
            <w:r>
              <w:rPr>
                <w:noProof/>
              </w:rPr>
              <w:t xml:space="preserve">Au moins 40 plans d’action individuels de réduction des pertes d’eau des exploitants du secteur de l’eau sont adoptés. </w:t>
            </w:r>
          </w:p>
          <w:p w14:paraId="4952FCFE" w14:textId="77777777" w:rsidR="00553430" w:rsidRDefault="00212577">
            <w:pPr>
              <w:pStyle w:val="P68B1DB1-Normal89"/>
              <w:spacing w:after="200" w:line="276" w:lineRule="auto"/>
              <w:rPr>
                <w:rFonts w:eastAsia="Calibri"/>
                <w:noProof/>
              </w:rPr>
            </w:pPr>
            <w:r>
              <w:rPr>
                <w:noProof/>
              </w:rPr>
              <w:t>Chaque plan doit inclure des plans organisationnels et des plans d'éducation des employés, des</w:t>
            </w:r>
            <w:r>
              <w:rPr>
                <w:noProof/>
              </w:rPr>
              <w:t xml:space="preserve"> mesures d'amélioration des données du système, des mesures d'optimisation du système d'approvisionnement en eau, des mesures actives de contrôle des fuites, des mesures pour faire face aux pertes apparentes, des mesures de planification et de remplacement</w:t>
            </w:r>
            <w:r>
              <w:rPr>
                <w:noProof/>
              </w:rPr>
              <w:t xml:space="preserve"> du réseau. </w:t>
            </w:r>
          </w:p>
        </w:tc>
      </w:tr>
      <w:tr w:rsidR="00553430" w14:paraId="6A962E84"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6C4D997" w14:textId="47DB6867" w:rsidR="00553430" w:rsidRDefault="00212577">
            <w:pPr>
              <w:pStyle w:val="P68B1DB1-Normal89"/>
              <w:spacing w:after="200" w:line="276" w:lineRule="auto"/>
              <w:jc w:val="center"/>
              <w:rPr>
                <w:noProof/>
              </w:rPr>
            </w:pPr>
            <w:r>
              <w:rPr>
                <w:noProof/>
              </w:rPr>
              <w:t xml:space="preserve">385 </w:t>
            </w:r>
          </w:p>
        </w:tc>
        <w:tc>
          <w:tcPr>
            <w:tcW w:w="1243" w:type="dxa"/>
            <w:tcBorders>
              <w:top w:val="single" w:sz="4" w:space="0" w:color="auto"/>
              <w:left w:val="nil"/>
              <w:bottom w:val="single" w:sz="4" w:space="0" w:color="auto"/>
              <w:right w:val="single" w:sz="4" w:space="0" w:color="auto"/>
            </w:tcBorders>
            <w:shd w:val="clear" w:color="auto" w:fill="C6EFCE"/>
            <w:noWrap/>
          </w:tcPr>
          <w:p w14:paraId="28DC704A" w14:textId="77777777" w:rsidR="00553430" w:rsidRDefault="00212577">
            <w:pPr>
              <w:pStyle w:val="P68B1DB1-Normal89"/>
              <w:spacing w:after="200" w:line="276" w:lineRule="auto"/>
              <w:jc w:val="center"/>
              <w:rPr>
                <w:rFonts w:eastAsia="Times New Roman"/>
                <w:noProof/>
              </w:rPr>
            </w:pPr>
            <w:r>
              <w:rPr>
                <w:noProof/>
              </w:rPr>
              <w:t>C1.3. R3</w:t>
            </w:r>
          </w:p>
        </w:tc>
        <w:tc>
          <w:tcPr>
            <w:tcW w:w="1104" w:type="dxa"/>
            <w:tcBorders>
              <w:top w:val="single" w:sz="4" w:space="0" w:color="auto"/>
              <w:left w:val="nil"/>
              <w:bottom w:val="single" w:sz="4" w:space="0" w:color="auto"/>
              <w:right w:val="single" w:sz="4" w:space="0" w:color="auto"/>
            </w:tcBorders>
            <w:shd w:val="clear" w:color="auto" w:fill="C6EFCE"/>
            <w:noWrap/>
          </w:tcPr>
          <w:p w14:paraId="2BCC9915" w14:textId="77777777" w:rsidR="00553430" w:rsidRDefault="00212577">
            <w:pPr>
              <w:pStyle w:val="P68B1DB1-Normal89"/>
              <w:spacing w:after="200" w:line="276" w:lineRule="auto"/>
              <w:jc w:val="center"/>
              <w:rPr>
                <w:noProof/>
              </w:rPr>
            </w:pPr>
            <w:r>
              <w:rPr>
                <w:noProof/>
              </w:rPr>
              <w:t>M</w:t>
            </w:r>
          </w:p>
        </w:tc>
        <w:tc>
          <w:tcPr>
            <w:tcW w:w="1731" w:type="dxa"/>
            <w:tcBorders>
              <w:top w:val="single" w:sz="4" w:space="0" w:color="auto"/>
              <w:left w:val="nil"/>
              <w:bottom w:val="single" w:sz="4" w:space="0" w:color="auto"/>
              <w:right w:val="single" w:sz="4" w:space="0" w:color="auto"/>
            </w:tcBorders>
            <w:shd w:val="clear" w:color="auto" w:fill="C6EFCE"/>
            <w:noWrap/>
          </w:tcPr>
          <w:p w14:paraId="63197811" w14:textId="55F673E0" w:rsidR="00553430" w:rsidRDefault="00212577">
            <w:pPr>
              <w:pStyle w:val="P68B1DB1-Normal76"/>
              <w:spacing w:after="200" w:line="276" w:lineRule="auto"/>
              <w:rPr>
                <w:noProof/>
              </w:rPr>
            </w:pPr>
            <w:r>
              <w:rPr>
                <w:noProof/>
              </w:rPr>
              <w:t>Entrée en vigueur du règlement relatif au Conseil des services de l'eau</w:t>
            </w:r>
          </w:p>
        </w:tc>
        <w:tc>
          <w:tcPr>
            <w:tcW w:w="1843" w:type="dxa"/>
            <w:tcBorders>
              <w:top w:val="single" w:sz="4" w:space="0" w:color="auto"/>
              <w:left w:val="nil"/>
              <w:bottom w:val="single" w:sz="4" w:space="0" w:color="auto"/>
              <w:right w:val="single" w:sz="4" w:space="0" w:color="auto"/>
            </w:tcBorders>
            <w:shd w:val="clear" w:color="auto" w:fill="C6EFCE"/>
            <w:noWrap/>
          </w:tcPr>
          <w:p w14:paraId="63202247" w14:textId="1E326E88" w:rsidR="00553430" w:rsidRDefault="00212577">
            <w:pPr>
              <w:pStyle w:val="P68B1DB1-Normal89"/>
              <w:spacing w:after="200" w:line="276" w:lineRule="auto"/>
              <w:rPr>
                <w:rFonts w:eastAsia="Calibri"/>
                <w:noProof/>
              </w:rPr>
            </w:pPr>
            <w:r>
              <w:rPr>
                <w:noProof/>
              </w:rPr>
              <w:t xml:space="preserve">Disposition du règlement sur le Conseil des services de l'eau indiquant son entrée en vigueur </w:t>
            </w:r>
          </w:p>
        </w:tc>
        <w:tc>
          <w:tcPr>
            <w:tcW w:w="862" w:type="dxa"/>
            <w:tcBorders>
              <w:top w:val="single" w:sz="4" w:space="0" w:color="auto"/>
              <w:left w:val="nil"/>
              <w:bottom w:val="single" w:sz="4" w:space="0" w:color="auto"/>
              <w:right w:val="single" w:sz="4" w:space="0" w:color="auto"/>
            </w:tcBorders>
            <w:shd w:val="clear" w:color="auto" w:fill="C6EFCE"/>
            <w:noWrap/>
          </w:tcPr>
          <w:p w14:paraId="62CFF288" w14:textId="77777777" w:rsidR="00553430" w:rsidRDefault="00553430">
            <w:pPr>
              <w:spacing w:after="200" w:line="276" w:lineRule="auto"/>
              <w:jc w:val="center"/>
              <w:rPr>
                <w:rFonts w:ascii="Times New Roman" w:hAnsi="Times New Roman" w:cs="Times New Roman"/>
                <w:noProof/>
                <w:sz w:val="20"/>
                <w:szCs w:val="20"/>
              </w:rPr>
            </w:pPr>
          </w:p>
        </w:tc>
        <w:tc>
          <w:tcPr>
            <w:tcW w:w="839" w:type="dxa"/>
            <w:tcBorders>
              <w:top w:val="single" w:sz="4" w:space="0" w:color="auto"/>
              <w:left w:val="nil"/>
              <w:bottom w:val="single" w:sz="4" w:space="0" w:color="auto"/>
              <w:right w:val="single" w:sz="4" w:space="0" w:color="auto"/>
            </w:tcBorders>
            <w:shd w:val="clear" w:color="auto" w:fill="C6EFCE"/>
            <w:noWrap/>
          </w:tcPr>
          <w:p w14:paraId="5E982518" w14:textId="77777777" w:rsidR="00553430" w:rsidRDefault="00553430">
            <w:pPr>
              <w:spacing w:after="200" w:line="276" w:lineRule="auto"/>
              <w:jc w:val="center"/>
              <w:rPr>
                <w:rFonts w:ascii="Times New Roman" w:hAnsi="Times New Roman" w:cs="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0DD3F3D2" w14:textId="77777777" w:rsidR="00553430" w:rsidRDefault="00553430">
            <w:pPr>
              <w:spacing w:after="200" w:line="276" w:lineRule="auto"/>
              <w:jc w:val="center"/>
              <w:rPr>
                <w:rFonts w:ascii="Times New Roman" w:hAnsi="Times New Roman" w:cs="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173D7A8F" w14:textId="77777777" w:rsidR="00553430" w:rsidRDefault="00212577">
            <w:pPr>
              <w:pStyle w:val="P68B1DB1-Normal89"/>
              <w:spacing w:line="240" w:lineRule="auto"/>
              <w:jc w:val="center"/>
              <w:rPr>
                <w:noProof/>
              </w:rPr>
            </w:pPr>
            <w:r>
              <w:rPr>
                <w:noProof/>
              </w:rPr>
              <w:t>T1</w:t>
            </w:r>
          </w:p>
        </w:tc>
        <w:tc>
          <w:tcPr>
            <w:tcW w:w="993" w:type="dxa"/>
            <w:tcBorders>
              <w:top w:val="single" w:sz="4" w:space="0" w:color="auto"/>
              <w:left w:val="nil"/>
              <w:bottom w:val="single" w:sz="4" w:space="0" w:color="auto"/>
              <w:right w:val="single" w:sz="4" w:space="0" w:color="auto"/>
            </w:tcBorders>
            <w:shd w:val="clear" w:color="auto" w:fill="C6EFCE"/>
            <w:noWrap/>
          </w:tcPr>
          <w:p w14:paraId="2C938D6D" w14:textId="77777777" w:rsidR="00553430" w:rsidRDefault="00212577">
            <w:pPr>
              <w:pStyle w:val="P68B1DB1-Normal76"/>
              <w:spacing w:line="240" w:lineRule="auto"/>
              <w:jc w:val="center"/>
              <w:rPr>
                <w:noProof/>
              </w:rPr>
            </w:pPr>
            <w:r>
              <w:rPr>
                <w:noProof/>
              </w:rPr>
              <w:t>2024</w:t>
            </w:r>
          </w:p>
        </w:tc>
        <w:tc>
          <w:tcPr>
            <w:tcW w:w="4917" w:type="dxa"/>
            <w:tcBorders>
              <w:top w:val="single" w:sz="4" w:space="0" w:color="auto"/>
              <w:left w:val="nil"/>
              <w:bottom w:val="single" w:sz="4" w:space="0" w:color="auto"/>
              <w:right w:val="single" w:sz="4" w:space="0" w:color="auto"/>
            </w:tcBorders>
            <w:shd w:val="clear" w:color="auto" w:fill="C6EFCE"/>
            <w:noWrap/>
          </w:tcPr>
          <w:p w14:paraId="33A56165" w14:textId="77777777" w:rsidR="00553430" w:rsidRDefault="00212577">
            <w:pPr>
              <w:pStyle w:val="P68B1DB1-Normal76"/>
              <w:spacing w:after="0" w:line="240" w:lineRule="auto"/>
              <w:textAlignment w:val="baseline"/>
              <w:rPr>
                <w:noProof/>
              </w:rPr>
            </w:pPr>
            <w:r>
              <w:rPr>
                <w:noProof/>
              </w:rPr>
              <w:t xml:space="preserve">Le règlement relatif au Conseil des services de l'eau entre en vigueur. Elle prévoit la publication obligatoire des décisions du Conseil des services de l’eau, la publication obligatoire des interprétations compétentes de la loi sur les services de l’eau, </w:t>
            </w:r>
            <w:r>
              <w:rPr>
                <w:noProof/>
              </w:rPr>
              <w:t>de la loi sur le financement de la gestion de l’eau et des règlements de l’autorité de régulation, ainsi que la formation professionnelle obligatoire du personnel.</w:t>
            </w:r>
          </w:p>
        </w:tc>
      </w:tr>
      <w:tr w:rsidR="00553430" w14:paraId="1933E1B7"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E835B17" w14:textId="2617A476" w:rsidR="00553430" w:rsidRDefault="00212577">
            <w:pPr>
              <w:pStyle w:val="P68B1DB1-Normal89"/>
              <w:spacing w:after="200" w:line="276" w:lineRule="auto"/>
              <w:jc w:val="center"/>
              <w:rPr>
                <w:noProof/>
              </w:rPr>
            </w:pPr>
            <w:r>
              <w:rPr>
                <w:noProof/>
              </w:rPr>
              <w:t xml:space="preserve">386 </w:t>
            </w:r>
          </w:p>
        </w:tc>
        <w:tc>
          <w:tcPr>
            <w:tcW w:w="1243" w:type="dxa"/>
            <w:tcBorders>
              <w:top w:val="single" w:sz="4" w:space="0" w:color="auto"/>
              <w:left w:val="nil"/>
              <w:bottom w:val="single" w:sz="4" w:space="0" w:color="auto"/>
              <w:right w:val="single" w:sz="4" w:space="0" w:color="auto"/>
            </w:tcBorders>
            <w:shd w:val="clear" w:color="auto" w:fill="C6EFCE"/>
            <w:noWrap/>
          </w:tcPr>
          <w:p w14:paraId="304A52BB" w14:textId="77777777" w:rsidR="00553430" w:rsidRDefault="00212577">
            <w:pPr>
              <w:pStyle w:val="P68B1DB1-Normal89"/>
              <w:spacing w:after="200" w:line="276" w:lineRule="auto"/>
              <w:jc w:val="center"/>
              <w:rPr>
                <w:noProof/>
              </w:rPr>
            </w:pPr>
            <w:r>
              <w:rPr>
                <w:noProof/>
              </w:rPr>
              <w:t>C1.3. R3</w:t>
            </w:r>
          </w:p>
        </w:tc>
        <w:tc>
          <w:tcPr>
            <w:tcW w:w="1104" w:type="dxa"/>
            <w:tcBorders>
              <w:top w:val="single" w:sz="4" w:space="0" w:color="auto"/>
              <w:left w:val="nil"/>
              <w:bottom w:val="single" w:sz="4" w:space="0" w:color="auto"/>
              <w:right w:val="single" w:sz="4" w:space="0" w:color="auto"/>
            </w:tcBorders>
            <w:shd w:val="clear" w:color="auto" w:fill="C6EFCE"/>
            <w:noWrap/>
          </w:tcPr>
          <w:p w14:paraId="2E548D73" w14:textId="77777777" w:rsidR="00553430" w:rsidRDefault="00212577">
            <w:pPr>
              <w:pStyle w:val="P68B1DB1-Normal76"/>
              <w:spacing w:after="200" w:line="276" w:lineRule="auto"/>
              <w:jc w:val="center"/>
              <w:rPr>
                <w:noProof/>
              </w:rPr>
            </w:pPr>
            <w:r>
              <w:rPr>
                <w:noProof/>
              </w:rPr>
              <w:t>T</w:t>
            </w:r>
          </w:p>
        </w:tc>
        <w:tc>
          <w:tcPr>
            <w:tcW w:w="1731" w:type="dxa"/>
            <w:tcBorders>
              <w:top w:val="single" w:sz="4" w:space="0" w:color="auto"/>
              <w:left w:val="nil"/>
              <w:bottom w:val="single" w:sz="4" w:space="0" w:color="auto"/>
              <w:right w:val="single" w:sz="4" w:space="0" w:color="auto"/>
            </w:tcBorders>
            <w:shd w:val="clear" w:color="auto" w:fill="C6EFCE"/>
            <w:noWrap/>
          </w:tcPr>
          <w:p w14:paraId="7CC3537C" w14:textId="77777777" w:rsidR="00553430" w:rsidRDefault="00212577">
            <w:pPr>
              <w:pStyle w:val="P68B1DB1-Normal70"/>
              <w:spacing w:after="200" w:line="276" w:lineRule="auto"/>
              <w:rPr>
                <w:rFonts w:eastAsia="Times New Roman"/>
                <w:noProof/>
              </w:rPr>
            </w:pPr>
            <w:r>
              <w:rPr>
                <w:noProof/>
              </w:rPr>
              <w:t>Renforcement des capacités du Conseil des services de l'eau</w:t>
            </w:r>
          </w:p>
        </w:tc>
        <w:tc>
          <w:tcPr>
            <w:tcW w:w="1843" w:type="dxa"/>
            <w:tcBorders>
              <w:top w:val="single" w:sz="4" w:space="0" w:color="auto"/>
              <w:left w:val="nil"/>
              <w:bottom w:val="single" w:sz="4" w:space="0" w:color="auto"/>
              <w:right w:val="single" w:sz="4" w:space="0" w:color="auto"/>
            </w:tcBorders>
            <w:shd w:val="clear" w:color="auto" w:fill="C6EFCE"/>
            <w:noWrap/>
          </w:tcPr>
          <w:p w14:paraId="6C66ACA9" w14:textId="77777777" w:rsidR="00553430" w:rsidRDefault="00553430">
            <w:pPr>
              <w:spacing w:after="200" w:line="276" w:lineRule="auto"/>
              <w:rPr>
                <w:rFonts w:ascii="Times New Roman" w:eastAsia="Times New Roman" w:hAnsi="Times New Roman" w:cs="Times New Roman"/>
                <w:noProof/>
                <w:sz w:val="20"/>
                <w:szCs w:val="20"/>
              </w:rPr>
            </w:pPr>
          </w:p>
        </w:tc>
        <w:tc>
          <w:tcPr>
            <w:tcW w:w="862" w:type="dxa"/>
            <w:tcBorders>
              <w:top w:val="single" w:sz="4" w:space="0" w:color="auto"/>
              <w:left w:val="nil"/>
              <w:bottom w:val="single" w:sz="4" w:space="0" w:color="auto"/>
              <w:right w:val="single" w:sz="4" w:space="0" w:color="auto"/>
            </w:tcBorders>
            <w:shd w:val="clear" w:color="auto" w:fill="C6EFCE"/>
            <w:noWrap/>
          </w:tcPr>
          <w:p w14:paraId="39FACFE6" w14:textId="77777777" w:rsidR="00553430" w:rsidRDefault="00212577">
            <w:pPr>
              <w:pStyle w:val="P68B1DB1-Normal76"/>
              <w:spacing w:after="200" w:line="276" w:lineRule="auto"/>
              <w:jc w:val="center"/>
              <w:rPr>
                <w:noProof/>
              </w:rPr>
            </w:pPr>
            <w:r>
              <w:rPr>
                <w:noProof/>
              </w:rPr>
              <w:t>Numéro</w:t>
            </w:r>
          </w:p>
        </w:tc>
        <w:tc>
          <w:tcPr>
            <w:tcW w:w="839" w:type="dxa"/>
            <w:tcBorders>
              <w:top w:val="single" w:sz="4" w:space="0" w:color="auto"/>
              <w:left w:val="nil"/>
              <w:bottom w:val="single" w:sz="4" w:space="0" w:color="auto"/>
              <w:right w:val="single" w:sz="4" w:space="0" w:color="auto"/>
            </w:tcBorders>
            <w:shd w:val="clear" w:color="auto" w:fill="C6EFCE"/>
            <w:noWrap/>
          </w:tcPr>
          <w:p w14:paraId="660671CF" w14:textId="77777777" w:rsidR="00553430" w:rsidRDefault="00212577">
            <w:pPr>
              <w:pStyle w:val="P68B1DB1-Normal76"/>
              <w:spacing w:after="200" w:line="276" w:lineRule="auto"/>
              <w:jc w:val="center"/>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20490870" w14:textId="77777777" w:rsidR="00553430" w:rsidRDefault="00212577">
            <w:pPr>
              <w:pStyle w:val="P68B1DB1-Normal76"/>
              <w:spacing w:after="200" w:line="276" w:lineRule="auto"/>
              <w:jc w:val="center"/>
              <w:rPr>
                <w:noProof/>
              </w:rPr>
            </w:pPr>
            <w:r>
              <w:rPr>
                <w:noProof/>
              </w:rPr>
              <w:t>7</w:t>
            </w:r>
          </w:p>
        </w:tc>
        <w:tc>
          <w:tcPr>
            <w:tcW w:w="756" w:type="dxa"/>
            <w:tcBorders>
              <w:top w:val="single" w:sz="4" w:space="0" w:color="auto"/>
              <w:left w:val="nil"/>
              <w:bottom w:val="single" w:sz="4" w:space="0" w:color="auto"/>
              <w:right w:val="single" w:sz="4" w:space="0" w:color="auto"/>
            </w:tcBorders>
            <w:shd w:val="clear" w:color="auto" w:fill="C6EFCE"/>
            <w:noWrap/>
          </w:tcPr>
          <w:p w14:paraId="2CD57C4B" w14:textId="77777777" w:rsidR="00553430" w:rsidRDefault="00212577">
            <w:pPr>
              <w:pStyle w:val="P68B1DB1-Normal76"/>
              <w:spacing w:line="240" w:lineRule="auto"/>
              <w:jc w:val="center"/>
              <w:rPr>
                <w:noProof/>
              </w:rPr>
            </w:pPr>
            <w:r>
              <w:rPr>
                <w:noProof/>
              </w:rPr>
              <w:t>T4</w:t>
            </w:r>
          </w:p>
        </w:tc>
        <w:tc>
          <w:tcPr>
            <w:tcW w:w="993" w:type="dxa"/>
            <w:tcBorders>
              <w:top w:val="single" w:sz="4" w:space="0" w:color="auto"/>
              <w:left w:val="nil"/>
              <w:bottom w:val="single" w:sz="4" w:space="0" w:color="auto"/>
              <w:right w:val="single" w:sz="4" w:space="0" w:color="auto"/>
            </w:tcBorders>
            <w:shd w:val="clear" w:color="auto" w:fill="C6EFCE"/>
            <w:noWrap/>
          </w:tcPr>
          <w:p w14:paraId="150E074A" w14:textId="77777777" w:rsidR="00553430" w:rsidRDefault="00212577">
            <w:pPr>
              <w:pStyle w:val="P68B1DB1-Normal76"/>
              <w:spacing w:line="240" w:lineRule="auto"/>
              <w:jc w:val="center"/>
              <w:rPr>
                <w:noProof/>
              </w:rPr>
            </w:pPr>
            <w:r>
              <w:rPr>
                <w:noProof/>
              </w:rPr>
              <w:t>2024</w:t>
            </w:r>
          </w:p>
        </w:tc>
        <w:tc>
          <w:tcPr>
            <w:tcW w:w="4917" w:type="dxa"/>
            <w:tcBorders>
              <w:top w:val="single" w:sz="4" w:space="0" w:color="auto"/>
              <w:left w:val="nil"/>
              <w:bottom w:val="single" w:sz="4" w:space="0" w:color="auto"/>
              <w:right w:val="single" w:sz="4" w:space="0" w:color="auto"/>
            </w:tcBorders>
            <w:shd w:val="clear" w:color="auto" w:fill="C6EFCE"/>
            <w:noWrap/>
          </w:tcPr>
          <w:p w14:paraId="563A64A5" w14:textId="77777777" w:rsidR="00553430" w:rsidRDefault="00212577">
            <w:pPr>
              <w:pStyle w:val="P68B1DB1-Normal70"/>
              <w:spacing w:after="0" w:line="240" w:lineRule="auto"/>
              <w:textAlignment w:val="baseline"/>
              <w:rPr>
                <w:rFonts w:eastAsia="Times New Roman"/>
                <w:noProof/>
              </w:rPr>
            </w:pPr>
            <w:r>
              <w:rPr>
                <w:noProof/>
              </w:rPr>
              <w:t xml:space="preserve">Le Conseil des services de l'eau recrute au moins sept membres du personnel à temps plein, à l'exclusion des conseillers nommés. </w:t>
            </w:r>
          </w:p>
        </w:tc>
      </w:tr>
      <w:tr w:rsidR="00553430" w14:paraId="42A79045"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666DFCD" w14:textId="284F4FE1" w:rsidR="00553430" w:rsidRDefault="00212577">
            <w:pPr>
              <w:pStyle w:val="P68B1DB1-Normal89"/>
              <w:spacing w:after="200" w:line="276" w:lineRule="auto"/>
              <w:jc w:val="center"/>
              <w:rPr>
                <w:noProof/>
              </w:rPr>
            </w:pPr>
            <w:r>
              <w:rPr>
                <w:noProof/>
              </w:rPr>
              <w:t xml:space="preserve">388 </w:t>
            </w:r>
          </w:p>
        </w:tc>
        <w:tc>
          <w:tcPr>
            <w:tcW w:w="1243" w:type="dxa"/>
            <w:tcBorders>
              <w:top w:val="single" w:sz="4" w:space="0" w:color="auto"/>
              <w:left w:val="nil"/>
              <w:bottom w:val="single" w:sz="4" w:space="0" w:color="auto"/>
              <w:right w:val="single" w:sz="4" w:space="0" w:color="auto"/>
            </w:tcBorders>
            <w:shd w:val="clear" w:color="auto" w:fill="C6EFCE"/>
            <w:noWrap/>
          </w:tcPr>
          <w:p w14:paraId="63A4AFC2" w14:textId="77777777" w:rsidR="00553430" w:rsidRDefault="00212577">
            <w:pPr>
              <w:pStyle w:val="P68B1DB1-Normal89"/>
              <w:spacing w:after="200" w:line="276" w:lineRule="auto"/>
              <w:jc w:val="center"/>
              <w:rPr>
                <w:noProof/>
              </w:rPr>
            </w:pPr>
            <w:r>
              <w:rPr>
                <w:noProof/>
              </w:rPr>
              <w:t>C1.3. R3-I1</w:t>
            </w:r>
          </w:p>
        </w:tc>
        <w:tc>
          <w:tcPr>
            <w:tcW w:w="1104" w:type="dxa"/>
            <w:tcBorders>
              <w:top w:val="single" w:sz="4" w:space="0" w:color="auto"/>
              <w:left w:val="nil"/>
              <w:bottom w:val="single" w:sz="4" w:space="0" w:color="auto"/>
              <w:right w:val="single" w:sz="4" w:space="0" w:color="auto"/>
            </w:tcBorders>
            <w:shd w:val="clear" w:color="auto" w:fill="C6EFCE"/>
            <w:noWrap/>
          </w:tcPr>
          <w:p w14:paraId="3FF7A215" w14:textId="77777777" w:rsidR="00553430" w:rsidRDefault="00212577">
            <w:pPr>
              <w:pStyle w:val="P68B1DB1-Normal76"/>
              <w:spacing w:after="0" w:line="240" w:lineRule="auto"/>
              <w:jc w:val="center"/>
              <w:rPr>
                <w:noProof/>
              </w:rPr>
            </w:pPr>
            <w:r>
              <w:rPr>
                <w:noProof/>
              </w:rPr>
              <w:t>T</w:t>
            </w:r>
          </w:p>
          <w:p w14:paraId="1A11DC18" w14:textId="77777777" w:rsidR="00553430" w:rsidRDefault="00553430">
            <w:pPr>
              <w:spacing w:after="200" w:line="276" w:lineRule="auto"/>
              <w:jc w:val="center"/>
              <w:rPr>
                <w:rFonts w:ascii="Times New Roman" w:eastAsia="Times New Roman" w:hAnsi="Times New Roman" w:cs="Times New Roman"/>
                <w:noProof/>
                <w:sz w:val="20"/>
                <w:szCs w:val="20"/>
              </w:rPr>
            </w:pPr>
          </w:p>
        </w:tc>
        <w:tc>
          <w:tcPr>
            <w:tcW w:w="1731" w:type="dxa"/>
            <w:tcBorders>
              <w:top w:val="single" w:sz="4" w:space="0" w:color="auto"/>
              <w:left w:val="nil"/>
              <w:bottom w:val="single" w:sz="4" w:space="0" w:color="auto"/>
              <w:right w:val="single" w:sz="4" w:space="0" w:color="auto"/>
            </w:tcBorders>
            <w:shd w:val="clear" w:color="auto" w:fill="C6EFCE"/>
            <w:noWrap/>
          </w:tcPr>
          <w:p w14:paraId="3A353DBD" w14:textId="77777777" w:rsidR="00553430" w:rsidRDefault="00212577">
            <w:pPr>
              <w:pStyle w:val="P68B1DB1-Normal76"/>
              <w:spacing w:after="0" w:line="240" w:lineRule="auto"/>
              <w:rPr>
                <w:rFonts w:eastAsia="Calibri"/>
                <w:noProof/>
              </w:rPr>
            </w:pPr>
            <w:r>
              <w:rPr>
                <w:noProof/>
              </w:rPr>
              <w:t>Installations de traitement des eaux usées construites ou modernisées</w:t>
            </w:r>
          </w:p>
        </w:tc>
        <w:tc>
          <w:tcPr>
            <w:tcW w:w="1843" w:type="dxa"/>
            <w:tcBorders>
              <w:top w:val="single" w:sz="4" w:space="0" w:color="auto"/>
              <w:left w:val="nil"/>
              <w:bottom w:val="single" w:sz="4" w:space="0" w:color="auto"/>
              <w:right w:val="single" w:sz="4" w:space="0" w:color="auto"/>
            </w:tcBorders>
            <w:shd w:val="clear" w:color="auto" w:fill="C6EFCE"/>
            <w:noWrap/>
          </w:tcPr>
          <w:p w14:paraId="278E5E45" w14:textId="6675EE35" w:rsidR="00553430" w:rsidRDefault="00553430">
            <w:pPr>
              <w:spacing w:after="0" w:line="240" w:lineRule="auto"/>
              <w:jc w:val="both"/>
              <w:rPr>
                <w:rFonts w:ascii="Times New Roman" w:eastAsia="Times New Roman" w:hAnsi="Times New Roman" w:cs="Times New Roman"/>
                <w:noProof/>
                <w:sz w:val="20"/>
                <w:szCs w:val="20"/>
              </w:rPr>
            </w:pPr>
          </w:p>
          <w:p w14:paraId="1BC3320B" w14:textId="77777777" w:rsidR="00553430" w:rsidRDefault="00553430">
            <w:pPr>
              <w:spacing w:after="200" w:line="276" w:lineRule="auto"/>
              <w:rPr>
                <w:rFonts w:ascii="Times New Roman" w:eastAsia="Times New Roman" w:hAnsi="Times New Roman" w:cs="Times New Roman"/>
                <w:noProof/>
                <w:sz w:val="20"/>
                <w:szCs w:val="20"/>
              </w:rPr>
            </w:pPr>
          </w:p>
        </w:tc>
        <w:tc>
          <w:tcPr>
            <w:tcW w:w="862" w:type="dxa"/>
            <w:tcBorders>
              <w:top w:val="single" w:sz="4" w:space="0" w:color="auto"/>
              <w:left w:val="nil"/>
              <w:bottom w:val="single" w:sz="4" w:space="0" w:color="auto"/>
              <w:right w:val="single" w:sz="4" w:space="0" w:color="auto"/>
            </w:tcBorders>
            <w:shd w:val="clear" w:color="auto" w:fill="C6EFCE"/>
            <w:noWrap/>
          </w:tcPr>
          <w:p w14:paraId="2A639395" w14:textId="77777777" w:rsidR="00553430" w:rsidRDefault="00212577">
            <w:pPr>
              <w:pStyle w:val="P68B1DB1-Normal76"/>
              <w:spacing w:after="200" w:line="276" w:lineRule="auto"/>
              <w:jc w:val="center"/>
              <w:rPr>
                <w:noProof/>
              </w:rPr>
            </w:pPr>
            <w:r>
              <w:rPr>
                <w:noProof/>
              </w:rPr>
              <w:t>Numéro</w:t>
            </w:r>
          </w:p>
        </w:tc>
        <w:tc>
          <w:tcPr>
            <w:tcW w:w="839" w:type="dxa"/>
            <w:tcBorders>
              <w:top w:val="single" w:sz="4" w:space="0" w:color="auto"/>
              <w:left w:val="nil"/>
              <w:bottom w:val="single" w:sz="4" w:space="0" w:color="auto"/>
              <w:right w:val="single" w:sz="4" w:space="0" w:color="auto"/>
            </w:tcBorders>
            <w:shd w:val="clear" w:color="auto" w:fill="C6EFCE"/>
            <w:noWrap/>
          </w:tcPr>
          <w:p w14:paraId="49218ED3" w14:textId="059F5C4F" w:rsidR="00553430" w:rsidRDefault="00212577">
            <w:pPr>
              <w:pStyle w:val="P68B1DB1-Normal76"/>
              <w:spacing w:after="200" w:line="276" w:lineRule="auto"/>
              <w:jc w:val="center"/>
              <w:rPr>
                <w:noProof/>
              </w:rPr>
            </w:pPr>
            <w:r>
              <w:rPr>
                <w:noProof/>
              </w:rPr>
              <w:t xml:space="preserve"> 12</w:t>
            </w:r>
          </w:p>
        </w:tc>
        <w:tc>
          <w:tcPr>
            <w:tcW w:w="850" w:type="dxa"/>
            <w:tcBorders>
              <w:top w:val="single" w:sz="4" w:space="0" w:color="auto"/>
              <w:left w:val="nil"/>
              <w:bottom w:val="single" w:sz="4" w:space="0" w:color="auto"/>
              <w:right w:val="single" w:sz="4" w:space="0" w:color="auto"/>
            </w:tcBorders>
            <w:shd w:val="clear" w:color="auto" w:fill="C6EFCE"/>
            <w:noWrap/>
          </w:tcPr>
          <w:p w14:paraId="27710A5F" w14:textId="4C23326B" w:rsidR="00553430" w:rsidRDefault="00212577">
            <w:pPr>
              <w:pStyle w:val="P68B1DB1-Normal76"/>
              <w:spacing w:after="200" w:line="276" w:lineRule="auto"/>
              <w:jc w:val="center"/>
              <w:rPr>
                <w:noProof/>
              </w:rPr>
            </w:pPr>
            <w:r>
              <w:rPr>
                <w:noProof/>
              </w:rPr>
              <w:t xml:space="preserve"> 31</w:t>
            </w:r>
          </w:p>
        </w:tc>
        <w:tc>
          <w:tcPr>
            <w:tcW w:w="756" w:type="dxa"/>
            <w:tcBorders>
              <w:top w:val="single" w:sz="4" w:space="0" w:color="auto"/>
              <w:left w:val="nil"/>
              <w:bottom w:val="single" w:sz="4" w:space="0" w:color="auto"/>
              <w:right w:val="single" w:sz="4" w:space="0" w:color="auto"/>
            </w:tcBorders>
            <w:shd w:val="clear" w:color="auto" w:fill="C6EFCE"/>
            <w:noWrap/>
          </w:tcPr>
          <w:p w14:paraId="36A7B08F" w14:textId="4DAD8B96" w:rsidR="00553430" w:rsidRDefault="00212577">
            <w:pPr>
              <w:pStyle w:val="P68B1DB1-Normal76"/>
              <w:spacing w:line="240" w:lineRule="auto"/>
              <w:jc w:val="center"/>
              <w:rPr>
                <w:noProof/>
              </w:rPr>
            </w:pPr>
            <w:r>
              <w:rPr>
                <w:noProof/>
              </w:rPr>
              <w:t xml:space="preserve">T4 </w:t>
            </w:r>
          </w:p>
        </w:tc>
        <w:tc>
          <w:tcPr>
            <w:tcW w:w="993" w:type="dxa"/>
            <w:tcBorders>
              <w:top w:val="single" w:sz="4" w:space="0" w:color="auto"/>
              <w:left w:val="nil"/>
              <w:bottom w:val="single" w:sz="4" w:space="0" w:color="auto"/>
              <w:right w:val="single" w:sz="4" w:space="0" w:color="auto"/>
            </w:tcBorders>
            <w:shd w:val="clear" w:color="auto" w:fill="C6EFCE"/>
            <w:noWrap/>
          </w:tcPr>
          <w:p w14:paraId="5A2D33D1" w14:textId="10E2CDD9" w:rsidR="00553430" w:rsidRDefault="00212577">
            <w:pPr>
              <w:pStyle w:val="P68B1DB1-Normal76"/>
              <w:spacing w:line="240" w:lineRule="auto"/>
              <w:jc w:val="center"/>
              <w:rPr>
                <w:noProof/>
              </w:rPr>
            </w:pPr>
            <w:r>
              <w:rPr>
                <w:noProof/>
              </w:rPr>
              <w:t>2025</w:t>
            </w:r>
          </w:p>
        </w:tc>
        <w:tc>
          <w:tcPr>
            <w:tcW w:w="4917" w:type="dxa"/>
            <w:tcBorders>
              <w:top w:val="single" w:sz="4" w:space="0" w:color="auto"/>
              <w:left w:val="nil"/>
              <w:bottom w:val="single" w:sz="4" w:space="0" w:color="auto"/>
              <w:right w:val="single" w:sz="4" w:space="0" w:color="auto"/>
            </w:tcBorders>
            <w:shd w:val="clear" w:color="auto" w:fill="C6EFCE"/>
            <w:noWrap/>
          </w:tcPr>
          <w:p w14:paraId="1329B8E9" w14:textId="77777777" w:rsidR="00553430" w:rsidRDefault="00212577">
            <w:pPr>
              <w:pStyle w:val="P68B1DB1-Normal70"/>
              <w:spacing w:after="200" w:line="276" w:lineRule="auto"/>
              <w:rPr>
                <w:noProof/>
              </w:rPr>
            </w:pPr>
            <w:r>
              <w:rPr>
                <w:noProof/>
              </w:rPr>
              <w:t xml:space="preserve">Au </w:t>
            </w:r>
            <w:r>
              <w:rPr>
                <w:noProof/>
              </w:rPr>
              <w:t>moins 19 stations d’épuration supplémentaires doivent être construites ou modernisées.</w:t>
            </w:r>
          </w:p>
        </w:tc>
      </w:tr>
      <w:tr w:rsidR="00553430" w14:paraId="2DF847BD"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15687CD" w14:textId="77777777" w:rsidR="00553430" w:rsidRDefault="00212577">
            <w:pPr>
              <w:pStyle w:val="P68B1DB1-Normal89"/>
              <w:spacing w:after="200" w:line="276" w:lineRule="auto"/>
              <w:jc w:val="center"/>
              <w:rPr>
                <w:noProof/>
              </w:rPr>
            </w:pPr>
            <w:r>
              <w:rPr>
                <w:noProof/>
              </w:rPr>
              <w:t>389</w:t>
            </w:r>
          </w:p>
        </w:tc>
        <w:tc>
          <w:tcPr>
            <w:tcW w:w="1243" w:type="dxa"/>
            <w:tcBorders>
              <w:top w:val="single" w:sz="4" w:space="0" w:color="auto"/>
              <w:left w:val="nil"/>
              <w:bottom w:val="single" w:sz="4" w:space="0" w:color="auto"/>
              <w:right w:val="single" w:sz="4" w:space="0" w:color="auto"/>
            </w:tcBorders>
            <w:shd w:val="clear" w:color="auto" w:fill="C6EFCE"/>
            <w:noWrap/>
          </w:tcPr>
          <w:p w14:paraId="5FA48A0E" w14:textId="77777777" w:rsidR="00553430" w:rsidRDefault="00212577">
            <w:pPr>
              <w:pStyle w:val="P68B1DB1-Normal76"/>
              <w:spacing w:after="200" w:line="276" w:lineRule="auto"/>
              <w:jc w:val="center"/>
              <w:rPr>
                <w:noProof/>
              </w:rPr>
            </w:pPr>
            <w:r>
              <w:rPr>
                <w:noProof/>
              </w:rPr>
              <w:t>C1.3. R3-I1</w:t>
            </w:r>
          </w:p>
        </w:tc>
        <w:tc>
          <w:tcPr>
            <w:tcW w:w="1104" w:type="dxa"/>
            <w:tcBorders>
              <w:top w:val="single" w:sz="4" w:space="0" w:color="auto"/>
              <w:left w:val="nil"/>
              <w:bottom w:val="single" w:sz="4" w:space="0" w:color="auto"/>
              <w:right w:val="single" w:sz="4" w:space="0" w:color="auto"/>
            </w:tcBorders>
            <w:shd w:val="clear" w:color="auto" w:fill="C6EFCE"/>
            <w:noWrap/>
          </w:tcPr>
          <w:p w14:paraId="465118F9" w14:textId="77777777" w:rsidR="00553430" w:rsidRDefault="00212577">
            <w:pPr>
              <w:pStyle w:val="P68B1DB1-Normal76"/>
              <w:spacing w:after="0" w:line="240" w:lineRule="auto"/>
              <w:jc w:val="center"/>
              <w:rPr>
                <w:noProof/>
              </w:rPr>
            </w:pPr>
            <w:r>
              <w:rPr>
                <w:noProof/>
              </w:rPr>
              <w:t>T</w:t>
            </w:r>
          </w:p>
          <w:p w14:paraId="3037D2CA" w14:textId="77777777" w:rsidR="00553430" w:rsidRDefault="00553430">
            <w:pPr>
              <w:spacing w:after="0" w:line="240" w:lineRule="auto"/>
              <w:jc w:val="center"/>
              <w:rPr>
                <w:rFonts w:ascii="Times New Roman" w:eastAsia="Times New Roman" w:hAnsi="Times New Roman" w:cs="Times New Roman"/>
                <w:noProof/>
                <w:sz w:val="20"/>
                <w:szCs w:val="20"/>
              </w:rPr>
            </w:pPr>
          </w:p>
        </w:tc>
        <w:tc>
          <w:tcPr>
            <w:tcW w:w="1731" w:type="dxa"/>
            <w:tcBorders>
              <w:top w:val="single" w:sz="4" w:space="0" w:color="auto"/>
              <w:left w:val="nil"/>
              <w:bottom w:val="single" w:sz="4" w:space="0" w:color="auto"/>
              <w:right w:val="single" w:sz="4" w:space="0" w:color="auto"/>
            </w:tcBorders>
            <w:shd w:val="clear" w:color="auto" w:fill="C6EFCE"/>
            <w:noWrap/>
          </w:tcPr>
          <w:p w14:paraId="689E4A0D" w14:textId="77777777" w:rsidR="00553430" w:rsidRDefault="00212577">
            <w:pPr>
              <w:pStyle w:val="P68B1DB1-Normal76"/>
              <w:spacing w:after="0" w:line="240" w:lineRule="auto"/>
              <w:jc w:val="both"/>
              <w:rPr>
                <w:noProof/>
              </w:rPr>
            </w:pPr>
            <w:r>
              <w:rPr>
                <w:noProof/>
              </w:rPr>
              <w:t>Construction ou reconstruction d'un réseau public d'égouts</w:t>
            </w:r>
          </w:p>
        </w:tc>
        <w:tc>
          <w:tcPr>
            <w:tcW w:w="1843" w:type="dxa"/>
            <w:tcBorders>
              <w:top w:val="single" w:sz="4" w:space="0" w:color="auto"/>
              <w:left w:val="nil"/>
              <w:bottom w:val="single" w:sz="4" w:space="0" w:color="auto"/>
              <w:right w:val="single" w:sz="4" w:space="0" w:color="auto"/>
            </w:tcBorders>
            <w:shd w:val="clear" w:color="auto" w:fill="C6EFCE"/>
            <w:noWrap/>
          </w:tcPr>
          <w:p w14:paraId="1B8BB72E" w14:textId="77777777" w:rsidR="00553430" w:rsidRDefault="00553430">
            <w:pPr>
              <w:spacing w:after="0" w:line="240" w:lineRule="auto"/>
              <w:jc w:val="both"/>
              <w:rPr>
                <w:rFonts w:ascii="Times New Roman" w:eastAsia="Times New Roman" w:hAnsi="Times New Roman" w:cs="Times New Roman"/>
                <w:noProof/>
                <w:sz w:val="20"/>
                <w:szCs w:val="20"/>
                <w:shd w:val="clear" w:color="auto" w:fill="E6E6E6"/>
              </w:rPr>
            </w:pPr>
          </w:p>
        </w:tc>
        <w:tc>
          <w:tcPr>
            <w:tcW w:w="862" w:type="dxa"/>
            <w:tcBorders>
              <w:top w:val="single" w:sz="4" w:space="0" w:color="auto"/>
              <w:left w:val="nil"/>
              <w:bottom w:val="single" w:sz="4" w:space="0" w:color="auto"/>
              <w:right w:val="single" w:sz="4" w:space="0" w:color="auto"/>
            </w:tcBorders>
            <w:shd w:val="clear" w:color="auto" w:fill="C6EFCE"/>
            <w:noWrap/>
          </w:tcPr>
          <w:p w14:paraId="2D727D5D" w14:textId="58A66555" w:rsidR="00553430" w:rsidRDefault="00212577">
            <w:pPr>
              <w:pStyle w:val="P68B1DB1-Normal76"/>
              <w:spacing w:after="0" w:line="240" w:lineRule="auto"/>
              <w:jc w:val="both"/>
              <w:rPr>
                <w:noProof/>
              </w:rPr>
            </w:pPr>
            <w:r>
              <w:rPr>
                <w:noProof/>
              </w:rPr>
              <w:t>Numéro</w:t>
            </w:r>
          </w:p>
        </w:tc>
        <w:tc>
          <w:tcPr>
            <w:tcW w:w="839" w:type="dxa"/>
            <w:tcBorders>
              <w:top w:val="single" w:sz="4" w:space="0" w:color="auto"/>
              <w:left w:val="nil"/>
              <w:bottom w:val="single" w:sz="4" w:space="0" w:color="auto"/>
              <w:right w:val="single" w:sz="4" w:space="0" w:color="auto"/>
            </w:tcBorders>
            <w:shd w:val="clear" w:color="auto" w:fill="C6EFCE"/>
            <w:noWrap/>
          </w:tcPr>
          <w:p w14:paraId="1C402BBC" w14:textId="19287A80" w:rsidR="00553430" w:rsidRDefault="00212577">
            <w:pPr>
              <w:pStyle w:val="P68B1DB1-Normal76"/>
              <w:spacing w:after="200" w:line="276" w:lineRule="auto"/>
              <w:jc w:val="center"/>
              <w:rPr>
                <w:noProof/>
              </w:rPr>
            </w:pPr>
            <w:r>
              <w:rPr>
                <w:noProof/>
              </w:rPr>
              <w:t>807</w:t>
            </w:r>
          </w:p>
        </w:tc>
        <w:tc>
          <w:tcPr>
            <w:tcW w:w="850" w:type="dxa"/>
            <w:tcBorders>
              <w:top w:val="single" w:sz="4" w:space="0" w:color="auto"/>
              <w:left w:val="nil"/>
              <w:bottom w:val="single" w:sz="4" w:space="0" w:color="auto"/>
              <w:right w:val="single" w:sz="4" w:space="0" w:color="auto"/>
            </w:tcBorders>
            <w:shd w:val="clear" w:color="auto" w:fill="C6EFCE"/>
            <w:noWrap/>
          </w:tcPr>
          <w:p w14:paraId="64DA81B1" w14:textId="6F7765CD" w:rsidR="00553430" w:rsidRDefault="00212577">
            <w:pPr>
              <w:pStyle w:val="P68B1DB1-Normal76"/>
              <w:spacing w:after="200" w:line="276" w:lineRule="auto"/>
              <w:jc w:val="center"/>
              <w:rPr>
                <w:noProof/>
              </w:rPr>
            </w:pPr>
            <w:r>
              <w:rPr>
                <w:noProof/>
              </w:rPr>
              <w:t xml:space="preserve"> 883</w:t>
            </w:r>
          </w:p>
        </w:tc>
        <w:tc>
          <w:tcPr>
            <w:tcW w:w="756" w:type="dxa"/>
            <w:tcBorders>
              <w:top w:val="single" w:sz="4" w:space="0" w:color="auto"/>
              <w:left w:val="nil"/>
              <w:bottom w:val="single" w:sz="4" w:space="0" w:color="auto"/>
              <w:right w:val="single" w:sz="4" w:space="0" w:color="auto"/>
            </w:tcBorders>
            <w:shd w:val="clear" w:color="auto" w:fill="C6EFCE"/>
            <w:noWrap/>
          </w:tcPr>
          <w:p w14:paraId="2DAE5E8F" w14:textId="7C20C998" w:rsidR="00553430" w:rsidRDefault="00212577">
            <w:pPr>
              <w:pStyle w:val="P68B1DB1-Normal76"/>
              <w:spacing w:line="240" w:lineRule="auto"/>
              <w:jc w:val="center"/>
              <w:rPr>
                <w:noProof/>
              </w:rPr>
            </w:pPr>
            <w:r>
              <w:rPr>
                <w:noProof/>
              </w:rPr>
              <w:t xml:space="preserve"> T4</w:t>
            </w:r>
          </w:p>
        </w:tc>
        <w:tc>
          <w:tcPr>
            <w:tcW w:w="993" w:type="dxa"/>
            <w:tcBorders>
              <w:top w:val="single" w:sz="4" w:space="0" w:color="auto"/>
              <w:left w:val="nil"/>
              <w:bottom w:val="single" w:sz="4" w:space="0" w:color="auto"/>
              <w:right w:val="single" w:sz="4" w:space="0" w:color="auto"/>
            </w:tcBorders>
            <w:shd w:val="clear" w:color="auto" w:fill="C6EFCE"/>
            <w:noWrap/>
          </w:tcPr>
          <w:p w14:paraId="156E6613" w14:textId="11C5434A" w:rsidR="00553430" w:rsidRDefault="00212577">
            <w:pPr>
              <w:pStyle w:val="P68B1DB1-Normal76"/>
              <w:spacing w:line="240" w:lineRule="auto"/>
              <w:jc w:val="center"/>
              <w:rPr>
                <w:noProof/>
              </w:rPr>
            </w:pPr>
            <w:r>
              <w:rPr>
                <w:noProof/>
              </w:rPr>
              <w:t xml:space="preserve">2025 </w:t>
            </w:r>
          </w:p>
        </w:tc>
        <w:tc>
          <w:tcPr>
            <w:tcW w:w="4917" w:type="dxa"/>
            <w:tcBorders>
              <w:top w:val="single" w:sz="4" w:space="0" w:color="auto"/>
              <w:left w:val="nil"/>
              <w:bottom w:val="single" w:sz="4" w:space="0" w:color="auto"/>
              <w:right w:val="single" w:sz="4" w:space="0" w:color="auto"/>
            </w:tcBorders>
            <w:shd w:val="clear" w:color="auto" w:fill="C6EFCE"/>
            <w:noWrap/>
          </w:tcPr>
          <w:p w14:paraId="474E9D60" w14:textId="77777777" w:rsidR="00553430" w:rsidRDefault="00212577">
            <w:pPr>
              <w:pStyle w:val="P68B1DB1-Normal70"/>
              <w:spacing w:after="200" w:line="276" w:lineRule="auto"/>
              <w:rPr>
                <w:noProof/>
              </w:rPr>
            </w:pPr>
            <w:r>
              <w:rPr>
                <w:noProof/>
              </w:rPr>
              <w:t xml:space="preserve">Au moins 76 km supplémentaires de réseau public </w:t>
            </w:r>
            <w:r>
              <w:rPr>
                <w:noProof/>
              </w:rPr>
              <w:t>d'assainissement doivent être construits ou reconstruits.</w:t>
            </w:r>
          </w:p>
        </w:tc>
      </w:tr>
      <w:tr w:rsidR="00553430" w14:paraId="66561819"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8E4EBAA" w14:textId="77777777" w:rsidR="00553430" w:rsidRDefault="00212577">
            <w:pPr>
              <w:pStyle w:val="P68B1DB1-Normal89"/>
              <w:spacing w:after="0" w:line="240" w:lineRule="auto"/>
              <w:jc w:val="center"/>
              <w:rPr>
                <w:noProof/>
              </w:rPr>
            </w:pPr>
            <w:r>
              <w:rPr>
                <w:noProof/>
              </w:rPr>
              <w:t>391 </w:t>
            </w:r>
          </w:p>
          <w:p w14:paraId="71318F9A" w14:textId="77777777" w:rsidR="00553430" w:rsidRDefault="00553430">
            <w:pPr>
              <w:spacing w:after="200" w:line="276" w:lineRule="auto"/>
              <w:jc w:val="center"/>
              <w:rPr>
                <w:rFonts w:ascii="Times New Roman" w:hAnsi="Times New Roman" w:cs="Times New Roman"/>
                <w:noProof/>
                <w:sz w:val="20"/>
                <w:szCs w:val="20"/>
              </w:rPr>
            </w:pPr>
          </w:p>
        </w:tc>
        <w:tc>
          <w:tcPr>
            <w:tcW w:w="1243" w:type="dxa"/>
            <w:tcBorders>
              <w:top w:val="single" w:sz="4" w:space="0" w:color="auto"/>
              <w:left w:val="nil"/>
              <w:bottom w:val="single" w:sz="4" w:space="0" w:color="auto"/>
              <w:right w:val="single" w:sz="4" w:space="0" w:color="auto"/>
            </w:tcBorders>
            <w:shd w:val="clear" w:color="auto" w:fill="C6EFCE"/>
            <w:noWrap/>
          </w:tcPr>
          <w:p w14:paraId="155F05A7" w14:textId="77777777" w:rsidR="00553430" w:rsidRDefault="00212577">
            <w:pPr>
              <w:pStyle w:val="P68B1DB1-Normal76"/>
              <w:spacing w:after="200" w:line="276" w:lineRule="auto"/>
              <w:jc w:val="center"/>
              <w:rPr>
                <w:noProof/>
              </w:rPr>
            </w:pPr>
            <w:r>
              <w:rPr>
                <w:noProof/>
              </w:rPr>
              <w:t>C1.3. R3-I2</w:t>
            </w:r>
          </w:p>
        </w:tc>
        <w:tc>
          <w:tcPr>
            <w:tcW w:w="1104" w:type="dxa"/>
            <w:tcBorders>
              <w:top w:val="single" w:sz="4" w:space="0" w:color="auto"/>
              <w:left w:val="nil"/>
              <w:bottom w:val="single" w:sz="4" w:space="0" w:color="auto"/>
              <w:right w:val="single" w:sz="4" w:space="0" w:color="auto"/>
            </w:tcBorders>
            <w:shd w:val="clear" w:color="auto" w:fill="C6EFCE"/>
            <w:noWrap/>
          </w:tcPr>
          <w:p w14:paraId="79689123" w14:textId="77777777" w:rsidR="00553430" w:rsidRDefault="00212577">
            <w:pPr>
              <w:pStyle w:val="P68B1DB1-Normal76"/>
              <w:spacing w:after="0" w:line="240" w:lineRule="auto"/>
              <w:jc w:val="center"/>
              <w:rPr>
                <w:noProof/>
              </w:rPr>
            </w:pPr>
            <w:r>
              <w:rPr>
                <w:noProof/>
              </w:rPr>
              <w:t>T</w:t>
            </w:r>
          </w:p>
        </w:tc>
        <w:tc>
          <w:tcPr>
            <w:tcW w:w="1731" w:type="dxa"/>
            <w:tcBorders>
              <w:top w:val="single" w:sz="4" w:space="0" w:color="auto"/>
              <w:left w:val="nil"/>
              <w:bottom w:val="single" w:sz="4" w:space="0" w:color="auto"/>
              <w:right w:val="single" w:sz="4" w:space="0" w:color="auto"/>
            </w:tcBorders>
            <w:shd w:val="clear" w:color="auto" w:fill="C6EFCE"/>
            <w:noWrap/>
          </w:tcPr>
          <w:p w14:paraId="3B94D1C5" w14:textId="77777777" w:rsidR="00553430" w:rsidRDefault="00212577">
            <w:pPr>
              <w:pStyle w:val="P68B1DB1-Normal70"/>
              <w:spacing w:after="0" w:line="240" w:lineRule="auto"/>
              <w:jc w:val="both"/>
              <w:rPr>
                <w:rFonts w:eastAsia="Times New Roman"/>
                <w:noProof/>
              </w:rPr>
            </w:pPr>
            <w:r>
              <w:rPr>
                <w:noProof/>
              </w:rPr>
              <w:t xml:space="preserve">Construction ou reconstruction d'un réseau public d'approvisionnement en eau </w:t>
            </w:r>
          </w:p>
        </w:tc>
        <w:tc>
          <w:tcPr>
            <w:tcW w:w="1843" w:type="dxa"/>
            <w:tcBorders>
              <w:top w:val="single" w:sz="4" w:space="0" w:color="auto"/>
              <w:left w:val="nil"/>
              <w:bottom w:val="single" w:sz="4" w:space="0" w:color="auto"/>
              <w:right w:val="single" w:sz="4" w:space="0" w:color="auto"/>
            </w:tcBorders>
            <w:shd w:val="clear" w:color="auto" w:fill="C6EFCE"/>
            <w:noWrap/>
          </w:tcPr>
          <w:p w14:paraId="57403554" w14:textId="77777777" w:rsidR="00553430" w:rsidRDefault="00212577">
            <w:pPr>
              <w:pStyle w:val="P68B1DB1-Normal100"/>
              <w:spacing w:after="0" w:line="240" w:lineRule="auto"/>
              <w:jc w:val="both"/>
              <w:rPr>
                <w:rFonts w:eastAsia="Times New Roman"/>
                <w:noProof/>
              </w:rPr>
            </w:pPr>
            <w:r>
              <w:rPr>
                <w:noProof/>
              </w:rPr>
              <w:t xml:space="preserve"> </w:t>
            </w:r>
          </w:p>
        </w:tc>
        <w:tc>
          <w:tcPr>
            <w:tcW w:w="862" w:type="dxa"/>
            <w:tcBorders>
              <w:top w:val="single" w:sz="4" w:space="0" w:color="auto"/>
              <w:left w:val="nil"/>
              <w:bottom w:val="single" w:sz="4" w:space="0" w:color="auto"/>
              <w:right w:val="single" w:sz="4" w:space="0" w:color="auto"/>
            </w:tcBorders>
            <w:shd w:val="clear" w:color="auto" w:fill="C6EFCE"/>
            <w:noWrap/>
          </w:tcPr>
          <w:p w14:paraId="554AAB49" w14:textId="77777777" w:rsidR="00553430" w:rsidRDefault="00212577">
            <w:pPr>
              <w:pStyle w:val="P68B1DB1-Normal76"/>
              <w:spacing w:after="0" w:line="240" w:lineRule="auto"/>
              <w:jc w:val="both"/>
              <w:rPr>
                <w:noProof/>
              </w:rPr>
            </w:pPr>
            <w:r>
              <w:rPr>
                <w:noProof/>
              </w:rPr>
              <w:t>Numéro</w:t>
            </w:r>
          </w:p>
        </w:tc>
        <w:tc>
          <w:tcPr>
            <w:tcW w:w="839" w:type="dxa"/>
            <w:tcBorders>
              <w:top w:val="single" w:sz="4" w:space="0" w:color="auto"/>
              <w:left w:val="nil"/>
              <w:bottom w:val="single" w:sz="4" w:space="0" w:color="auto"/>
              <w:right w:val="single" w:sz="4" w:space="0" w:color="auto"/>
            </w:tcBorders>
            <w:shd w:val="clear" w:color="auto" w:fill="C6EFCE"/>
            <w:noWrap/>
          </w:tcPr>
          <w:p w14:paraId="2C99EC35" w14:textId="3847F3B9" w:rsidR="00553430" w:rsidRDefault="00212577">
            <w:pPr>
              <w:pStyle w:val="P68B1DB1-Normal76"/>
              <w:spacing w:after="200" w:line="276" w:lineRule="auto"/>
              <w:jc w:val="center"/>
              <w:rPr>
                <w:noProof/>
              </w:rPr>
            </w:pPr>
            <w:r>
              <w:rPr>
                <w:noProof/>
              </w:rPr>
              <w:t>1023</w:t>
            </w:r>
          </w:p>
        </w:tc>
        <w:tc>
          <w:tcPr>
            <w:tcW w:w="850" w:type="dxa"/>
            <w:tcBorders>
              <w:top w:val="single" w:sz="4" w:space="0" w:color="auto"/>
              <w:left w:val="nil"/>
              <w:bottom w:val="single" w:sz="4" w:space="0" w:color="auto"/>
              <w:right w:val="single" w:sz="4" w:space="0" w:color="auto"/>
            </w:tcBorders>
            <w:shd w:val="clear" w:color="auto" w:fill="C6EFCE"/>
            <w:noWrap/>
          </w:tcPr>
          <w:p w14:paraId="28077B2E" w14:textId="3B5DD3AE" w:rsidR="00553430" w:rsidRDefault="00212577">
            <w:pPr>
              <w:pStyle w:val="P68B1DB1-Normal76"/>
              <w:spacing w:after="200" w:line="276" w:lineRule="auto"/>
              <w:jc w:val="center"/>
              <w:rPr>
                <w:noProof/>
              </w:rPr>
            </w:pPr>
            <w:r>
              <w:rPr>
                <w:noProof/>
              </w:rPr>
              <w:t>1154</w:t>
            </w:r>
          </w:p>
        </w:tc>
        <w:tc>
          <w:tcPr>
            <w:tcW w:w="756" w:type="dxa"/>
            <w:tcBorders>
              <w:top w:val="single" w:sz="4" w:space="0" w:color="auto"/>
              <w:left w:val="nil"/>
              <w:bottom w:val="single" w:sz="4" w:space="0" w:color="auto"/>
              <w:right w:val="single" w:sz="4" w:space="0" w:color="auto"/>
            </w:tcBorders>
            <w:shd w:val="clear" w:color="auto" w:fill="C6EFCE"/>
            <w:noWrap/>
          </w:tcPr>
          <w:p w14:paraId="420D69F4" w14:textId="77777777" w:rsidR="00553430" w:rsidRDefault="00212577">
            <w:pPr>
              <w:pStyle w:val="P68B1DB1-Normal76"/>
              <w:spacing w:line="240" w:lineRule="auto"/>
              <w:jc w:val="center"/>
              <w:rPr>
                <w:noProof/>
              </w:rPr>
            </w:pPr>
            <w:r>
              <w:rPr>
                <w:noProof/>
              </w:rPr>
              <w:t>T4</w:t>
            </w:r>
          </w:p>
        </w:tc>
        <w:tc>
          <w:tcPr>
            <w:tcW w:w="993" w:type="dxa"/>
            <w:tcBorders>
              <w:top w:val="single" w:sz="4" w:space="0" w:color="auto"/>
              <w:left w:val="nil"/>
              <w:bottom w:val="single" w:sz="4" w:space="0" w:color="auto"/>
              <w:right w:val="single" w:sz="4" w:space="0" w:color="auto"/>
            </w:tcBorders>
            <w:shd w:val="clear" w:color="auto" w:fill="C6EFCE"/>
            <w:noWrap/>
          </w:tcPr>
          <w:p w14:paraId="17A6921B" w14:textId="77777777" w:rsidR="00553430" w:rsidRDefault="00212577">
            <w:pPr>
              <w:pStyle w:val="P68B1DB1-Normal76"/>
              <w:spacing w:line="240" w:lineRule="auto"/>
              <w:jc w:val="center"/>
              <w:rPr>
                <w:noProof/>
              </w:rPr>
            </w:pPr>
            <w:r>
              <w:rPr>
                <w:noProof/>
              </w:rPr>
              <w:t>2025</w:t>
            </w:r>
          </w:p>
        </w:tc>
        <w:tc>
          <w:tcPr>
            <w:tcW w:w="4917" w:type="dxa"/>
            <w:tcBorders>
              <w:top w:val="single" w:sz="4" w:space="0" w:color="auto"/>
              <w:left w:val="nil"/>
              <w:bottom w:val="single" w:sz="4" w:space="0" w:color="auto"/>
              <w:right w:val="single" w:sz="4" w:space="0" w:color="auto"/>
            </w:tcBorders>
            <w:shd w:val="clear" w:color="auto" w:fill="C6EFCE"/>
            <w:noWrap/>
          </w:tcPr>
          <w:p w14:paraId="6C3FCED4" w14:textId="77777777" w:rsidR="00553430" w:rsidRDefault="00212577">
            <w:pPr>
              <w:pStyle w:val="P68B1DB1-Normal70"/>
              <w:spacing w:after="200" w:line="276" w:lineRule="auto"/>
              <w:rPr>
                <w:noProof/>
              </w:rPr>
            </w:pPr>
            <w:r>
              <w:rPr>
                <w:noProof/>
              </w:rPr>
              <w:t xml:space="preserve">Au moins 131 km supplémentaires de réseau public d'approvisionnement en eau ont été construits ou reconstruits. </w:t>
            </w:r>
          </w:p>
          <w:p w14:paraId="66EE7D9F" w14:textId="77777777" w:rsidR="00553430" w:rsidRDefault="00212577">
            <w:pPr>
              <w:pStyle w:val="P68B1DB1-Normal70"/>
              <w:spacing w:after="200" w:line="276" w:lineRule="auto"/>
              <w:rPr>
                <w:noProof/>
              </w:rPr>
            </w:pPr>
            <w:r>
              <w:rPr>
                <w:noProof/>
              </w:rPr>
              <w:t>L'investissement consiste à construire des systèmes d'approvisionnement en eau potable ayant une consommation d'énergie moyenne de ≤ 0,5 kWh ou</w:t>
            </w:r>
            <w:r>
              <w:rPr>
                <w:noProof/>
              </w:rPr>
              <w:t xml:space="preserve"> un indice de fuite des infrastructures (ILI) de ≤ 1,5, et à rénover les systèmes d'approvisionnement en eau potable existants afin de réduire la consommation d'énergie moyenne de plus de 20 % ou de réduire les fuites de plus de 20 %. </w:t>
            </w:r>
          </w:p>
        </w:tc>
      </w:tr>
      <w:tr w:rsidR="00553430" w14:paraId="146F9795"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FE76109" w14:textId="77777777" w:rsidR="00553430" w:rsidRDefault="00212577">
            <w:pPr>
              <w:pStyle w:val="P68B1DB1-Normal89"/>
              <w:spacing w:after="0" w:line="240" w:lineRule="auto"/>
              <w:jc w:val="center"/>
              <w:rPr>
                <w:noProof/>
              </w:rPr>
            </w:pPr>
            <w:r>
              <w:rPr>
                <w:noProof/>
              </w:rPr>
              <w:t>440</w:t>
            </w:r>
          </w:p>
        </w:tc>
        <w:tc>
          <w:tcPr>
            <w:tcW w:w="1243" w:type="dxa"/>
            <w:tcBorders>
              <w:top w:val="single" w:sz="4" w:space="0" w:color="auto"/>
              <w:left w:val="nil"/>
              <w:bottom w:val="single" w:sz="4" w:space="0" w:color="auto"/>
              <w:right w:val="single" w:sz="4" w:space="0" w:color="auto"/>
            </w:tcBorders>
            <w:shd w:val="clear" w:color="auto" w:fill="C6EFCE"/>
            <w:noWrap/>
          </w:tcPr>
          <w:p w14:paraId="3A82439A" w14:textId="77777777" w:rsidR="00553430" w:rsidRDefault="00212577">
            <w:pPr>
              <w:pStyle w:val="P68B1DB1-Normal76"/>
              <w:spacing w:after="200" w:line="276" w:lineRule="auto"/>
              <w:jc w:val="center"/>
              <w:rPr>
                <w:noProof/>
              </w:rPr>
            </w:pPr>
            <w:r>
              <w:rPr>
                <w:noProof/>
              </w:rPr>
              <w:t>C1.3 R3-I3</w:t>
            </w:r>
          </w:p>
        </w:tc>
        <w:tc>
          <w:tcPr>
            <w:tcW w:w="1104" w:type="dxa"/>
            <w:tcBorders>
              <w:top w:val="single" w:sz="4" w:space="0" w:color="auto"/>
              <w:left w:val="nil"/>
              <w:bottom w:val="single" w:sz="4" w:space="0" w:color="auto"/>
              <w:right w:val="single" w:sz="4" w:space="0" w:color="auto"/>
            </w:tcBorders>
            <w:shd w:val="clear" w:color="auto" w:fill="C6EFCE"/>
            <w:noWrap/>
          </w:tcPr>
          <w:p w14:paraId="326840AA" w14:textId="77777777" w:rsidR="00553430" w:rsidRDefault="00212577">
            <w:pPr>
              <w:pStyle w:val="P68B1DB1-Normal76"/>
              <w:spacing w:after="0" w:line="240" w:lineRule="auto"/>
              <w:jc w:val="center"/>
              <w:rPr>
                <w:noProof/>
              </w:rPr>
            </w:pPr>
            <w:r>
              <w:rPr>
                <w:noProof/>
              </w:rPr>
              <w:t>T</w:t>
            </w:r>
          </w:p>
        </w:tc>
        <w:tc>
          <w:tcPr>
            <w:tcW w:w="1731" w:type="dxa"/>
            <w:tcBorders>
              <w:top w:val="single" w:sz="4" w:space="0" w:color="auto"/>
              <w:left w:val="nil"/>
              <w:bottom w:val="single" w:sz="4" w:space="0" w:color="auto"/>
              <w:right w:val="single" w:sz="4" w:space="0" w:color="auto"/>
            </w:tcBorders>
            <w:shd w:val="clear" w:color="auto" w:fill="C6EFCE"/>
            <w:noWrap/>
          </w:tcPr>
          <w:p w14:paraId="64858BCD" w14:textId="77777777" w:rsidR="00553430" w:rsidRDefault="00212577">
            <w:pPr>
              <w:pStyle w:val="P68B1DB1-Normal66"/>
              <w:spacing w:after="0" w:line="240" w:lineRule="auto"/>
              <w:jc w:val="both"/>
              <w:rPr>
                <w:noProof/>
              </w:rPr>
            </w:pPr>
            <w:r>
              <w:rPr>
                <w:noProof/>
              </w:rPr>
              <w:t>Construction de structures de protection contre les inondations</w:t>
            </w:r>
          </w:p>
        </w:tc>
        <w:tc>
          <w:tcPr>
            <w:tcW w:w="1843" w:type="dxa"/>
            <w:tcBorders>
              <w:top w:val="single" w:sz="4" w:space="0" w:color="auto"/>
              <w:left w:val="nil"/>
              <w:bottom w:val="single" w:sz="4" w:space="0" w:color="auto"/>
              <w:right w:val="single" w:sz="4" w:space="0" w:color="auto"/>
            </w:tcBorders>
            <w:shd w:val="clear" w:color="auto" w:fill="C6EFCE"/>
            <w:noWrap/>
          </w:tcPr>
          <w:p w14:paraId="725133B3" w14:textId="77777777" w:rsidR="00553430" w:rsidRDefault="00553430">
            <w:pPr>
              <w:spacing w:after="0" w:line="240" w:lineRule="auto"/>
              <w:jc w:val="both"/>
              <w:rPr>
                <w:rFonts w:ascii="Times New Roman" w:eastAsia="Calibri" w:hAnsi="Times New Roman" w:cs="Times New Roman"/>
                <w:noProof/>
                <w:sz w:val="20"/>
                <w:szCs w:val="20"/>
                <w:shd w:val="clear" w:color="auto" w:fill="E6E6E6"/>
              </w:rPr>
            </w:pPr>
          </w:p>
        </w:tc>
        <w:tc>
          <w:tcPr>
            <w:tcW w:w="862" w:type="dxa"/>
            <w:tcBorders>
              <w:top w:val="single" w:sz="4" w:space="0" w:color="auto"/>
              <w:left w:val="nil"/>
              <w:bottom w:val="single" w:sz="4" w:space="0" w:color="auto"/>
              <w:right w:val="single" w:sz="4" w:space="0" w:color="auto"/>
            </w:tcBorders>
            <w:shd w:val="clear" w:color="auto" w:fill="C6EFCE"/>
            <w:noWrap/>
          </w:tcPr>
          <w:p w14:paraId="30396060" w14:textId="77777777" w:rsidR="00553430" w:rsidRDefault="00212577">
            <w:pPr>
              <w:pStyle w:val="P68B1DB1-Normal66"/>
              <w:spacing w:after="0" w:line="240" w:lineRule="auto"/>
              <w:jc w:val="both"/>
              <w:rPr>
                <w:rFonts w:eastAsia="Times New Roman"/>
                <w:noProof/>
              </w:rPr>
            </w:pPr>
            <w:r>
              <w:rPr>
                <w:noProof/>
              </w:rPr>
              <w:t>Numéro</w:t>
            </w:r>
          </w:p>
        </w:tc>
        <w:tc>
          <w:tcPr>
            <w:tcW w:w="839" w:type="dxa"/>
            <w:tcBorders>
              <w:top w:val="single" w:sz="4" w:space="0" w:color="auto"/>
              <w:left w:val="nil"/>
              <w:bottom w:val="single" w:sz="4" w:space="0" w:color="auto"/>
              <w:right w:val="single" w:sz="4" w:space="0" w:color="auto"/>
            </w:tcBorders>
            <w:shd w:val="clear" w:color="auto" w:fill="C6EFCE"/>
            <w:noWrap/>
          </w:tcPr>
          <w:p w14:paraId="24331094" w14:textId="77777777" w:rsidR="00553430" w:rsidRDefault="00212577">
            <w:pPr>
              <w:pStyle w:val="P68B1DB1-Normal76"/>
              <w:spacing w:after="200" w:line="276" w:lineRule="auto"/>
              <w:jc w:val="center"/>
              <w:rPr>
                <w:noProof/>
              </w:rPr>
            </w:pPr>
            <w:r>
              <w:rPr>
                <w:noProof/>
              </w:rPr>
              <w:t>77</w:t>
            </w:r>
          </w:p>
        </w:tc>
        <w:tc>
          <w:tcPr>
            <w:tcW w:w="850" w:type="dxa"/>
            <w:tcBorders>
              <w:top w:val="single" w:sz="4" w:space="0" w:color="auto"/>
              <w:left w:val="nil"/>
              <w:bottom w:val="single" w:sz="4" w:space="0" w:color="auto"/>
              <w:right w:val="single" w:sz="4" w:space="0" w:color="auto"/>
            </w:tcBorders>
            <w:shd w:val="clear" w:color="auto" w:fill="C6EFCE"/>
            <w:noWrap/>
          </w:tcPr>
          <w:p w14:paraId="560FBF1A" w14:textId="77777777" w:rsidR="00553430" w:rsidRDefault="00212577">
            <w:pPr>
              <w:pStyle w:val="P68B1DB1-Normal76"/>
              <w:spacing w:after="200" w:line="276" w:lineRule="auto"/>
              <w:jc w:val="center"/>
              <w:rPr>
                <w:noProof/>
              </w:rPr>
            </w:pPr>
            <w:r>
              <w:rPr>
                <w:noProof/>
              </w:rPr>
              <w:t>79</w:t>
            </w:r>
          </w:p>
        </w:tc>
        <w:tc>
          <w:tcPr>
            <w:tcW w:w="756" w:type="dxa"/>
            <w:tcBorders>
              <w:top w:val="single" w:sz="4" w:space="0" w:color="auto"/>
              <w:left w:val="nil"/>
              <w:bottom w:val="single" w:sz="4" w:space="0" w:color="auto"/>
              <w:right w:val="single" w:sz="4" w:space="0" w:color="auto"/>
            </w:tcBorders>
            <w:shd w:val="clear" w:color="auto" w:fill="C6EFCE"/>
            <w:noWrap/>
          </w:tcPr>
          <w:p w14:paraId="35233145" w14:textId="77777777" w:rsidR="00553430" w:rsidRDefault="00212577">
            <w:pPr>
              <w:pStyle w:val="P68B1DB1-Normal76"/>
              <w:spacing w:line="240" w:lineRule="auto"/>
              <w:jc w:val="center"/>
              <w:rPr>
                <w:noProof/>
              </w:rPr>
            </w:pPr>
            <w:r>
              <w:rPr>
                <w:noProof/>
              </w:rPr>
              <w:t>T2</w:t>
            </w:r>
          </w:p>
        </w:tc>
        <w:tc>
          <w:tcPr>
            <w:tcW w:w="993" w:type="dxa"/>
            <w:tcBorders>
              <w:top w:val="single" w:sz="4" w:space="0" w:color="auto"/>
              <w:left w:val="nil"/>
              <w:bottom w:val="single" w:sz="4" w:space="0" w:color="auto"/>
              <w:right w:val="single" w:sz="4" w:space="0" w:color="auto"/>
            </w:tcBorders>
            <w:shd w:val="clear" w:color="auto" w:fill="C6EFCE"/>
            <w:noWrap/>
          </w:tcPr>
          <w:p w14:paraId="22260254" w14:textId="77777777" w:rsidR="00553430" w:rsidRDefault="00212577">
            <w:pPr>
              <w:pStyle w:val="P68B1DB1-Normal76"/>
              <w:spacing w:line="240" w:lineRule="auto"/>
              <w:jc w:val="center"/>
              <w:rPr>
                <w:noProof/>
              </w:rPr>
            </w:pPr>
            <w:r>
              <w:rPr>
                <w:noProof/>
              </w:rPr>
              <w:t>2026</w:t>
            </w:r>
          </w:p>
        </w:tc>
        <w:tc>
          <w:tcPr>
            <w:tcW w:w="4917" w:type="dxa"/>
            <w:tcBorders>
              <w:top w:val="single" w:sz="4" w:space="0" w:color="auto"/>
              <w:left w:val="nil"/>
              <w:bottom w:val="single" w:sz="4" w:space="0" w:color="auto"/>
              <w:right w:val="single" w:sz="4" w:space="0" w:color="auto"/>
            </w:tcBorders>
            <w:shd w:val="clear" w:color="auto" w:fill="C6EFCE"/>
            <w:noWrap/>
          </w:tcPr>
          <w:p w14:paraId="27341753" w14:textId="77777777" w:rsidR="00553430" w:rsidRDefault="00212577">
            <w:pPr>
              <w:pStyle w:val="P68B1DB1-Normal66"/>
              <w:spacing w:after="200" w:line="276" w:lineRule="auto"/>
              <w:rPr>
                <w:noProof/>
              </w:rPr>
            </w:pPr>
            <w:r>
              <w:rPr>
                <w:noProof/>
              </w:rPr>
              <w:t>Construction d'au moins 2 km supplémentaires de structures de protection contre les inondations.</w:t>
            </w:r>
          </w:p>
        </w:tc>
      </w:tr>
      <w:tr w:rsidR="00553430" w14:paraId="6103B48A"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816ED19" w14:textId="77777777" w:rsidR="00553430" w:rsidRDefault="00212577">
            <w:pPr>
              <w:pStyle w:val="P68B1DB1-Normal89"/>
              <w:spacing w:after="0" w:line="240" w:lineRule="auto"/>
              <w:jc w:val="center"/>
              <w:rPr>
                <w:noProof/>
              </w:rPr>
            </w:pPr>
            <w:r>
              <w:rPr>
                <w:noProof/>
              </w:rPr>
              <w:t>441</w:t>
            </w:r>
          </w:p>
        </w:tc>
        <w:tc>
          <w:tcPr>
            <w:tcW w:w="1243" w:type="dxa"/>
            <w:tcBorders>
              <w:top w:val="single" w:sz="4" w:space="0" w:color="auto"/>
              <w:left w:val="nil"/>
              <w:bottom w:val="single" w:sz="4" w:space="0" w:color="auto"/>
              <w:right w:val="single" w:sz="4" w:space="0" w:color="auto"/>
            </w:tcBorders>
            <w:shd w:val="clear" w:color="auto" w:fill="C6EFCE"/>
            <w:noWrap/>
          </w:tcPr>
          <w:p w14:paraId="429293E0" w14:textId="77777777" w:rsidR="00553430" w:rsidRDefault="00212577">
            <w:pPr>
              <w:pStyle w:val="P68B1DB1-Normal76"/>
              <w:spacing w:after="200" w:line="276" w:lineRule="auto"/>
              <w:jc w:val="center"/>
              <w:rPr>
                <w:noProof/>
              </w:rPr>
            </w:pPr>
            <w:r>
              <w:rPr>
                <w:noProof/>
              </w:rPr>
              <w:t>C1.3 R3-I3</w:t>
            </w:r>
          </w:p>
        </w:tc>
        <w:tc>
          <w:tcPr>
            <w:tcW w:w="1104" w:type="dxa"/>
            <w:tcBorders>
              <w:top w:val="single" w:sz="4" w:space="0" w:color="auto"/>
              <w:left w:val="nil"/>
              <w:bottom w:val="single" w:sz="4" w:space="0" w:color="auto"/>
              <w:right w:val="single" w:sz="4" w:space="0" w:color="auto"/>
            </w:tcBorders>
            <w:shd w:val="clear" w:color="auto" w:fill="C6EFCE"/>
            <w:noWrap/>
          </w:tcPr>
          <w:p w14:paraId="0C3FD045" w14:textId="77777777" w:rsidR="00553430" w:rsidRDefault="00212577">
            <w:pPr>
              <w:pStyle w:val="P68B1DB1-Normal76"/>
              <w:spacing w:after="0" w:line="240" w:lineRule="auto"/>
              <w:jc w:val="center"/>
              <w:rPr>
                <w:noProof/>
              </w:rPr>
            </w:pPr>
            <w:r>
              <w:rPr>
                <w:noProof/>
              </w:rPr>
              <w:t>T</w:t>
            </w:r>
          </w:p>
        </w:tc>
        <w:tc>
          <w:tcPr>
            <w:tcW w:w="1731" w:type="dxa"/>
            <w:tcBorders>
              <w:top w:val="single" w:sz="4" w:space="0" w:color="auto"/>
              <w:left w:val="nil"/>
              <w:bottom w:val="single" w:sz="4" w:space="0" w:color="auto"/>
              <w:right w:val="single" w:sz="4" w:space="0" w:color="auto"/>
            </w:tcBorders>
            <w:shd w:val="clear" w:color="auto" w:fill="C6EFCE"/>
            <w:noWrap/>
          </w:tcPr>
          <w:p w14:paraId="07259D05" w14:textId="77777777" w:rsidR="00553430" w:rsidRDefault="00212577">
            <w:pPr>
              <w:pStyle w:val="P68B1DB1-Normal66"/>
              <w:spacing w:after="0" w:line="240" w:lineRule="auto"/>
              <w:jc w:val="both"/>
              <w:rPr>
                <w:noProof/>
              </w:rPr>
            </w:pPr>
            <w:r>
              <w:rPr>
                <w:noProof/>
              </w:rPr>
              <w:t>Des cours d'eau revitalisés</w:t>
            </w:r>
          </w:p>
        </w:tc>
        <w:tc>
          <w:tcPr>
            <w:tcW w:w="1843" w:type="dxa"/>
            <w:tcBorders>
              <w:top w:val="single" w:sz="4" w:space="0" w:color="auto"/>
              <w:left w:val="nil"/>
              <w:bottom w:val="single" w:sz="4" w:space="0" w:color="auto"/>
              <w:right w:val="single" w:sz="4" w:space="0" w:color="auto"/>
            </w:tcBorders>
            <w:shd w:val="clear" w:color="auto" w:fill="C6EFCE"/>
            <w:noWrap/>
          </w:tcPr>
          <w:p w14:paraId="490573E6" w14:textId="77777777" w:rsidR="00553430" w:rsidRDefault="00553430">
            <w:pPr>
              <w:spacing w:after="0" w:line="240" w:lineRule="auto"/>
              <w:jc w:val="both"/>
              <w:rPr>
                <w:rFonts w:ascii="Times New Roman" w:eastAsia="Calibri" w:hAnsi="Times New Roman" w:cs="Times New Roman"/>
                <w:noProof/>
                <w:sz w:val="20"/>
                <w:szCs w:val="20"/>
                <w:shd w:val="clear" w:color="auto" w:fill="E6E6E6"/>
              </w:rPr>
            </w:pPr>
          </w:p>
        </w:tc>
        <w:tc>
          <w:tcPr>
            <w:tcW w:w="862" w:type="dxa"/>
            <w:tcBorders>
              <w:top w:val="single" w:sz="4" w:space="0" w:color="auto"/>
              <w:left w:val="nil"/>
              <w:bottom w:val="single" w:sz="4" w:space="0" w:color="auto"/>
              <w:right w:val="single" w:sz="4" w:space="0" w:color="auto"/>
            </w:tcBorders>
            <w:shd w:val="clear" w:color="auto" w:fill="C6EFCE"/>
            <w:noWrap/>
          </w:tcPr>
          <w:p w14:paraId="713C2966" w14:textId="77777777" w:rsidR="00553430" w:rsidRDefault="00212577">
            <w:pPr>
              <w:pStyle w:val="P68B1DB1-Normal76"/>
              <w:spacing w:after="0" w:line="240" w:lineRule="auto"/>
              <w:jc w:val="both"/>
              <w:rPr>
                <w:noProof/>
              </w:rPr>
            </w:pPr>
            <w:r>
              <w:rPr>
                <w:noProof/>
              </w:rPr>
              <w:t>Numéro</w:t>
            </w:r>
          </w:p>
        </w:tc>
        <w:tc>
          <w:tcPr>
            <w:tcW w:w="839" w:type="dxa"/>
            <w:tcBorders>
              <w:top w:val="single" w:sz="4" w:space="0" w:color="auto"/>
              <w:left w:val="nil"/>
              <w:bottom w:val="single" w:sz="4" w:space="0" w:color="auto"/>
              <w:right w:val="single" w:sz="4" w:space="0" w:color="auto"/>
            </w:tcBorders>
            <w:shd w:val="clear" w:color="auto" w:fill="C6EFCE"/>
            <w:noWrap/>
          </w:tcPr>
          <w:p w14:paraId="2C0D2F02" w14:textId="77777777" w:rsidR="00553430" w:rsidRDefault="00212577">
            <w:pPr>
              <w:pStyle w:val="P68B1DB1-Normal76"/>
              <w:spacing w:after="200" w:line="276" w:lineRule="auto"/>
              <w:jc w:val="center"/>
              <w:rPr>
                <w:noProof/>
              </w:rPr>
            </w:pPr>
            <w:r>
              <w:rPr>
                <w:noProof/>
              </w:rPr>
              <w:t>16</w:t>
            </w:r>
          </w:p>
        </w:tc>
        <w:tc>
          <w:tcPr>
            <w:tcW w:w="850" w:type="dxa"/>
            <w:tcBorders>
              <w:top w:val="single" w:sz="4" w:space="0" w:color="auto"/>
              <w:left w:val="nil"/>
              <w:bottom w:val="single" w:sz="4" w:space="0" w:color="auto"/>
              <w:right w:val="single" w:sz="4" w:space="0" w:color="auto"/>
            </w:tcBorders>
            <w:shd w:val="clear" w:color="auto" w:fill="C6EFCE"/>
            <w:noWrap/>
          </w:tcPr>
          <w:p w14:paraId="10D12A6F" w14:textId="77777777" w:rsidR="00553430" w:rsidRDefault="00212577">
            <w:pPr>
              <w:pStyle w:val="P68B1DB1-Normal76"/>
              <w:spacing w:after="200" w:line="276" w:lineRule="auto"/>
              <w:jc w:val="center"/>
              <w:rPr>
                <w:noProof/>
              </w:rPr>
            </w:pPr>
            <w:r>
              <w:rPr>
                <w:noProof/>
              </w:rPr>
              <w:t>23</w:t>
            </w:r>
          </w:p>
        </w:tc>
        <w:tc>
          <w:tcPr>
            <w:tcW w:w="756" w:type="dxa"/>
            <w:tcBorders>
              <w:top w:val="single" w:sz="4" w:space="0" w:color="auto"/>
              <w:left w:val="nil"/>
              <w:bottom w:val="single" w:sz="4" w:space="0" w:color="auto"/>
              <w:right w:val="single" w:sz="4" w:space="0" w:color="auto"/>
            </w:tcBorders>
            <w:shd w:val="clear" w:color="auto" w:fill="C6EFCE"/>
            <w:noWrap/>
          </w:tcPr>
          <w:p w14:paraId="43559B79" w14:textId="77777777" w:rsidR="00553430" w:rsidRDefault="00212577">
            <w:pPr>
              <w:pStyle w:val="P68B1DB1-Normal76"/>
              <w:spacing w:line="240" w:lineRule="auto"/>
              <w:jc w:val="center"/>
              <w:rPr>
                <w:noProof/>
              </w:rPr>
            </w:pPr>
            <w:r>
              <w:rPr>
                <w:noProof/>
              </w:rPr>
              <w:t>T2</w:t>
            </w:r>
          </w:p>
        </w:tc>
        <w:tc>
          <w:tcPr>
            <w:tcW w:w="993" w:type="dxa"/>
            <w:tcBorders>
              <w:top w:val="single" w:sz="4" w:space="0" w:color="auto"/>
              <w:left w:val="nil"/>
              <w:bottom w:val="single" w:sz="4" w:space="0" w:color="auto"/>
              <w:right w:val="single" w:sz="4" w:space="0" w:color="auto"/>
            </w:tcBorders>
            <w:shd w:val="clear" w:color="auto" w:fill="C6EFCE"/>
            <w:noWrap/>
          </w:tcPr>
          <w:p w14:paraId="463A3ECF" w14:textId="77777777" w:rsidR="00553430" w:rsidRDefault="00212577">
            <w:pPr>
              <w:pStyle w:val="P68B1DB1-Normal76"/>
              <w:spacing w:line="240" w:lineRule="auto"/>
              <w:jc w:val="center"/>
              <w:rPr>
                <w:noProof/>
              </w:rPr>
            </w:pPr>
            <w:r>
              <w:rPr>
                <w:noProof/>
              </w:rPr>
              <w:t>2026</w:t>
            </w:r>
          </w:p>
        </w:tc>
        <w:tc>
          <w:tcPr>
            <w:tcW w:w="4917" w:type="dxa"/>
            <w:tcBorders>
              <w:top w:val="single" w:sz="4" w:space="0" w:color="auto"/>
              <w:left w:val="nil"/>
              <w:bottom w:val="single" w:sz="4" w:space="0" w:color="auto"/>
              <w:right w:val="single" w:sz="4" w:space="0" w:color="auto"/>
            </w:tcBorders>
            <w:shd w:val="clear" w:color="auto" w:fill="C6EFCE"/>
            <w:noWrap/>
          </w:tcPr>
          <w:p w14:paraId="43885A79" w14:textId="77777777" w:rsidR="00553430" w:rsidRDefault="00212577">
            <w:pPr>
              <w:pStyle w:val="P68B1DB1-Normal66"/>
              <w:spacing w:after="200" w:line="276" w:lineRule="auto"/>
              <w:rPr>
                <w:noProof/>
              </w:rPr>
            </w:pPr>
            <w:r>
              <w:rPr>
                <w:noProof/>
              </w:rPr>
              <w:t xml:space="preserve">Au </w:t>
            </w:r>
            <w:r>
              <w:rPr>
                <w:noProof/>
              </w:rPr>
              <w:t>moins 7 km supplémentaires de cours d'eau restaurés.</w:t>
            </w:r>
          </w:p>
        </w:tc>
      </w:tr>
    </w:tbl>
    <w:p w14:paraId="6631F124" w14:textId="77777777" w:rsidR="00553430" w:rsidRDefault="00553430">
      <w:pPr>
        <w:pStyle w:val="paragraph"/>
        <w:spacing w:before="0" w:beforeAutospacing="0" w:after="0" w:afterAutospacing="0"/>
        <w:ind w:left="840"/>
        <w:jc w:val="both"/>
        <w:textAlignment w:val="baseline"/>
        <w:rPr>
          <w:rStyle w:val="eop"/>
          <w:noProof/>
        </w:rPr>
      </w:pPr>
    </w:p>
    <w:p w14:paraId="24FCD835" w14:textId="77777777" w:rsidR="00553430" w:rsidRDefault="00553430">
      <w:pPr>
        <w:pStyle w:val="paragraph"/>
        <w:spacing w:before="0" w:beforeAutospacing="0" w:after="0" w:afterAutospacing="0"/>
        <w:ind w:left="840"/>
        <w:jc w:val="both"/>
        <w:textAlignment w:val="baseline"/>
        <w:rPr>
          <w:rFonts w:ascii="Segoe UI" w:hAnsi="Segoe UI" w:cs="Segoe UI"/>
          <w:noProof/>
          <w:sz w:val="18"/>
          <w:szCs w:val="18"/>
        </w:rPr>
      </w:pPr>
    </w:p>
    <w:p w14:paraId="12FF32D6" w14:textId="77777777" w:rsidR="00553430" w:rsidRDefault="00553430">
      <w:pPr>
        <w:rPr>
          <w:noProof/>
        </w:rPr>
      </w:pPr>
    </w:p>
    <w:p w14:paraId="634DFD74" w14:textId="77777777" w:rsidR="00553430" w:rsidRDefault="00553430">
      <w:pPr>
        <w:rPr>
          <w:noProof/>
        </w:rPr>
        <w:sectPr w:rsidR="00553430" w:rsidSect="00FA29B2">
          <w:headerReference w:type="even" r:id="rId69"/>
          <w:headerReference w:type="default" r:id="rId70"/>
          <w:footerReference w:type="even" r:id="rId71"/>
          <w:footerReference w:type="default" r:id="rId72"/>
          <w:headerReference w:type="first" r:id="rId73"/>
          <w:footerReference w:type="first" r:id="rId74"/>
          <w:pgSz w:w="16838" w:h="11906" w:orient="landscape"/>
          <w:pgMar w:top="1134" w:right="1134" w:bottom="1134" w:left="1134" w:header="567" w:footer="567" w:gutter="0"/>
          <w:cols w:space="708"/>
          <w:docGrid w:linePitch="360"/>
        </w:sectPr>
      </w:pPr>
    </w:p>
    <w:p w14:paraId="42013072" w14:textId="77777777" w:rsidR="00553430" w:rsidRDefault="00212577">
      <w:pPr>
        <w:pStyle w:val="P68B1DB1-Normal32"/>
        <w:keepNext/>
        <w:tabs>
          <w:tab w:val="left" w:pos="850"/>
        </w:tabs>
        <w:spacing w:after="200" w:line="276" w:lineRule="auto"/>
        <w:ind w:left="850" w:hanging="850"/>
        <w:jc w:val="both"/>
        <w:outlineLvl w:val="0"/>
        <w:rPr>
          <w:noProof/>
        </w:rPr>
      </w:pPr>
      <w:r>
        <w:rPr>
          <w:noProof/>
        </w:rPr>
        <w:t>D. ÉLÉMENT 1.4: DÉVELOPPEMENT D'UN SYSTÈME DE TRANSPORT COMPÉTITIF, ÉNERGÉTIQUE, DURABLE ET EFFICACE</w:t>
      </w:r>
    </w:p>
    <w:p w14:paraId="42AC4F12" w14:textId="77777777" w:rsidR="00553430" w:rsidRDefault="00212577">
      <w:pPr>
        <w:pStyle w:val="P68B1DB1-Normal46"/>
        <w:spacing w:line="240" w:lineRule="auto"/>
        <w:jc w:val="both"/>
        <w:rPr>
          <w:rFonts w:eastAsia="Times New Roman"/>
          <w:noProof/>
        </w:rPr>
      </w:pPr>
      <w:r>
        <w:rPr>
          <w:noProof/>
        </w:rPr>
        <w:t>Le secteur des transports est l’un</w:t>
      </w:r>
      <w:r>
        <w:rPr>
          <w:noProof/>
        </w:rPr>
        <w:t xml:space="preserve"> des principaux émetteurs de gaz à effet de serre (GES) en Croatie, représentant 27 % des émissions totales en 2018, dont 71,6 % pour le transport routier de voyageurs, 24,7 % pour le transport routier de marchandises, 0,8 % pour le transport ferroviaire, </w:t>
      </w:r>
      <w:r>
        <w:rPr>
          <w:noProof/>
        </w:rPr>
        <w:t>2,4 % pour le transport maritime et fluvial et 0,5 % pour le trafic aérien intérieur. La modernisation des infrastructures de transport existantes au moyen d’investissements dans des types de transport durables sur le plan environnemental, efficaces, innov</w:t>
      </w:r>
      <w:r>
        <w:rPr>
          <w:noProof/>
        </w:rPr>
        <w:t>ants et compétitifs devrait jouer un rôle clé dans la mise en œuvre effective des transitions écologique et numérique.</w:t>
      </w:r>
    </w:p>
    <w:p w14:paraId="67622E38" w14:textId="77777777" w:rsidR="00553430" w:rsidRDefault="00212577">
      <w:pPr>
        <w:pStyle w:val="P68B1DB1-Normal83"/>
        <w:spacing w:line="240" w:lineRule="auto"/>
        <w:jc w:val="both"/>
        <w:rPr>
          <w:noProof/>
        </w:rPr>
      </w:pPr>
      <w:r>
        <w:rPr>
          <w:noProof/>
        </w:rPr>
        <w:t>L’objectif de ce volet du plan croate pour la reprise et la résilience est de développer un réseau de transport uniforme doté d’infrastru</w:t>
      </w:r>
      <w:r>
        <w:rPr>
          <w:noProof/>
        </w:rPr>
        <w:t>ctures ferroviaires et de transport public développées et d’intermodalité entre les différents modes de transport, d’augmenter la part des voitures particulières alimentées par des carburants alternatifs, de réduire les émissions de gaz à effet de serre et</w:t>
      </w:r>
      <w:r>
        <w:rPr>
          <w:noProof/>
        </w:rPr>
        <w:t xml:space="preserve"> l’empreinte environnementale du secteur des transports, ainsi que de favoriser la mobilité durable des personnes et des marchandises.</w:t>
      </w:r>
    </w:p>
    <w:p w14:paraId="3C93FB87" w14:textId="77777777" w:rsidR="00553430" w:rsidRDefault="00212577">
      <w:pPr>
        <w:pStyle w:val="P68B1DB1-Normal83"/>
        <w:spacing w:line="240" w:lineRule="auto"/>
        <w:jc w:val="both"/>
        <w:rPr>
          <w:noProof/>
        </w:rPr>
      </w:pPr>
      <w:r>
        <w:rPr>
          <w:noProof/>
        </w:rPr>
        <w:t>Ce volet comprend des réformes et des investissements dans tous les modes de transport (rail, route, maritime, aérien, pu</w:t>
      </w:r>
      <w:r>
        <w:rPr>
          <w:noProof/>
        </w:rPr>
        <w:t>blic, urbain et fluvial) et couvre toutes les régions de Croatie.</w:t>
      </w:r>
    </w:p>
    <w:p w14:paraId="14253413" w14:textId="77777777" w:rsidR="00553430" w:rsidRDefault="00212577">
      <w:pPr>
        <w:pStyle w:val="P68B1DB1-Normal83"/>
        <w:spacing w:line="240" w:lineRule="auto"/>
        <w:jc w:val="both"/>
        <w:rPr>
          <w:noProof/>
        </w:rPr>
      </w:pPr>
      <w:r>
        <w:rPr>
          <w:noProof/>
        </w:rPr>
        <w:t>Ces investissements et réformes contribuent à donner suite à la recommandation par pays adressée à la Croatie «sur la nécessité de concentrer les investissements sur les transitions écologiq</w:t>
      </w:r>
      <w:r>
        <w:rPr>
          <w:noProof/>
        </w:rPr>
        <w:t>ue et numérique» (recommandation par pays no 3, 2020) et «sur le transport urbain et ferroviaire durable» (recommandation par pays no 3, 2019).</w:t>
      </w:r>
    </w:p>
    <w:p w14:paraId="724B820F" w14:textId="77777777" w:rsidR="00553430" w:rsidRDefault="00212577">
      <w:pPr>
        <w:pStyle w:val="P68B1DB1-Normal83"/>
        <w:spacing w:line="240" w:lineRule="auto"/>
        <w:jc w:val="both"/>
        <w:rPr>
          <w:noProof/>
        </w:rPr>
      </w:pPr>
      <w:r>
        <w:rPr>
          <w:noProof/>
        </w:rPr>
        <w:t>Aucune mesure relevant de cette composante ne devrait causer de préjudice important aux objectifs environnementa</w:t>
      </w:r>
      <w:r>
        <w:rPr>
          <w:noProof/>
        </w:rPr>
        <w:t>ux au sens de l’article 17 du règlement (UE) 2020/852, compte tenu de la description des mesures et des mesures d’atténuation énoncées dans le plan pour la reprise et la résilience conformément aux orientations techniques DNSH (2021/C58/01).</w:t>
      </w:r>
    </w:p>
    <w:p w14:paraId="55C96C63" w14:textId="77777777" w:rsidR="00553430" w:rsidRDefault="00212577">
      <w:pPr>
        <w:pStyle w:val="P68B1DB1-Normal57"/>
        <w:keepNext/>
        <w:spacing w:after="200" w:line="240" w:lineRule="auto"/>
        <w:ind w:left="851"/>
        <w:jc w:val="both"/>
        <w:outlineLvl w:val="1"/>
        <w:rPr>
          <w:rFonts w:eastAsia="Calibri"/>
          <w:noProof/>
        </w:rPr>
      </w:pPr>
      <w:r>
        <w:rPr>
          <w:noProof/>
        </w:rPr>
        <w:t xml:space="preserve">D.1. </w:t>
      </w:r>
      <w:r>
        <w:rPr>
          <w:noProof/>
        </w:rPr>
        <w:tab/>
        <w:t>Descript</w:t>
      </w:r>
      <w:r>
        <w:rPr>
          <w:noProof/>
        </w:rPr>
        <w:t>ion des réformes et des investissements pour le soutien financier non remboursable</w:t>
      </w:r>
    </w:p>
    <w:p w14:paraId="2B500462" w14:textId="77777777" w:rsidR="00553430" w:rsidRDefault="00212577">
      <w:pPr>
        <w:pStyle w:val="P68B1DB1-Normal96"/>
        <w:keepNext/>
        <w:tabs>
          <w:tab w:val="num" w:pos="850"/>
        </w:tabs>
        <w:spacing w:after="200" w:line="240" w:lineRule="auto"/>
        <w:ind w:left="851"/>
        <w:jc w:val="both"/>
        <w:outlineLvl w:val="2"/>
        <w:rPr>
          <w:rFonts w:eastAsia="Calibri"/>
          <w:noProof/>
        </w:rPr>
      </w:pPr>
      <w:r>
        <w:rPr>
          <w:noProof/>
        </w:rPr>
        <w:t>Réforme C1.4 R1 – Réforme du secteur routier</w:t>
      </w:r>
    </w:p>
    <w:p w14:paraId="37C4E517" w14:textId="77777777" w:rsidR="00553430" w:rsidRDefault="00212577">
      <w:pPr>
        <w:pStyle w:val="P68B1DB1-Normal83"/>
        <w:spacing w:line="240" w:lineRule="auto"/>
        <w:jc w:val="both"/>
        <w:rPr>
          <w:noProof/>
        </w:rPr>
      </w:pPr>
      <w:r>
        <w:rPr>
          <w:noProof/>
        </w:rPr>
        <w:t xml:space="preserve">L'objectif de la réforme est de réduire les coûts d'exploitation des entreprises, d'aligner les obligations financières sur les </w:t>
      </w:r>
      <w:r>
        <w:rPr>
          <w:noProof/>
        </w:rPr>
        <w:t>flux de trésorerie, d'accroître la sécurité routière et ainsi de réduire la mortalité routière. L'introduction d'un nouveau système de péage routier devrait réduire les émissions de gaz à effet de serre en supprimant les goulets d'étranglement et les endro</w:t>
      </w:r>
      <w:r>
        <w:rPr>
          <w:noProof/>
        </w:rPr>
        <w:t>its dangereux sur les routes. Dans le cadre de cette réforme, la législation régissant le secteur routier sera mise à jour par l'entrée en vigueur de l'amendement à la loi sur les routes.</w:t>
      </w:r>
    </w:p>
    <w:p w14:paraId="179573C2" w14:textId="77777777" w:rsidR="00553430" w:rsidRDefault="00212577">
      <w:pPr>
        <w:pStyle w:val="P68B1DB1-Normal83"/>
        <w:spacing w:after="200" w:line="240" w:lineRule="auto"/>
        <w:jc w:val="both"/>
        <w:rPr>
          <w:rFonts w:eastAsia="Calibri"/>
          <w:noProof/>
        </w:rPr>
      </w:pPr>
      <w:r>
        <w:rPr>
          <w:noProof/>
        </w:rPr>
        <w:t>La réforme est achevée au plus tard le 31 décembre 2025.</w:t>
      </w:r>
    </w:p>
    <w:p w14:paraId="5B868921" w14:textId="77777777" w:rsidR="00553430" w:rsidRDefault="00212577">
      <w:pPr>
        <w:pStyle w:val="P68B1DB1-Normal82"/>
        <w:keepNext/>
        <w:tabs>
          <w:tab w:val="num" w:pos="850"/>
        </w:tabs>
        <w:spacing w:after="200" w:line="240" w:lineRule="auto"/>
        <w:ind w:left="851"/>
        <w:jc w:val="both"/>
        <w:outlineLvl w:val="2"/>
        <w:rPr>
          <w:rFonts w:eastAsia="Calibri"/>
          <w:noProof/>
        </w:rPr>
      </w:pPr>
      <w:r>
        <w:rPr>
          <w:noProof/>
        </w:rPr>
        <w:t>Investissement C1.4 R1-I2 – Améliorer le système d’exercice des droits des personnes handicapées dans le domaine de la mobilité</w:t>
      </w:r>
    </w:p>
    <w:p w14:paraId="5347A4E8" w14:textId="77777777" w:rsidR="00553430" w:rsidRDefault="00212577">
      <w:pPr>
        <w:pStyle w:val="P68B1DB1-Normal83"/>
        <w:spacing w:line="240" w:lineRule="auto"/>
        <w:jc w:val="both"/>
        <w:rPr>
          <w:noProof/>
        </w:rPr>
      </w:pPr>
      <w:r>
        <w:rPr>
          <w:noProof/>
        </w:rPr>
        <w:t>L’investissement vise à permettre aux personnes handicapées d’exercer plus rapidement et plus facilement leurs droits dans le do</w:t>
      </w:r>
      <w:r>
        <w:rPr>
          <w:noProof/>
        </w:rPr>
        <w:t>maine de la mobilité en introduisant un document unique pour les personnes handicapées leur permettant d’exercer tous leurs droits à la mobilité, à simplifier l’environnement administratif pour les utilisateurs finaux de services publics numériques dans le</w:t>
      </w:r>
      <w:r>
        <w:rPr>
          <w:noProof/>
        </w:rPr>
        <w:t xml:space="preserve"> domaine de la mobilité et à améliorer l’accès des personnes handicapées aux services publics numériques. L’investissement vise également à renforcer la protection des données à caractère personnel des utilisateurs et à harmoniser les pratiques décisionnel</w:t>
      </w:r>
      <w:r>
        <w:rPr>
          <w:noProof/>
        </w:rPr>
        <w:t>les affectant les droits des personnes handicapées dans le domaine de la mobilité. L'investissement devrait permettre aux institutions de l'État de surveiller plus facilement et de manière plus complète les droits acquis et de garantir un accès public effi</w:t>
      </w:r>
      <w:r>
        <w:rPr>
          <w:noProof/>
        </w:rPr>
        <w:t>cace à toutes les données. L'investissement devrait réduire les coûts de main-d'œuvre des employés des services publics et locaux de 15 % à 35 %.</w:t>
      </w:r>
    </w:p>
    <w:p w14:paraId="7E8E4406" w14:textId="77777777" w:rsidR="00553430" w:rsidRDefault="00212577">
      <w:pPr>
        <w:pStyle w:val="P68B1DB1-Normal83"/>
        <w:spacing w:after="200" w:line="240" w:lineRule="auto"/>
        <w:jc w:val="both"/>
        <w:rPr>
          <w:rFonts w:eastAsia="Calibri"/>
          <w:noProof/>
        </w:rPr>
      </w:pPr>
      <w:r>
        <w:rPr>
          <w:noProof/>
        </w:rPr>
        <w:t>L’investissement est achevé au plus tard le 31 décembre 2023.</w:t>
      </w:r>
    </w:p>
    <w:p w14:paraId="32D4A207" w14:textId="77777777" w:rsidR="00553430" w:rsidRDefault="00212577">
      <w:pPr>
        <w:pStyle w:val="P68B1DB1-Normal82"/>
        <w:keepNext/>
        <w:tabs>
          <w:tab w:val="num" w:pos="850"/>
        </w:tabs>
        <w:spacing w:after="200" w:line="240" w:lineRule="auto"/>
        <w:ind w:left="851"/>
        <w:jc w:val="both"/>
        <w:outlineLvl w:val="2"/>
        <w:rPr>
          <w:rFonts w:eastAsia="Calibri"/>
          <w:noProof/>
        </w:rPr>
      </w:pPr>
      <w:r>
        <w:rPr>
          <w:noProof/>
        </w:rPr>
        <w:t xml:space="preserve">Investissement C1.4 R1-I3 – Système national de </w:t>
      </w:r>
      <w:r>
        <w:rPr>
          <w:noProof/>
        </w:rPr>
        <w:t>stockage électronique et d’échange de données dans le domaine du transport routier (NSCP)</w:t>
      </w:r>
    </w:p>
    <w:p w14:paraId="2258A629" w14:textId="77777777" w:rsidR="00553430" w:rsidRDefault="00212577">
      <w:pPr>
        <w:pStyle w:val="P68B1DB1-Normal83"/>
        <w:spacing w:line="240" w:lineRule="auto"/>
        <w:jc w:val="both"/>
        <w:rPr>
          <w:noProof/>
        </w:rPr>
      </w:pPr>
      <w:r>
        <w:rPr>
          <w:noProof/>
        </w:rPr>
        <w:t>L’objectif de l’investissement est d’accroître l’efficacité et la durabilité du transport routier.</w:t>
      </w:r>
    </w:p>
    <w:p w14:paraId="3DEB2E8A" w14:textId="77777777" w:rsidR="00553430" w:rsidRDefault="00212577">
      <w:pPr>
        <w:pStyle w:val="P68B1DB1-Normal83"/>
        <w:spacing w:line="240" w:lineRule="auto"/>
        <w:jc w:val="both"/>
        <w:rPr>
          <w:noProof/>
        </w:rPr>
      </w:pPr>
      <w:r>
        <w:rPr>
          <w:noProof/>
        </w:rPr>
        <w:t>L’investissement consiste en la mise en place du système national d</w:t>
      </w:r>
      <w:r>
        <w:rPr>
          <w:noProof/>
        </w:rPr>
        <w:t xml:space="preserve">e stockage électronique et d’échange de données dans le domaine du transport routier (NSCP). </w:t>
      </w:r>
    </w:p>
    <w:p w14:paraId="02652E17" w14:textId="77777777" w:rsidR="00553430" w:rsidRDefault="00212577">
      <w:pPr>
        <w:pStyle w:val="P68B1DB1-Normal82"/>
        <w:keepNext/>
        <w:tabs>
          <w:tab w:val="num" w:pos="850"/>
        </w:tabs>
        <w:spacing w:after="200" w:line="240" w:lineRule="auto"/>
        <w:ind w:left="851"/>
        <w:jc w:val="both"/>
        <w:outlineLvl w:val="2"/>
        <w:rPr>
          <w:rFonts w:eastAsia="Calibri"/>
          <w:noProof/>
        </w:rPr>
      </w:pPr>
      <w:r>
        <w:rPr>
          <w:noProof/>
        </w:rPr>
        <w:t>Investissement C1.4 R1-I4 – Système de contrôle des déclarations pour le transport routier de voyageurs et de marchandises</w:t>
      </w:r>
    </w:p>
    <w:p w14:paraId="7EA5E68B" w14:textId="77777777" w:rsidR="00553430" w:rsidRDefault="00212577">
      <w:pPr>
        <w:pStyle w:val="P68B1DB1-Normal83"/>
        <w:spacing w:after="200" w:line="240" w:lineRule="auto"/>
        <w:jc w:val="both"/>
        <w:rPr>
          <w:rFonts w:eastAsia="Calibri"/>
          <w:noProof/>
        </w:rPr>
      </w:pPr>
      <w:r>
        <w:rPr>
          <w:noProof/>
        </w:rPr>
        <w:t>L’objectif de l’investissement est d’ac</w:t>
      </w:r>
      <w:r>
        <w:rPr>
          <w:noProof/>
        </w:rPr>
        <w:t>croître la sécurité routière en mettant en place un système fonctionnel de contrôle des rapports pour le transport routier de voyageurs et de marchandises. Le système de contrôle des déclarations relie les données du système central de traitement des tachy</w:t>
      </w:r>
      <w:r>
        <w:rPr>
          <w:noProof/>
        </w:rPr>
        <w:t>graphes (SOTAH) aux enregistrements nationaux des cartes tachygraphiques et aux enregistrements connexes sous la responsabilité du ministère de la mer, des transports et des infrastructures de la République de Croatie, et contribue à la numérisation du sec</w:t>
      </w:r>
      <w:r>
        <w:rPr>
          <w:noProof/>
        </w:rPr>
        <w:t>teur croate des transports.</w:t>
      </w:r>
    </w:p>
    <w:p w14:paraId="3D8A598F" w14:textId="77777777" w:rsidR="00553430" w:rsidRDefault="00212577">
      <w:pPr>
        <w:pStyle w:val="P68B1DB1-Normal83"/>
        <w:spacing w:after="200" w:line="240" w:lineRule="auto"/>
        <w:jc w:val="both"/>
        <w:rPr>
          <w:rFonts w:eastAsia="Calibri"/>
          <w:noProof/>
        </w:rPr>
      </w:pPr>
      <w:r>
        <w:rPr>
          <w:noProof/>
        </w:rPr>
        <w:t>L’investissement est achevé au plus tard le 31 décembre 2024.</w:t>
      </w:r>
    </w:p>
    <w:p w14:paraId="7F9AA57A" w14:textId="77777777" w:rsidR="00553430" w:rsidRDefault="00212577">
      <w:pPr>
        <w:pStyle w:val="P68B1DB1-Normal82"/>
        <w:keepNext/>
        <w:tabs>
          <w:tab w:val="num" w:pos="850"/>
        </w:tabs>
        <w:spacing w:after="200" w:line="240" w:lineRule="auto"/>
        <w:ind w:left="851"/>
        <w:jc w:val="both"/>
        <w:outlineLvl w:val="2"/>
        <w:rPr>
          <w:rFonts w:eastAsia="Calibri"/>
          <w:noProof/>
        </w:rPr>
      </w:pPr>
      <w:r>
        <w:rPr>
          <w:noProof/>
        </w:rPr>
        <w:t>Investissement C1.4 R1-I5 – Surveillance du transport des marchandises dangereuses par route (e-ADR)</w:t>
      </w:r>
    </w:p>
    <w:p w14:paraId="6ACB340D" w14:textId="77777777" w:rsidR="00553430" w:rsidRDefault="00212577">
      <w:pPr>
        <w:pStyle w:val="P68B1DB1-Normal83"/>
        <w:spacing w:line="240" w:lineRule="auto"/>
        <w:jc w:val="both"/>
        <w:rPr>
          <w:noProof/>
        </w:rPr>
      </w:pPr>
      <w:r>
        <w:rPr>
          <w:noProof/>
        </w:rPr>
        <w:t>L'objectif de l'investissement est d'améliorer le transport de ma</w:t>
      </w:r>
      <w:r>
        <w:rPr>
          <w:noProof/>
        </w:rPr>
        <w:t>rchandises dangereuses par route.</w:t>
      </w:r>
    </w:p>
    <w:p w14:paraId="1098C4F2" w14:textId="198E7B07" w:rsidR="00553430" w:rsidRDefault="00212577">
      <w:pPr>
        <w:pStyle w:val="P68B1DB1-Normal83"/>
        <w:spacing w:line="240" w:lineRule="auto"/>
        <w:jc w:val="both"/>
        <w:rPr>
          <w:noProof/>
        </w:rPr>
      </w:pPr>
      <w:r>
        <w:rPr>
          <w:noProof/>
        </w:rPr>
        <w:t>L'investissement consiste en la mise en place d'un système de surveillance du transport de marchandises dangereuses par route (e-ADR).</w:t>
      </w:r>
    </w:p>
    <w:p w14:paraId="4FC832E2" w14:textId="77777777" w:rsidR="00553430" w:rsidRDefault="00212577">
      <w:pPr>
        <w:pStyle w:val="P68B1DB1-Normal82"/>
        <w:keepNext/>
        <w:tabs>
          <w:tab w:val="num" w:pos="850"/>
        </w:tabs>
        <w:spacing w:after="200" w:line="240" w:lineRule="auto"/>
        <w:ind w:left="851"/>
        <w:jc w:val="both"/>
        <w:outlineLvl w:val="2"/>
        <w:rPr>
          <w:rFonts w:eastAsia="Calibri"/>
          <w:noProof/>
        </w:rPr>
      </w:pPr>
      <w:r>
        <w:rPr>
          <w:noProof/>
        </w:rPr>
        <w:t>Réforme C1.4 R2 – Réforme du secteur ferroviaire</w:t>
      </w:r>
    </w:p>
    <w:p w14:paraId="4E54E011" w14:textId="77777777" w:rsidR="00553430" w:rsidRDefault="00212577">
      <w:pPr>
        <w:pStyle w:val="P68B1DB1-Normal46"/>
        <w:spacing w:line="240" w:lineRule="auto"/>
        <w:jc w:val="both"/>
        <w:rPr>
          <w:rFonts w:eastAsia="Times New Roman"/>
          <w:noProof/>
        </w:rPr>
      </w:pPr>
      <w:r>
        <w:rPr>
          <w:noProof/>
        </w:rPr>
        <w:t>La réforme vise à accroître la compéti</w:t>
      </w:r>
      <w:r>
        <w:rPr>
          <w:noProof/>
        </w:rPr>
        <w:t>tivité et l’efficacité du secteur ferroviaire afin de fournir de meilleurs services aux passagers et aux clients du fret et d’accroître la compétitivité économique de la Croatie. Pour étayer la réforme, le gouvernement croate adopte une lettre de politique</w:t>
      </w:r>
      <w:r>
        <w:rPr>
          <w:noProof/>
        </w:rPr>
        <w:t xml:space="preserve"> sectorielle pour le secteur ferroviaire au plus tard le 30 juin 2021, présentant la voie à suivre dans des domaines clés liés à la réforme et à la modernisation du secteur ferroviaire, et établissant des plans de mise en œuvre pour le gouvernement et les </w:t>
      </w:r>
      <w:r>
        <w:rPr>
          <w:noProof/>
        </w:rPr>
        <w:t>entreprises ferroviaires, y compris des mesures et des actions détaillées en ce qui concerne:</w:t>
      </w:r>
    </w:p>
    <w:p w14:paraId="2924CF75" w14:textId="77777777" w:rsidR="00553430" w:rsidRDefault="00212577">
      <w:pPr>
        <w:pStyle w:val="P68B1DB1-ListParagraph101"/>
        <w:numPr>
          <w:ilvl w:val="0"/>
          <w:numId w:val="50"/>
        </w:numPr>
        <w:spacing w:before="120" w:after="120" w:line="240" w:lineRule="auto"/>
        <w:jc w:val="both"/>
        <w:rPr>
          <w:rFonts w:eastAsia="Calibri"/>
          <w:noProof/>
        </w:rPr>
      </w:pPr>
      <w:r>
        <w:rPr>
          <w:noProof/>
        </w:rPr>
        <w:t>La gouvernance du secteur;</w:t>
      </w:r>
    </w:p>
    <w:p w14:paraId="043788D5" w14:textId="77777777" w:rsidR="00553430" w:rsidRDefault="00212577">
      <w:pPr>
        <w:pStyle w:val="P68B1DB1-ListParagraph43"/>
        <w:numPr>
          <w:ilvl w:val="0"/>
          <w:numId w:val="50"/>
        </w:numPr>
        <w:spacing w:before="120" w:after="120" w:line="240" w:lineRule="auto"/>
        <w:jc w:val="both"/>
        <w:rPr>
          <w:noProof/>
        </w:rPr>
      </w:pPr>
      <w:r>
        <w:rPr>
          <w:noProof/>
        </w:rPr>
        <w:t>La gestion des compagnies et des opérations ferroviaires;</w:t>
      </w:r>
    </w:p>
    <w:p w14:paraId="6189183C" w14:textId="77777777" w:rsidR="00553430" w:rsidRDefault="00212577">
      <w:pPr>
        <w:pStyle w:val="P68B1DB1-ListParagraph43"/>
        <w:numPr>
          <w:ilvl w:val="0"/>
          <w:numId w:val="50"/>
        </w:numPr>
        <w:spacing w:before="120" w:after="120" w:line="240" w:lineRule="auto"/>
        <w:jc w:val="both"/>
        <w:rPr>
          <w:noProof/>
        </w:rPr>
      </w:pPr>
      <w:r>
        <w:rPr>
          <w:noProof/>
        </w:rPr>
        <w:t>Planification sectorielle des investissements et du financement;</w:t>
      </w:r>
    </w:p>
    <w:p w14:paraId="6373B33A" w14:textId="77777777" w:rsidR="00553430" w:rsidRDefault="00212577">
      <w:pPr>
        <w:pStyle w:val="P68B1DB1-ListParagraph43"/>
        <w:numPr>
          <w:ilvl w:val="0"/>
          <w:numId w:val="50"/>
        </w:numPr>
        <w:spacing w:before="120" w:after="120" w:line="240" w:lineRule="auto"/>
        <w:jc w:val="both"/>
        <w:rPr>
          <w:noProof/>
        </w:rPr>
      </w:pPr>
      <w:r>
        <w:rPr>
          <w:noProof/>
        </w:rPr>
        <w:t>Développemen</w:t>
      </w:r>
      <w:r>
        <w:rPr>
          <w:noProof/>
        </w:rPr>
        <w:t>t des connaissances, des technologies et des compétences dans le secteur ferroviaire.</w:t>
      </w:r>
    </w:p>
    <w:p w14:paraId="68AF9474" w14:textId="77777777" w:rsidR="00553430" w:rsidRDefault="00212577">
      <w:pPr>
        <w:pStyle w:val="P68B1DB1-Normal83"/>
        <w:spacing w:after="200" w:line="240" w:lineRule="auto"/>
        <w:jc w:val="both"/>
        <w:rPr>
          <w:rFonts w:eastAsia="Calibri"/>
          <w:noProof/>
        </w:rPr>
      </w:pPr>
      <w:r>
        <w:rPr>
          <w:noProof/>
        </w:rPr>
        <w:t>La réforme est achevée au plus tard le 31 décembre 2025.</w:t>
      </w:r>
    </w:p>
    <w:p w14:paraId="32DF24EC" w14:textId="77777777" w:rsidR="00553430" w:rsidRDefault="00212577">
      <w:pPr>
        <w:pStyle w:val="P68B1DB1-Normal82"/>
        <w:keepNext/>
        <w:tabs>
          <w:tab w:val="num" w:pos="850"/>
        </w:tabs>
        <w:spacing w:after="200" w:line="240" w:lineRule="auto"/>
        <w:ind w:left="851"/>
        <w:jc w:val="both"/>
        <w:outlineLvl w:val="2"/>
        <w:rPr>
          <w:rFonts w:eastAsia="Calibri"/>
          <w:noProof/>
        </w:rPr>
      </w:pPr>
      <w:r>
        <w:rPr>
          <w:noProof/>
        </w:rPr>
        <w:t>Investissement C1.4 R2-I3 – Suppression des goulets d’étranglement dans l’infrastructure ferroviaire</w:t>
      </w:r>
    </w:p>
    <w:p w14:paraId="35983219" w14:textId="77777777" w:rsidR="00553430" w:rsidRDefault="00212577">
      <w:pPr>
        <w:pStyle w:val="P68B1DB1-Normal83"/>
        <w:spacing w:after="200" w:line="240" w:lineRule="auto"/>
        <w:jc w:val="both"/>
        <w:rPr>
          <w:noProof/>
        </w:rPr>
      </w:pPr>
      <w:r>
        <w:rPr>
          <w:noProof/>
        </w:rPr>
        <w:t xml:space="preserve">L’objectif de l’investissement est de remédier aux goulets d’étranglement dans le réseau ferroviaire croate. </w:t>
      </w:r>
    </w:p>
    <w:p w14:paraId="2AC6C40C" w14:textId="77777777" w:rsidR="00553430" w:rsidRDefault="00212577">
      <w:pPr>
        <w:pStyle w:val="P68B1DB1-Normal83"/>
        <w:spacing w:after="200" w:line="240" w:lineRule="auto"/>
        <w:jc w:val="both"/>
        <w:rPr>
          <w:rFonts w:eastAsia="Calibri"/>
          <w:noProof/>
        </w:rPr>
      </w:pPr>
      <w:r>
        <w:rPr>
          <w:noProof/>
        </w:rPr>
        <w:t xml:space="preserve">L’investissement consiste à supprimer cinq goulets d’étranglement sur le réseau ferroviaire croate. </w:t>
      </w:r>
    </w:p>
    <w:p w14:paraId="265BC778" w14:textId="77777777" w:rsidR="00553430" w:rsidRDefault="00212577">
      <w:pPr>
        <w:pStyle w:val="P68B1DB1-Normal82"/>
        <w:keepNext/>
        <w:tabs>
          <w:tab w:val="num" w:pos="850"/>
        </w:tabs>
        <w:spacing w:after="200" w:line="240" w:lineRule="auto"/>
        <w:ind w:left="851"/>
        <w:jc w:val="both"/>
        <w:outlineLvl w:val="2"/>
        <w:rPr>
          <w:rFonts w:eastAsia="Calibri"/>
          <w:noProof/>
        </w:rPr>
      </w:pPr>
      <w:r>
        <w:rPr>
          <w:noProof/>
        </w:rPr>
        <w:t xml:space="preserve">Investissement C1.4 R2-I4 – Modernisation de </w:t>
      </w:r>
      <w:r>
        <w:rPr>
          <w:noProof/>
        </w:rPr>
        <w:t>Zagreb Kustošija – Zagreb ZK – Zagreb GK</w:t>
      </w:r>
    </w:p>
    <w:p w14:paraId="2A000888" w14:textId="77777777" w:rsidR="00553430" w:rsidRDefault="00212577">
      <w:pPr>
        <w:pStyle w:val="P68B1DB1-Normal83"/>
        <w:spacing w:after="200" w:line="240" w:lineRule="auto"/>
        <w:jc w:val="both"/>
        <w:rPr>
          <w:rFonts w:eastAsia="Calibri"/>
          <w:noProof/>
        </w:rPr>
      </w:pPr>
      <w:r>
        <w:rPr>
          <w:noProof/>
        </w:rPr>
        <w:t>L’objectif de l’investissement est de moderniser le tronçon ferroviaire de Zagreb Kustošija – Zagreb Zapadni Kolodvor – Zagreb Glavni Kolodvor, d’améliorer la qualité et la disponibilité du transport ferroviaire loc</w:t>
      </w:r>
      <w:r>
        <w:rPr>
          <w:noProof/>
        </w:rPr>
        <w:t>al et régional de voyageurs, de mieux intégrer les chemins de fer dans le système de transport public de la ville de Zagreb, ainsi que d’augmenter la part du rail et des transports publics locaux dans la zone plus large de la ville de Zagreb. Le projet con</w:t>
      </w:r>
      <w:r>
        <w:rPr>
          <w:noProof/>
        </w:rPr>
        <w:t>tribue à la réalisation de l’objectif consistant à achever le réseau central RTE-T au plus tard le 31 décembre 2030.</w:t>
      </w:r>
    </w:p>
    <w:p w14:paraId="5E541D40" w14:textId="77777777" w:rsidR="00553430" w:rsidRDefault="00212577">
      <w:pPr>
        <w:pStyle w:val="P68B1DB1-Normal83"/>
        <w:spacing w:after="200" w:line="240" w:lineRule="auto"/>
        <w:jc w:val="both"/>
        <w:rPr>
          <w:rFonts w:eastAsia="Calibri"/>
          <w:noProof/>
        </w:rPr>
      </w:pPr>
      <w:r>
        <w:rPr>
          <w:noProof/>
        </w:rPr>
        <w:t>L’investissement est achevé au plus tard le 31 décembre 2024.</w:t>
      </w:r>
    </w:p>
    <w:p w14:paraId="5BF303E7" w14:textId="77777777" w:rsidR="00553430" w:rsidRDefault="00212577">
      <w:pPr>
        <w:pStyle w:val="P68B1DB1-Normal82"/>
        <w:keepNext/>
        <w:tabs>
          <w:tab w:val="num" w:pos="850"/>
        </w:tabs>
        <w:spacing w:after="200" w:line="240" w:lineRule="auto"/>
        <w:ind w:left="851"/>
        <w:jc w:val="both"/>
        <w:outlineLvl w:val="2"/>
        <w:rPr>
          <w:rFonts w:eastAsia="Calibri"/>
          <w:noProof/>
        </w:rPr>
      </w:pPr>
      <w:r>
        <w:rPr>
          <w:noProof/>
        </w:rPr>
        <w:t>Investissement C1.4 R2-I6 – Utilisation des technologies vertes dans le trans</w:t>
      </w:r>
      <w:r>
        <w:rPr>
          <w:noProof/>
        </w:rPr>
        <w:t>port ferroviaire de voyageurs</w:t>
      </w:r>
    </w:p>
    <w:p w14:paraId="14E9A517" w14:textId="77777777" w:rsidR="00553430" w:rsidRDefault="00212577">
      <w:pPr>
        <w:pStyle w:val="P68B1DB1-Normal83"/>
        <w:spacing w:after="200" w:line="240" w:lineRule="auto"/>
        <w:jc w:val="both"/>
        <w:rPr>
          <w:noProof/>
        </w:rPr>
      </w:pPr>
      <w:r>
        <w:rPr>
          <w:noProof/>
        </w:rPr>
        <w:t xml:space="preserve">L’objectif de l’investissement est d’accroître le transport ferroviaire de voyageurs sur des lignes non électrifiées. </w:t>
      </w:r>
    </w:p>
    <w:p w14:paraId="626F139C" w14:textId="77777777" w:rsidR="00553430" w:rsidRDefault="00212577">
      <w:pPr>
        <w:pStyle w:val="P68B1DB1-Normal83"/>
        <w:spacing w:after="200" w:line="240" w:lineRule="auto"/>
        <w:jc w:val="both"/>
        <w:rPr>
          <w:rFonts w:eastAsia="Calibri"/>
          <w:noProof/>
        </w:rPr>
      </w:pPr>
      <w:r>
        <w:rPr>
          <w:noProof/>
        </w:rPr>
        <w:t>L'investissement consiste en deux prototypes de trains à batterie produits.</w:t>
      </w:r>
    </w:p>
    <w:p w14:paraId="5A50209C" w14:textId="77777777" w:rsidR="00553430" w:rsidRDefault="00212577">
      <w:pPr>
        <w:pStyle w:val="P68B1DB1-Normal82"/>
        <w:keepNext/>
        <w:tabs>
          <w:tab w:val="num" w:pos="850"/>
        </w:tabs>
        <w:spacing w:after="200" w:line="240" w:lineRule="auto"/>
        <w:ind w:left="851"/>
        <w:jc w:val="both"/>
        <w:outlineLvl w:val="2"/>
        <w:rPr>
          <w:rFonts w:eastAsia="Calibri"/>
          <w:noProof/>
        </w:rPr>
      </w:pPr>
      <w:r>
        <w:rPr>
          <w:noProof/>
        </w:rPr>
        <w:t>Investissement C1.4 R2-I7 – Mod</w:t>
      </w:r>
      <w:r>
        <w:rPr>
          <w:noProof/>
        </w:rPr>
        <w:t>ernisation des systèmes informatiques</w:t>
      </w:r>
    </w:p>
    <w:p w14:paraId="4EFFF1D0" w14:textId="77777777" w:rsidR="00553430" w:rsidRDefault="00212577">
      <w:pPr>
        <w:pStyle w:val="P68B1DB1-Normal83"/>
        <w:spacing w:after="200" w:line="240" w:lineRule="auto"/>
        <w:jc w:val="both"/>
        <w:rPr>
          <w:noProof/>
        </w:rPr>
      </w:pPr>
      <w:r>
        <w:rPr>
          <w:noProof/>
        </w:rPr>
        <w:t>L'objectif de l'investissement est d'améliorer la qualité des services ferroviaires.</w:t>
      </w:r>
    </w:p>
    <w:p w14:paraId="4BEC9D0A" w14:textId="77777777" w:rsidR="00553430" w:rsidRDefault="00212577">
      <w:pPr>
        <w:pStyle w:val="P68B1DB1-Normal83"/>
        <w:spacing w:after="200" w:line="240" w:lineRule="auto"/>
        <w:jc w:val="both"/>
        <w:rPr>
          <w:noProof/>
        </w:rPr>
      </w:pPr>
      <w:r>
        <w:rPr>
          <w:noProof/>
        </w:rPr>
        <w:t>L’investissement consiste en la modernisation</w:t>
      </w:r>
      <w:r>
        <w:rPr>
          <w:noProof/>
          <w:u w:val="single"/>
        </w:rPr>
        <w:t xml:space="preserve"> </w:t>
      </w:r>
      <w:r>
        <w:rPr>
          <w:noProof/>
        </w:rPr>
        <w:t xml:space="preserve">des systèmes informatiques de transport de passagers de HŽ. </w:t>
      </w:r>
    </w:p>
    <w:p w14:paraId="4F5178BA" w14:textId="77777777" w:rsidR="00553430" w:rsidRDefault="00212577">
      <w:pPr>
        <w:pStyle w:val="P68B1DB1-Normal82"/>
        <w:keepNext/>
        <w:tabs>
          <w:tab w:val="num" w:pos="850"/>
        </w:tabs>
        <w:spacing w:after="200" w:line="240" w:lineRule="auto"/>
        <w:ind w:left="851"/>
        <w:jc w:val="both"/>
        <w:outlineLvl w:val="2"/>
        <w:rPr>
          <w:rFonts w:eastAsia="Calibri"/>
          <w:noProof/>
        </w:rPr>
      </w:pPr>
      <w:r>
        <w:rPr>
          <w:noProof/>
        </w:rPr>
        <w:t xml:space="preserve">Réforme C1.4 R3 – Réforme </w:t>
      </w:r>
      <w:r>
        <w:rPr>
          <w:noProof/>
        </w:rPr>
        <w:t>de la navigation maritime et intérieure</w:t>
      </w:r>
    </w:p>
    <w:p w14:paraId="03914739" w14:textId="77777777" w:rsidR="00553430" w:rsidRDefault="00212577">
      <w:pPr>
        <w:pStyle w:val="P68B1DB1-Normal46"/>
        <w:spacing w:line="240" w:lineRule="auto"/>
        <w:jc w:val="both"/>
        <w:rPr>
          <w:rFonts w:eastAsia="Times New Roman"/>
          <w:noProof/>
        </w:rPr>
      </w:pPr>
      <w:r>
        <w:rPr>
          <w:noProof/>
        </w:rPr>
        <w:t>L’objectif de la réforme est le développement d’un transport maritime et fluvial durable et efficace qui contribue à accroître la sécurité de la navigation, à assurer la revitalisation des voies navigables intérieure</w:t>
      </w:r>
      <w:r>
        <w:rPr>
          <w:noProof/>
        </w:rPr>
        <w:t>s, à améliorer la connectivité des îles en matière de transport et à améliorer les infrastructures portuaires afin de réduire les incidences négatives du secteur des transports sur l’environnement. Dans le cadre de cette réforme, la nouvelle loi sur le tra</w:t>
      </w:r>
      <w:r>
        <w:rPr>
          <w:noProof/>
        </w:rPr>
        <w:t>nsport côtier régulier et saisonnier, la nouvelle loi sur le domaine maritime et les ports maritimes et la nouvelle loi sur la navigation intérieure et les ports entreront en vigueur.</w:t>
      </w:r>
    </w:p>
    <w:p w14:paraId="77660C67" w14:textId="77777777" w:rsidR="00553430" w:rsidRDefault="00212577">
      <w:pPr>
        <w:pStyle w:val="P68B1DB1-Normal83"/>
        <w:spacing w:after="200" w:line="240" w:lineRule="auto"/>
        <w:jc w:val="both"/>
        <w:rPr>
          <w:rFonts w:eastAsia="Calibri"/>
          <w:noProof/>
        </w:rPr>
      </w:pPr>
      <w:r>
        <w:rPr>
          <w:noProof/>
        </w:rPr>
        <w:t>La réforme est achevée au plus tard le 31 décembre 2022.</w:t>
      </w:r>
    </w:p>
    <w:p w14:paraId="20F6BC30" w14:textId="337F51CB" w:rsidR="00553430" w:rsidRDefault="00212577">
      <w:pPr>
        <w:pStyle w:val="P68B1DB1-Normal82"/>
        <w:keepNext/>
        <w:tabs>
          <w:tab w:val="num" w:pos="850"/>
        </w:tabs>
        <w:spacing w:after="200" w:line="240" w:lineRule="auto"/>
        <w:ind w:left="851"/>
        <w:jc w:val="both"/>
        <w:outlineLvl w:val="2"/>
        <w:rPr>
          <w:rFonts w:eastAsia="Calibri"/>
          <w:noProof/>
        </w:rPr>
      </w:pPr>
      <w:r>
        <w:rPr>
          <w:noProof/>
        </w:rPr>
        <w:t xml:space="preserve">Investissement </w:t>
      </w:r>
      <w:r>
        <w:rPr>
          <w:noProof/>
        </w:rPr>
        <w:t xml:space="preserve">C1.4 R3-I1 – Modernisation du port-ville de Split </w:t>
      </w:r>
    </w:p>
    <w:p w14:paraId="349E3F27" w14:textId="77777777" w:rsidR="00553430" w:rsidRDefault="00212577">
      <w:pPr>
        <w:pStyle w:val="P68B1DB1-Normal83"/>
        <w:spacing w:after="200" w:line="240" w:lineRule="auto"/>
        <w:jc w:val="both"/>
        <w:rPr>
          <w:noProof/>
        </w:rPr>
      </w:pPr>
      <w:r>
        <w:rPr>
          <w:noProof/>
        </w:rPr>
        <w:t xml:space="preserve">L'objectif de l'investissement est de moderniser les infrastructures portuaires et d'améliorer la qualité du transport maritime public. </w:t>
      </w:r>
    </w:p>
    <w:p w14:paraId="35E97A1C" w14:textId="3671961D" w:rsidR="00553430" w:rsidRDefault="00212577">
      <w:pPr>
        <w:pStyle w:val="P68B1DB1-Normal83"/>
        <w:spacing w:after="200" w:line="240" w:lineRule="auto"/>
        <w:jc w:val="both"/>
        <w:rPr>
          <w:rFonts w:eastAsia="Calibri"/>
          <w:noProof/>
        </w:rPr>
      </w:pPr>
      <w:r>
        <w:rPr>
          <w:noProof/>
        </w:rPr>
        <w:t>L'investissement consiste en un nouveau terminal de passagers du por</w:t>
      </w:r>
      <w:r>
        <w:rPr>
          <w:noProof/>
        </w:rPr>
        <w:t>t de Split.</w:t>
      </w:r>
    </w:p>
    <w:p w14:paraId="58FE4DD3" w14:textId="77777777" w:rsidR="00553430" w:rsidRDefault="00212577">
      <w:pPr>
        <w:pStyle w:val="P68B1DB1-Normal82"/>
        <w:keepNext/>
        <w:tabs>
          <w:tab w:val="num" w:pos="850"/>
        </w:tabs>
        <w:spacing w:after="200" w:line="240" w:lineRule="auto"/>
        <w:ind w:left="851"/>
        <w:jc w:val="both"/>
        <w:outlineLvl w:val="2"/>
        <w:rPr>
          <w:rFonts w:eastAsia="Calibri"/>
          <w:noProof/>
        </w:rPr>
      </w:pPr>
      <w:r>
        <w:rPr>
          <w:noProof/>
        </w:rPr>
        <w:t>Investissement C1.4 R3-I3 – Construction d’un nouveau transbordeur à câbles «Križnica», municipalité de Pitomača</w:t>
      </w:r>
    </w:p>
    <w:p w14:paraId="2EFC86B3" w14:textId="77777777" w:rsidR="00553430" w:rsidRDefault="00212577">
      <w:pPr>
        <w:pStyle w:val="P68B1DB1-Normal83"/>
        <w:spacing w:after="200" w:line="240" w:lineRule="auto"/>
        <w:jc w:val="both"/>
        <w:rPr>
          <w:rFonts w:eastAsia="Calibri"/>
          <w:noProof/>
        </w:rPr>
      </w:pPr>
      <w:r>
        <w:rPr>
          <w:noProof/>
        </w:rPr>
        <w:t>L’objectif de l’investissement est de construire un nouveau transbordeur à câbles «Križnica» sur la rivière Drava dans la municipal</w:t>
      </w:r>
      <w:r>
        <w:rPr>
          <w:noProof/>
        </w:rPr>
        <w:t xml:space="preserve">ité de Pitomača, afin de garantir la connectivité des transports et d’encourager le développement des régions moins développées. L’investissement comprend un nouveau transbordeur électrique à énergie solaire qui permettra à la fois d’augmenter la capacité </w:t>
      </w:r>
      <w:r>
        <w:rPr>
          <w:noProof/>
        </w:rPr>
        <w:t>de transport et de contribuer à l’écologisation du secteur des transports.</w:t>
      </w:r>
    </w:p>
    <w:p w14:paraId="28C83BD9" w14:textId="77777777" w:rsidR="00553430" w:rsidRDefault="00212577">
      <w:pPr>
        <w:pStyle w:val="P68B1DB1-Normal83"/>
        <w:spacing w:line="240" w:lineRule="auto"/>
        <w:jc w:val="both"/>
        <w:rPr>
          <w:rFonts w:eastAsia="Calibri"/>
          <w:noProof/>
        </w:rPr>
      </w:pPr>
      <w:r>
        <w:rPr>
          <w:noProof/>
        </w:rPr>
        <w:t>L’investissement est achevé au plus tard le 30 octobre 2022.</w:t>
      </w:r>
    </w:p>
    <w:p w14:paraId="6B19852C" w14:textId="77777777" w:rsidR="00553430" w:rsidRDefault="00212577">
      <w:pPr>
        <w:pStyle w:val="P68B1DB1-Normal82"/>
        <w:keepNext/>
        <w:tabs>
          <w:tab w:val="num" w:pos="850"/>
        </w:tabs>
        <w:spacing w:after="200" w:line="240" w:lineRule="auto"/>
        <w:ind w:left="851"/>
        <w:jc w:val="both"/>
        <w:outlineLvl w:val="2"/>
        <w:rPr>
          <w:rFonts w:eastAsia="Calibri"/>
          <w:noProof/>
        </w:rPr>
      </w:pPr>
      <w:r>
        <w:rPr>
          <w:noProof/>
        </w:rPr>
        <w:t>Investissement C1.4 R4-I2 – Modernisation du parc de tramways</w:t>
      </w:r>
    </w:p>
    <w:p w14:paraId="4D16E943" w14:textId="77777777" w:rsidR="00553430" w:rsidRDefault="00212577">
      <w:pPr>
        <w:pStyle w:val="P68B1DB1-Normal83"/>
        <w:spacing w:line="240" w:lineRule="auto"/>
        <w:jc w:val="both"/>
        <w:rPr>
          <w:noProof/>
        </w:rPr>
      </w:pPr>
      <w:r>
        <w:rPr>
          <w:noProof/>
        </w:rPr>
        <w:t>L’objectif de l’investissement est de moderniser la flotte</w:t>
      </w:r>
      <w:r>
        <w:rPr>
          <w:noProof/>
        </w:rPr>
        <w:t xml:space="preserve"> de tramways dans les villes d’Osijek et de Zagreb.</w:t>
      </w:r>
    </w:p>
    <w:p w14:paraId="02FF87FC" w14:textId="77777777" w:rsidR="00553430" w:rsidRDefault="00212577">
      <w:pPr>
        <w:pStyle w:val="P68B1DB1-Normal83"/>
        <w:spacing w:line="240" w:lineRule="auto"/>
        <w:jc w:val="both"/>
        <w:rPr>
          <w:noProof/>
        </w:rPr>
      </w:pPr>
      <w:r>
        <w:rPr>
          <w:noProof/>
        </w:rPr>
        <w:t>L'investissement consiste en la livraison de nouveaux tramways.</w:t>
      </w:r>
    </w:p>
    <w:p w14:paraId="20107D74" w14:textId="77777777" w:rsidR="00553430" w:rsidRDefault="00212577">
      <w:pPr>
        <w:pStyle w:val="P68B1DB1-Normal82"/>
        <w:keepNext/>
        <w:tabs>
          <w:tab w:val="num" w:pos="850"/>
        </w:tabs>
        <w:spacing w:after="200" w:line="240" w:lineRule="auto"/>
        <w:ind w:left="851"/>
        <w:jc w:val="both"/>
        <w:outlineLvl w:val="2"/>
        <w:rPr>
          <w:rFonts w:eastAsia="Calibri"/>
          <w:noProof/>
        </w:rPr>
      </w:pPr>
      <w:r>
        <w:rPr>
          <w:noProof/>
        </w:rPr>
        <w:t xml:space="preserve">Investissement C1.4 R5-I1 – Électrification et écologisation du système d’assistance en escale et d’alimentation électrique à l’aéroport de </w:t>
      </w:r>
      <w:r>
        <w:rPr>
          <w:noProof/>
        </w:rPr>
        <w:t>Zadar</w:t>
      </w:r>
    </w:p>
    <w:p w14:paraId="33A999BE" w14:textId="77777777" w:rsidR="00553430" w:rsidRDefault="00212577">
      <w:pPr>
        <w:pStyle w:val="P68B1DB1-Normal83"/>
        <w:spacing w:line="240" w:lineRule="auto"/>
        <w:jc w:val="both"/>
        <w:rPr>
          <w:noProof/>
        </w:rPr>
      </w:pPr>
      <w:r>
        <w:rPr>
          <w:noProof/>
        </w:rPr>
        <w:t xml:space="preserve">L’objectif de l’investissement est de garantir un système d’assistance en escale des aéronefs respectueux de l’environnement et de promouvoir l’utilisation de sources d’énergie renouvelables. </w:t>
      </w:r>
    </w:p>
    <w:p w14:paraId="0C7BED43" w14:textId="77777777" w:rsidR="00553430" w:rsidRDefault="00212577">
      <w:pPr>
        <w:pStyle w:val="P68B1DB1-Normal83"/>
        <w:spacing w:after="120" w:line="240" w:lineRule="auto"/>
        <w:jc w:val="both"/>
        <w:rPr>
          <w:rFonts w:eastAsia="Calibri"/>
          <w:noProof/>
        </w:rPr>
      </w:pPr>
      <w:r>
        <w:rPr>
          <w:noProof/>
        </w:rPr>
        <w:t xml:space="preserve">L'investissement consiste à électrifier et à verdir </w:t>
      </w:r>
      <w:r>
        <w:rPr>
          <w:noProof/>
        </w:rPr>
        <w:t>l'assistance au sol des avions à l'aéroport de Zadar.</w:t>
      </w:r>
    </w:p>
    <w:p w14:paraId="0949D1A6" w14:textId="77777777" w:rsidR="00553430" w:rsidRDefault="00212577">
      <w:pPr>
        <w:pStyle w:val="P68B1DB1-Normal82"/>
        <w:keepNext/>
        <w:tabs>
          <w:tab w:val="num" w:pos="850"/>
        </w:tabs>
        <w:spacing w:after="200" w:line="276" w:lineRule="auto"/>
        <w:ind w:left="851"/>
        <w:jc w:val="both"/>
        <w:outlineLvl w:val="2"/>
        <w:rPr>
          <w:rFonts w:eastAsia="Calibri"/>
          <w:noProof/>
        </w:rPr>
      </w:pPr>
      <w:r>
        <w:rPr>
          <w:noProof/>
        </w:rPr>
        <w:t>Investissement C1.4 R5-I2 – Recherche, développement et production de nouveaux véhicules de mobilité et d’infrastructures de soutien</w:t>
      </w:r>
    </w:p>
    <w:p w14:paraId="6FFC8A85" w14:textId="77777777" w:rsidR="00553430" w:rsidRDefault="00212577">
      <w:pPr>
        <w:pStyle w:val="P68B1DB1-Normal83"/>
        <w:spacing w:line="240" w:lineRule="auto"/>
        <w:jc w:val="both"/>
        <w:rPr>
          <w:noProof/>
        </w:rPr>
      </w:pPr>
      <w:r>
        <w:rPr>
          <w:noProof/>
        </w:rPr>
        <w:t>L’objectif de l’investissement est d’accroître la sécurité des transp</w:t>
      </w:r>
      <w:r>
        <w:rPr>
          <w:noProof/>
        </w:rPr>
        <w:t>orts tout en augmentant l’efficacité, en réduisant la congestion et en réduisant les émissions globales de polluants provenant du transport de véhicules à moteur dans la ville de Zagreb.</w:t>
      </w:r>
    </w:p>
    <w:p w14:paraId="465AF984" w14:textId="77777777" w:rsidR="00553430" w:rsidRDefault="00212577">
      <w:pPr>
        <w:pStyle w:val="P68B1DB1-Normal83"/>
        <w:spacing w:line="240" w:lineRule="auto"/>
        <w:jc w:val="both"/>
        <w:rPr>
          <w:noProof/>
        </w:rPr>
      </w:pPr>
      <w:r>
        <w:rPr>
          <w:noProof/>
        </w:rPr>
        <w:t>L'investissement consiste à développer et à mettre en œuvre un nouvea</w:t>
      </w:r>
      <w:r>
        <w:rPr>
          <w:noProof/>
        </w:rPr>
        <w:t xml:space="preserve">u service de transport urbain de véhicules électriques entièrement autonomes. </w:t>
      </w:r>
    </w:p>
    <w:p w14:paraId="2B2317B1" w14:textId="43ED2CED" w:rsidR="00553430" w:rsidRDefault="00212577">
      <w:pPr>
        <w:pStyle w:val="P68B1DB1-Normal82"/>
        <w:keepNext/>
        <w:tabs>
          <w:tab w:val="num" w:pos="850"/>
        </w:tabs>
        <w:spacing w:after="200" w:line="276" w:lineRule="auto"/>
        <w:ind w:left="851"/>
        <w:jc w:val="both"/>
        <w:outlineLvl w:val="2"/>
        <w:rPr>
          <w:rFonts w:eastAsia="Calibri"/>
          <w:noProof/>
        </w:rPr>
      </w:pPr>
      <w:r>
        <w:rPr>
          <w:noProof/>
        </w:rPr>
        <w:t xml:space="preserve">Investissement C1.4 R5-I3 – Programme d’achat de nouveaux véhicules à carburant alternatif </w:t>
      </w:r>
    </w:p>
    <w:p w14:paraId="7C50B9DD" w14:textId="77777777" w:rsidR="00553430" w:rsidRDefault="00212577">
      <w:pPr>
        <w:pStyle w:val="P68B1DB1-Normal83"/>
        <w:spacing w:line="240" w:lineRule="auto"/>
        <w:jc w:val="both"/>
        <w:rPr>
          <w:noProof/>
        </w:rPr>
      </w:pPr>
      <w:r>
        <w:rPr>
          <w:noProof/>
        </w:rPr>
        <w:t xml:space="preserve">L’objectif de l’investissement est d’accroître l’efficacité énergétique du transport </w:t>
      </w:r>
      <w:r>
        <w:rPr>
          <w:noProof/>
        </w:rPr>
        <w:t xml:space="preserve">routier en réduisant la dépendance à l’égard des combustibles fossiles. </w:t>
      </w:r>
    </w:p>
    <w:p w14:paraId="3FF747F3" w14:textId="42B9C977" w:rsidR="00553430" w:rsidRDefault="00212577">
      <w:p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L’investissement consiste en l’achat</w:t>
      </w:r>
      <w:r>
        <w:rPr>
          <w:noProof/>
        </w:rPr>
        <w:t xml:space="preserve"> </w:t>
      </w:r>
      <w:r>
        <w:rPr>
          <w:rFonts w:ascii="Times New Roman" w:eastAsia="Times New Roman" w:hAnsi="Times New Roman" w:cs="Times New Roman"/>
          <w:noProof/>
          <w:sz w:val="24"/>
          <w:szCs w:val="24"/>
        </w:rPr>
        <w:t>de véhicules à moteur alternatifs (électriques et/ou à hydrogène).</w:t>
      </w:r>
    </w:p>
    <w:p w14:paraId="0C900814" w14:textId="77777777" w:rsidR="00553430" w:rsidRDefault="00212577">
      <w:pPr>
        <w:pStyle w:val="P68B1DB1-Normal33"/>
        <w:spacing w:line="240" w:lineRule="auto"/>
        <w:ind w:left="850"/>
        <w:jc w:val="both"/>
        <w:rPr>
          <w:noProof/>
          <w:u w:val="single"/>
        </w:rPr>
      </w:pPr>
      <w:r>
        <w:rPr>
          <w:noProof/>
        </w:rPr>
        <w:t xml:space="preserve"> </w:t>
      </w:r>
    </w:p>
    <w:p w14:paraId="0C928FBB" w14:textId="77777777" w:rsidR="00553430" w:rsidRDefault="00553430">
      <w:pPr>
        <w:rPr>
          <w:noProof/>
        </w:rPr>
        <w:sectPr w:rsidR="00553430" w:rsidSect="00FA29B2">
          <w:headerReference w:type="even" r:id="rId75"/>
          <w:headerReference w:type="default" r:id="rId76"/>
          <w:footerReference w:type="even" r:id="rId77"/>
          <w:footerReference w:type="default" r:id="rId78"/>
          <w:headerReference w:type="first" r:id="rId79"/>
          <w:footerReference w:type="first" r:id="rId80"/>
          <w:pgSz w:w="11906" w:h="16838"/>
          <w:pgMar w:top="1134" w:right="1134" w:bottom="1134" w:left="1134" w:header="567" w:footer="567" w:gutter="0"/>
          <w:cols w:space="708"/>
          <w:docGrid w:linePitch="360"/>
        </w:sectPr>
      </w:pPr>
    </w:p>
    <w:p w14:paraId="6DA0AFB4" w14:textId="77777777" w:rsidR="00553430" w:rsidRDefault="00212577">
      <w:pPr>
        <w:pStyle w:val="P68B1DB1-Normal57"/>
        <w:keepNext/>
        <w:tabs>
          <w:tab w:val="num" w:pos="850"/>
        </w:tabs>
        <w:spacing w:after="200" w:line="276" w:lineRule="auto"/>
        <w:ind w:left="851"/>
        <w:jc w:val="both"/>
        <w:outlineLvl w:val="1"/>
        <w:rPr>
          <w:rFonts w:eastAsia="Calibri"/>
          <w:noProof/>
        </w:rPr>
      </w:pPr>
      <w:r>
        <w:rPr>
          <w:noProof/>
        </w:rPr>
        <w:t xml:space="preserve">D.2. </w:t>
      </w:r>
      <w:r>
        <w:rPr>
          <w:noProof/>
        </w:rPr>
        <w:tab/>
        <w:t>Étapes, c</w:t>
      </w:r>
      <w:r>
        <w:rPr>
          <w:noProof/>
        </w:rPr>
        <w:t>ibles, indicateurs et calendrier pour le suivi et la mise en œuvre du soutien financier non remboursable</w:t>
      </w:r>
    </w:p>
    <w:tbl>
      <w:tblPr>
        <w:tblW w:w="16245" w:type="dxa"/>
        <w:jc w:val="center"/>
        <w:tblCellMar>
          <w:top w:w="28" w:type="dxa"/>
          <w:left w:w="28" w:type="dxa"/>
          <w:bottom w:w="28" w:type="dxa"/>
          <w:right w:w="28" w:type="dxa"/>
        </w:tblCellMar>
        <w:tblLook w:val="04A0" w:firstRow="1" w:lastRow="0" w:firstColumn="1" w:lastColumn="0" w:noHBand="0" w:noVBand="1"/>
      </w:tblPr>
      <w:tblGrid>
        <w:gridCol w:w="846"/>
        <w:gridCol w:w="1134"/>
        <w:gridCol w:w="1102"/>
        <w:gridCol w:w="1733"/>
        <w:gridCol w:w="1984"/>
        <w:gridCol w:w="1167"/>
        <w:gridCol w:w="918"/>
        <w:gridCol w:w="756"/>
        <w:gridCol w:w="893"/>
        <w:gridCol w:w="851"/>
        <w:gridCol w:w="5193"/>
      </w:tblGrid>
      <w:tr w:rsidR="00553430" w14:paraId="741A5AB5" w14:textId="77777777">
        <w:trPr>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818420" w14:textId="77777777" w:rsidR="00553430" w:rsidRDefault="00212577">
            <w:pPr>
              <w:pStyle w:val="P68B1DB1-Normal58"/>
              <w:spacing w:after="0" w:line="276" w:lineRule="auto"/>
              <w:jc w:val="center"/>
              <w:rPr>
                <w:bCs/>
                <w:noProof/>
              </w:rPr>
            </w:pPr>
            <w:r>
              <w:rPr>
                <w:noProof/>
              </w:rPr>
              <w:t>Numéro</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B6A3A8" w14:textId="77777777" w:rsidR="00553430" w:rsidRDefault="00212577">
            <w:pPr>
              <w:pStyle w:val="P68B1DB1-Normal58"/>
              <w:spacing w:after="0" w:line="276" w:lineRule="auto"/>
              <w:jc w:val="center"/>
              <w:rPr>
                <w:bCs/>
                <w:noProof/>
              </w:rPr>
            </w:pPr>
            <w:r>
              <w:rPr>
                <w:noProof/>
              </w:rPr>
              <w:t>Mesure</w:t>
            </w:r>
          </w:p>
        </w:tc>
        <w:tc>
          <w:tcPr>
            <w:tcW w:w="11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B12A51" w14:textId="77777777" w:rsidR="00553430" w:rsidRDefault="00212577">
            <w:pPr>
              <w:pStyle w:val="P68B1DB1-Normal58"/>
              <w:spacing w:after="0" w:line="276" w:lineRule="auto"/>
              <w:jc w:val="center"/>
              <w:rPr>
                <w:bCs/>
                <w:noProof/>
              </w:rPr>
            </w:pPr>
            <w:r>
              <w:rPr>
                <w:noProof/>
              </w:rPr>
              <w:t>Étape/cible</w:t>
            </w:r>
          </w:p>
        </w:tc>
        <w:tc>
          <w:tcPr>
            <w:tcW w:w="17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FB12770" w14:textId="77777777" w:rsidR="00553430" w:rsidRDefault="00212577">
            <w:pPr>
              <w:pStyle w:val="P68B1DB1-Normal58"/>
              <w:spacing w:after="0" w:line="276" w:lineRule="auto"/>
              <w:jc w:val="center"/>
              <w:rPr>
                <w:bCs/>
                <w:noProof/>
              </w:rPr>
            </w:pPr>
            <w:r>
              <w:rPr>
                <w:noProof/>
              </w:rPr>
              <w:t>Nom</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42CE81"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qualitatifs</w:t>
            </w:r>
            <w:r>
              <w:rPr>
                <w:rFonts w:ascii="Times New Roman" w:eastAsia="Calibri" w:hAnsi="Times New Roman" w:cs="Times New Roman"/>
                <w:noProof/>
              </w:rPr>
              <w:br/>
            </w:r>
            <w:r>
              <w:rPr>
                <w:rFonts w:ascii="Times New Roman" w:eastAsia="Times New Roman" w:hAnsi="Times New Roman" w:cs="Times New Roman"/>
                <w:b/>
                <w:noProof/>
              </w:rPr>
              <w:t>(pour les jalons)</w:t>
            </w:r>
          </w:p>
        </w:tc>
        <w:tc>
          <w:tcPr>
            <w:tcW w:w="255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FF8E408"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eastAsia="Calibri" w:hAnsi="Times New Roman" w:cs="Times New Roman"/>
                <w:noProof/>
              </w:rPr>
              <w:br/>
            </w:r>
            <w:r>
              <w:rPr>
                <w:rFonts w:ascii="Times New Roman" w:eastAsia="Times New Roman" w:hAnsi="Times New Roman" w:cs="Times New Roman"/>
                <w:b/>
                <w:noProof/>
              </w:rPr>
              <w:t>(pour les objectifs)</w:t>
            </w:r>
          </w:p>
        </w:tc>
        <w:tc>
          <w:tcPr>
            <w:tcW w:w="1701" w:type="dxa"/>
            <w:gridSpan w:val="2"/>
            <w:tcBorders>
              <w:top w:val="single" w:sz="4" w:space="0" w:color="auto"/>
              <w:left w:val="nil"/>
              <w:bottom w:val="single" w:sz="4" w:space="0" w:color="auto"/>
              <w:right w:val="single" w:sz="4" w:space="0" w:color="auto"/>
            </w:tcBorders>
            <w:shd w:val="clear" w:color="auto" w:fill="BDD7EE"/>
            <w:vAlign w:val="center"/>
            <w:hideMark/>
          </w:tcPr>
          <w:p w14:paraId="6A50F772" w14:textId="77777777" w:rsidR="00553430" w:rsidRDefault="00212577">
            <w:pPr>
              <w:pStyle w:val="P68B1DB1-Normal58"/>
              <w:spacing w:after="0" w:line="276" w:lineRule="auto"/>
              <w:jc w:val="center"/>
              <w:rPr>
                <w:bCs/>
                <w:noProof/>
              </w:rPr>
            </w:pPr>
            <w:r>
              <w:rPr>
                <w:noProof/>
              </w:rPr>
              <w:t>Temps</w:t>
            </w:r>
          </w:p>
        </w:tc>
        <w:tc>
          <w:tcPr>
            <w:tcW w:w="519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F31C9E0" w14:textId="77777777" w:rsidR="00553430" w:rsidRDefault="00212577">
            <w:pPr>
              <w:pStyle w:val="P68B1DB1-Normal58"/>
              <w:spacing w:after="0" w:line="276" w:lineRule="auto"/>
              <w:jc w:val="center"/>
              <w:rPr>
                <w:bCs/>
                <w:noProof/>
              </w:rPr>
            </w:pPr>
            <w:r>
              <w:rPr>
                <w:noProof/>
              </w:rPr>
              <w:t>Description de chaque</w:t>
            </w:r>
            <w:r>
              <w:rPr>
                <w:noProof/>
              </w:rPr>
              <w:t xml:space="preserve"> jalon et cible</w:t>
            </w:r>
          </w:p>
        </w:tc>
      </w:tr>
      <w:tr w:rsidR="00553430" w14:paraId="6A767BED" w14:textId="77777777">
        <w:trPr>
          <w:tblHeader/>
          <w:jc w:val="center"/>
        </w:trPr>
        <w:tc>
          <w:tcPr>
            <w:tcW w:w="846" w:type="dxa"/>
            <w:vMerge/>
            <w:tcBorders>
              <w:top w:val="single" w:sz="4" w:space="0" w:color="auto"/>
              <w:left w:val="single" w:sz="4" w:space="0" w:color="auto"/>
              <w:bottom w:val="single" w:sz="4" w:space="0" w:color="auto"/>
              <w:right w:val="single" w:sz="4" w:space="0" w:color="auto"/>
            </w:tcBorders>
            <w:hideMark/>
          </w:tcPr>
          <w:p w14:paraId="3216C4C5"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134" w:type="dxa"/>
            <w:vMerge/>
            <w:tcBorders>
              <w:top w:val="single" w:sz="4" w:space="0" w:color="auto"/>
              <w:left w:val="single" w:sz="4" w:space="0" w:color="auto"/>
              <w:bottom w:val="single" w:sz="4" w:space="0" w:color="auto"/>
              <w:right w:val="single" w:sz="4" w:space="0" w:color="auto"/>
            </w:tcBorders>
            <w:hideMark/>
          </w:tcPr>
          <w:p w14:paraId="2E878C83"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102" w:type="dxa"/>
            <w:vMerge/>
            <w:tcBorders>
              <w:top w:val="single" w:sz="4" w:space="0" w:color="auto"/>
              <w:left w:val="single" w:sz="4" w:space="0" w:color="auto"/>
              <w:bottom w:val="single" w:sz="4" w:space="0" w:color="auto"/>
              <w:right w:val="single" w:sz="4" w:space="0" w:color="auto"/>
            </w:tcBorders>
            <w:hideMark/>
          </w:tcPr>
          <w:p w14:paraId="21265A5A"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733" w:type="dxa"/>
            <w:vMerge/>
            <w:tcBorders>
              <w:top w:val="single" w:sz="4" w:space="0" w:color="auto"/>
              <w:left w:val="single" w:sz="4" w:space="0" w:color="auto"/>
              <w:bottom w:val="single" w:sz="4" w:space="0" w:color="auto"/>
              <w:right w:val="single" w:sz="4" w:space="0" w:color="auto"/>
            </w:tcBorders>
            <w:hideMark/>
          </w:tcPr>
          <w:p w14:paraId="57650397" w14:textId="77777777" w:rsidR="00553430" w:rsidRDefault="00553430">
            <w:pPr>
              <w:spacing w:after="0" w:line="276" w:lineRule="auto"/>
              <w:rPr>
                <w:rFonts w:ascii="Times New Roman" w:eastAsia="Times New Roman" w:hAnsi="Times New Roman" w:cs="Times New Roman"/>
                <w:b/>
                <w:noProof/>
                <w:sz w:val="20"/>
                <w:szCs w:val="20"/>
              </w:rPr>
            </w:pPr>
          </w:p>
        </w:tc>
        <w:tc>
          <w:tcPr>
            <w:tcW w:w="1984" w:type="dxa"/>
            <w:vMerge/>
            <w:tcBorders>
              <w:top w:val="single" w:sz="4" w:space="0" w:color="auto"/>
              <w:left w:val="single" w:sz="4" w:space="0" w:color="auto"/>
              <w:bottom w:val="single" w:sz="4" w:space="0" w:color="auto"/>
              <w:right w:val="single" w:sz="4" w:space="0" w:color="auto"/>
            </w:tcBorders>
            <w:hideMark/>
          </w:tcPr>
          <w:p w14:paraId="594789FA" w14:textId="77777777" w:rsidR="00553430" w:rsidRDefault="00553430">
            <w:pPr>
              <w:spacing w:after="0" w:line="276" w:lineRule="auto"/>
              <w:rPr>
                <w:rFonts w:ascii="Times New Roman" w:eastAsia="Times New Roman" w:hAnsi="Times New Roman" w:cs="Times New Roman"/>
                <w:b/>
                <w:noProof/>
                <w:sz w:val="20"/>
                <w:szCs w:val="20"/>
              </w:rPr>
            </w:pPr>
          </w:p>
        </w:tc>
        <w:tc>
          <w:tcPr>
            <w:tcW w:w="1067" w:type="dxa"/>
            <w:tcBorders>
              <w:top w:val="single" w:sz="4" w:space="0" w:color="auto"/>
              <w:left w:val="single" w:sz="4" w:space="0" w:color="auto"/>
              <w:bottom w:val="single" w:sz="4" w:space="0" w:color="auto"/>
              <w:right w:val="single" w:sz="4" w:space="0" w:color="auto"/>
            </w:tcBorders>
            <w:shd w:val="clear" w:color="auto" w:fill="BDD7EE"/>
            <w:hideMark/>
          </w:tcPr>
          <w:p w14:paraId="288518A9" w14:textId="77777777" w:rsidR="00553430" w:rsidRDefault="00212577">
            <w:pPr>
              <w:pStyle w:val="P68B1DB1-Normal58"/>
              <w:spacing w:after="0" w:line="276" w:lineRule="auto"/>
              <w:jc w:val="center"/>
              <w:rPr>
                <w:bCs/>
                <w:noProof/>
              </w:rPr>
            </w:pPr>
            <w:r>
              <w:rPr>
                <w:noProof/>
              </w:rPr>
              <w:t>Unité</w:t>
            </w:r>
          </w:p>
        </w:tc>
        <w:tc>
          <w:tcPr>
            <w:tcW w:w="918" w:type="dxa"/>
            <w:tcBorders>
              <w:top w:val="single" w:sz="4" w:space="0" w:color="auto"/>
              <w:left w:val="nil"/>
              <w:bottom w:val="single" w:sz="4" w:space="0" w:color="auto"/>
              <w:right w:val="single" w:sz="4" w:space="0" w:color="auto"/>
            </w:tcBorders>
            <w:shd w:val="clear" w:color="auto" w:fill="BDD7EE"/>
            <w:hideMark/>
          </w:tcPr>
          <w:p w14:paraId="150FC0E5" w14:textId="77777777" w:rsidR="00553430" w:rsidRDefault="00212577">
            <w:pPr>
              <w:pStyle w:val="P68B1DB1-Normal58"/>
              <w:spacing w:after="0" w:line="276" w:lineRule="auto"/>
              <w:jc w:val="center"/>
              <w:rPr>
                <w:bCs/>
                <w:noProof/>
              </w:rPr>
            </w:pPr>
            <w:r>
              <w:rPr>
                <w:noProof/>
              </w:rPr>
              <w:t>Données de référence</w:t>
            </w:r>
          </w:p>
        </w:tc>
        <w:tc>
          <w:tcPr>
            <w:tcW w:w="567" w:type="dxa"/>
            <w:tcBorders>
              <w:top w:val="single" w:sz="4" w:space="0" w:color="auto"/>
              <w:left w:val="nil"/>
              <w:bottom w:val="single" w:sz="4" w:space="0" w:color="auto"/>
              <w:right w:val="single" w:sz="4" w:space="0" w:color="auto"/>
            </w:tcBorders>
            <w:shd w:val="clear" w:color="auto" w:fill="BDD7EE"/>
            <w:hideMark/>
          </w:tcPr>
          <w:p w14:paraId="1867DF32" w14:textId="77777777" w:rsidR="00553430" w:rsidRDefault="00212577">
            <w:pPr>
              <w:pStyle w:val="P68B1DB1-Normal58"/>
              <w:spacing w:after="0" w:line="276" w:lineRule="auto"/>
              <w:jc w:val="center"/>
              <w:rPr>
                <w:bCs/>
                <w:noProof/>
              </w:rPr>
            </w:pPr>
            <w:r>
              <w:rPr>
                <w:noProof/>
              </w:rPr>
              <w:t>Objectif</w:t>
            </w:r>
          </w:p>
        </w:tc>
        <w:tc>
          <w:tcPr>
            <w:tcW w:w="850" w:type="dxa"/>
            <w:tcBorders>
              <w:top w:val="single" w:sz="4" w:space="0" w:color="auto"/>
              <w:left w:val="nil"/>
              <w:bottom w:val="single" w:sz="4" w:space="0" w:color="auto"/>
              <w:right w:val="single" w:sz="4" w:space="0" w:color="auto"/>
            </w:tcBorders>
            <w:shd w:val="clear" w:color="auto" w:fill="BDD7EE"/>
            <w:hideMark/>
          </w:tcPr>
          <w:p w14:paraId="63EA3802" w14:textId="77777777" w:rsidR="00553430" w:rsidRDefault="00212577">
            <w:pPr>
              <w:pStyle w:val="P68B1DB1-Normal58"/>
              <w:spacing w:after="0" w:line="276" w:lineRule="auto"/>
              <w:jc w:val="center"/>
              <w:rPr>
                <w:bCs/>
                <w:noProof/>
              </w:rPr>
            </w:pPr>
            <w:r>
              <w:rPr>
                <w:noProof/>
              </w:rPr>
              <w:t>Trimestre</w:t>
            </w:r>
          </w:p>
        </w:tc>
        <w:tc>
          <w:tcPr>
            <w:tcW w:w="851" w:type="dxa"/>
            <w:tcBorders>
              <w:top w:val="single" w:sz="4" w:space="0" w:color="auto"/>
              <w:left w:val="nil"/>
              <w:bottom w:val="single" w:sz="4" w:space="0" w:color="auto"/>
              <w:right w:val="single" w:sz="4" w:space="0" w:color="auto"/>
            </w:tcBorders>
            <w:shd w:val="clear" w:color="auto" w:fill="BDD7EE"/>
            <w:hideMark/>
          </w:tcPr>
          <w:p w14:paraId="2B73A36F" w14:textId="77777777" w:rsidR="00553430" w:rsidRDefault="00212577">
            <w:pPr>
              <w:pStyle w:val="P68B1DB1-Normal58"/>
              <w:spacing w:after="0" w:line="276" w:lineRule="auto"/>
              <w:jc w:val="center"/>
              <w:rPr>
                <w:bCs/>
                <w:noProof/>
              </w:rPr>
            </w:pPr>
            <w:r>
              <w:rPr>
                <w:noProof/>
              </w:rPr>
              <w:t>Année</w:t>
            </w:r>
          </w:p>
        </w:tc>
        <w:tc>
          <w:tcPr>
            <w:tcW w:w="5193" w:type="dxa"/>
            <w:vMerge/>
            <w:tcBorders>
              <w:top w:val="single" w:sz="4" w:space="0" w:color="auto"/>
              <w:bottom w:val="single" w:sz="4" w:space="0" w:color="auto"/>
              <w:right w:val="single" w:sz="4" w:space="0" w:color="auto"/>
            </w:tcBorders>
            <w:hideMark/>
          </w:tcPr>
          <w:p w14:paraId="0E5192B9"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57F9ECA7"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E7D2031" w14:textId="77777777" w:rsidR="00553430" w:rsidRDefault="00212577">
            <w:pPr>
              <w:pStyle w:val="P68B1DB1-Normal66"/>
              <w:spacing w:after="0" w:line="276" w:lineRule="auto"/>
              <w:jc w:val="center"/>
              <w:rPr>
                <w:noProof/>
              </w:rPr>
            </w:pPr>
            <w:r>
              <w:rPr>
                <w:noProof/>
              </w:rPr>
              <w:t>91</w:t>
            </w:r>
          </w:p>
        </w:tc>
        <w:tc>
          <w:tcPr>
            <w:tcW w:w="1134" w:type="dxa"/>
            <w:tcBorders>
              <w:top w:val="single" w:sz="4" w:space="0" w:color="auto"/>
              <w:left w:val="nil"/>
              <w:bottom w:val="single" w:sz="4" w:space="0" w:color="auto"/>
              <w:right w:val="single" w:sz="4" w:space="0" w:color="auto"/>
            </w:tcBorders>
            <w:shd w:val="clear" w:color="auto" w:fill="C6EFCE"/>
            <w:noWrap/>
          </w:tcPr>
          <w:p w14:paraId="0148E3A0" w14:textId="77777777" w:rsidR="00553430" w:rsidRDefault="00212577">
            <w:pPr>
              <w:pStyle w:val="P68B1DB1-Normal66"/>
              <w:spacing w:after="200" w:line="276" w:lineRule="auto"/>
              <w:jc w:val="center"/>
              <w:rPr>
                <w:noProof/>
              </w:rPr>
            </w:pPr>
            <w:r>
              <w:rPr>
                <w:noProof/>
              </w:rPr>
              <w:t>C1.4. R1</w:t>
            </w:r>
          </w:p>
        </w:tc>
        <w:tc>
          <w:tcPr>
            <w:tcW w:w="1102" w:type="dxa"/>
            <w:tcBorders>
              <w:top w:val="single" w:sz="4" w:space="0" w:color="auto"/>
              <w:left w:val="nil"/>
              <w:bottom w:val="single" w:sz="4" w:space="0" w:color="auto"/>
              <w:right w:val="single" w:sz="4" w:space="0" w:color="auto"/>
            </w:tcBorders>
            <w:shd w:val="clear" w:color="auto" w:fill="C6EFCE"/>
            <w:noWrap/>
          </w:tcPr>
          <w:p w14:paraId="64513336" w14:textId="77777777" w:rsidR="00553430" w:rsidRDefault="00212577">
            <w:pPr>
              <w:pStyle w:val="P68B1DB1-Normal66"/>
              <w:spacing w:after="200" w:line="276" w:lineRule="auto"/>
              <w:jc w:val="center"/>
              <w:rPr>
                <w:noProof/>
              </w:rPr>
            </w:pPr>
            <w:r>
              <w:rPr>
                <w:noProof/>
              </w:rPr>
              <w:t>M</w:t>
            </w:r>
          </w:p>
        </w:tc>
        <w:tc>
          <w:tcPr>
            <w:tcW w:w="1733" w:type="dxa"/>
            <w:tcBorders>
              <w:top w:val="single" w:sz="4" w:space="0" w:color="auto"/>
              <w:left w:val="nil"/>
              <w:bottom w:val="single" w:sz="4" w:space="0" w:color="auto"/>
              <w:right w:val="single" w:sz="4" w:space="0" w:color="auto"/>
            </w:tcBorders>
            <w:shd w:val="clear" w:color="auto" w:fill="C6EFCE"/>
            <w:noWrap/>
          </w:tcPr>
          <w:p w14:paraId="1A268067" w14:textId="77777777" w:rsidR="00553430" w:rsidRDefault="00212577">
            <w:pPr>
              <w:pStyle w:val="P68B1DB1-Normal66"/>
              <w:spacing w:after="200" w:line="276" w:lineRule="auto"/>
              <w:rPr>
                <w:noProof/>
              </w:rPr>
            </w:pPr>
            <w:r>
              <w:rPr>
                <w:noProof/>
              </w:rPr>
              <w:t xml:space="preserve">Les modifications apportées à la Loi sur les routes </w:t>
            </w:r>
          </w:p>
        </w:tc>
        <w:tc>
          <w:tcPr>
            <w:tcW w:w="1984" w:type="dxa"/>
            <w:tcBorders>
              <w:top w:val="single" w:sz="4" w:space="0" w:color="auto"/>
              <w:left w:val="nil"/>
              <w:bottom w:val="single" w:sz="4" w:space="0" w:color="auto"/>
              <w:right w:val="single" w:sz="4" w:space="0" w:color="auto"/>
            </w:tcBorders>
            <w:shd w:val="clear" w:color="auto" w:fill="C6EFCE"/>
            <w:noWrap/>
          </w:tcPr>
          <w:p w14:paraId="5218AFEE" w14:textId="77777777" w:rsidR="00553430" w:rsidRDefault="00212577">
            <w:pPr>
              <w:pStyle w:val="P68B1DB1-Normal66"/>
              <w:spacing w:after="200" w:line="276" w:lineRule="auto"/>
              <w:rPr>
                <w:noProof/>
              </w:rPr>
            </w:pPr>
            <w:r>
              <w:rPr>
                <w:noProof/>
              </w:rPr>
              <w:t xml:space="preserve">Entrée en vigueur des modifications apportées à la loi sur les routes </w:t>
            </w:r>
          </w:p>
        </w:tc>
        <w:tc>
          <w:tcPr>
            <w:tcW w:w="1067" w:type="dxa"/>
            <w:tcBorders>
              <w:top w:val="single" w:sz="4" w:space="0" w:color="auto"/>
              <w:left w:val="nil"/>
              <w:bottom w:val="single" w:sz="4" w:space="0" w:color="auto"/>
              <w:right w:val="single" w:sz="4" w:space="0" w:color="auto"/>
            </w:tcBorders>
            <w:shd w:val="clear" w:color="auto" w:fill="C6EFCE"/>
            <w:noWrap/>
          </w:tcPr>
          <w:p w14:paraId="1822265D" w14:textId="77777777" w:rsidR="00553430" w:rsidRDefault="00212577">
            <w:pPr>
              <w:pStyle w:val="P68B1DB1-Normal66"/>
              <w:spacing w:after="200" w:line="276" w:lineRule="auto"/>
              <w:jc w:val="center"/>
              <w:rPr>
                <w:noProof/>
              </w:rPr>
            </w:pPr>
            <w:r>
              <w:rPr>
                <w:noProof/>
              </w:rPr>
              <w:t> </w:t>
            </w:r>
          </w:p>
        </w:tc>
        <w:tc>
          <w:tcPr>
            <w:tcW w:w="918" w:type="dxa"/>
            <w:tcBorders>
              <w:top w:val="single" w:sz="4" w:space="0" w:color="auto"/>
              <w:left w:val="nil"/>
              <w:bottom w:val="single" w:sz="4" w:space="0" w:color="auto"/>
              <w:right w:val="single" w:sz="4" w:space="0" w:color="auto"/>
            </w:tcBorders>
            <w:shd w:val="clear" w:color="auto" w:fill="C6EFCE"/>
            <w:noWrap/>
          </w:tcPr>
          <w:p w14:paraId="71267CA6" w14:textId="77777777" w:rsidR="00553430" w:rsidRDefault="00212577">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6C88D55A" w14:textId="77777777" w:rsidR="00553430" w:rsidRDefault="00212577">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586DD102" w14:textId="77777777" w:rsidR="00553430" w:rsidRDefault="00212577">
            <w:pPr>
              <w:pStyle w:val="P68B1DB1-Normal66"/>
              <w:spacing w:after="200" w:line="276" w:lineRule="auto"/>
              <w:jc w:val="center"/>
              <w:rPr>
                <w:noProof/>
              </w:rPr>
            </w:pPr>
            <w:r>
              <w:rPr>
                <w:noProof/>
              </w:rPr>
              <w:t>T3</w:t>
            </w:r>
          </w:p>
          <w:p w14:paraId="07F8288D" w14:textId="77777777" w:rsidR="00553430" w:rsidRDefault="00553430">
            <w:pPr>
              <w:rPr>
                <w:rFonts w:ascii="Times New Roman" w:eastAsia="Calibri" w:hAnsi="Times New Roman" w:cs="Times New Roman"/>
                <w:noProof/>
                <w:sz w:val="20"/>
                <w:szCs w:val="20"/>
              </w:rPr>
            </w:pPr>
          </w:p>
          <w:p w14:paraId="56384F23" w14:textId="77777777" w:rsidR="00553430" w:rsidRDefault="00553430">
            <w:pPr>
              <w:rPr>
                <w:rFonts w:ascii="Times New Roman" w:eastAsia="Calibri" w:hAnsi="Times New Roman" w:cs="Times New Roman"/>
                <w:noProof/>
                <w:sz w:val="20"/>
                <w:szCs w:val="20"/>
              </w:rPr>
            </w:pPr>
          </w:p>
          <w:p w14:paraId="4940C81B" w14:textId="77777777" w:rsidR="00553430" w:rsidRDefault="00553430">
            <w:pPr>
              <w:rPr>
                <w:rFonts w:ascii="Times New Roman" w:eastAsia="Calibri" w:hAnsi="Times New Roman" w:cs="Times New Roman"/>
                <w:noProof/>
                <w:color w:val="000000"/>
                <w:sz w:val="20"/>
                <w:szCs w:val="20"/>
              </w:rPr>
            </w:pPr>
          </w:p>
          <w:p w14:paraId="55499E35" w14:textId="77777777" w:rsidR="00553430" w:rsidRDefault="00553430">
            <w:pPr>
              <w:rPr>
                <w:rFonts w:ascii="Times New Roman" w:eastAsia="Calibri" w:hAnsi="Times New Roman" w:cs="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04472E66" w14:textId="77777777" w:rsidR="00553430" w:rsidRDefault="00212577">
            <w:pPr>
              <w:pStyle w:val="P68B1DB1-Normal66"/>
              <w:spacing w:after="200" w:line="276" w:lineRule="auto"/>
              <w:jc w:val="center"/>
              <w:rPr>
                <w:noProof/>
              </w:rPr>
            </w:pPr>
            <w:r>
              <w:rPr>
                <w:noProof/>
              </w:rPr>
              <w:t>2021</w:t>
            </w:r>
          </w:p>
        </w:tc>
        <w:tc>
          <w:tcPr>
            <w:tcW w:w="5193" w:type="dxa"/>
            <w:tcBorders>
              <w:top w:val="single" w:sz="4" w:space="0" w:color="auto"/>
              <w:left w:val="nil"/>
              <w:bottom w:val="single" w:sz="4" w:space="0" w:color="auto"/>
              <w:right w:val="single" w:sz="4" w:space="0" w:color="auto"/>
            </w:tcBorders>
            <w:shd w:val="clear" w:color="auto" w:fill="C6EFCE"/>
            <w:noWrap/>
          </w:tcPr>
          <w:p w14:paraId="39CBBC0C" w14:textId="6C72C2FA" w:rsidR="00553430" w:rsidRDefault="00212577">
            <w:pPr>
              <w:pStyle w:val="P68B1DB1-Normal66"/>
              <w:spacing w:after="200" w:line="276" w:lineRule="auto"/>
              <w:rPr>
                <w:noProof/>
              </w:rPr>
            </w:pPr>
            <w:r>
              <w:rPr>
                <w:noProof/>
              </w:rPr>
              <w:t>Les amendements à la loi</w:t>
            </w:r>
            <w:r>
              <w:rPr>
                <w:noProof/>
              </w:rPr>
              <w:t xml:space="preserve"> sur les routes doivent notamment:</w:t>
            </w:r>
            <w:r>
              <w:rPr>
                <w:noProof/>
              </w:rPr>
              <w:br/>
              <w:t>-garantir l’interopérabilité des systèmes de télépéage routier sur l’ensemble du réseau routier de l’Union, des autoroutes urbaines et interurbaines, des routes principales et secondaires et des différentes structures, te</w:t>
            </w:r>
            <w:r>
              <w:rPr>
                <w:noProof/>
              </w:rPr>
              <w:t>lles que les tunnels ou les ponts, et des transbordeurs;</w:t>
            </w:r>
            <w:r>
              <w:rPr>
                <w:noProof/>
              </w:rPr>
              <w:br/>
              <w:t>-faciliter l’échange transfrontière de données relatives à l’immatriculation des véhicules et des propriétaires ou détenteurs de véhicules pour lesquels un défaut de paiement de tout type de péage ro</w:t>
            </w:r>
            <w:r>
              <w:rPr>
                <w:noProof/>
              </w:rPr>
              <w:t>utier a été constaté dans l’Union;</w:t>
            </w:r>
            <w:r>
              <w:rPr>
                <w:noProof/>
              </w:rPr>
              <w:br/>
              <w:t>-inclure des dispositions favorisant l’augmentation des infrastructures utilisées pour la circulation des vélos et des piétons;</w:t>
            </w:r>
            <w:r>
              <w:rPr>
                <w:noProof/>
              </w:rPr>
              <w:br/>
              <w:t>-définir les critères et les conditions de couverture des frais de péage;</w:t>
            </w:r>
            <w:r>
              <w:rPr>
                <w:noProof/>
              </w:rPr>
              <w:br/>
              <w:t xml:space="preserve">-Lutter contre les </w:t>
            </w:r>
            <w:r>
              <w:rPr>
                <w:noProof/>
              </w:rPr>
              <w:t>exonérations de l’obligation de payer les redevances pour le droit de construire et le droit de servitude sur une voie publique, en supprimant ces exonérations de la législation. Cela créera des conditions de concurrence équitables en ce qui concerne ces f</w:t>
            </w:r>
            <w:r>
              <w:rPr>
                <w:noProof/>
              </w:rPr>
              <w:t xml:space="preserve">rais pour tous les entrepreneurs. </w:t>
            </w:r>
          </w:p>
        </w:tc>
      </w:tr>
      <w:tr w:rsidR="00553430" w14:paraId="2EFD2178"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29F8A9C5" w14:textId="77777777" w:rsidR="00553430" w:rsidRDefault="00212577">
            <w:pPr>
              <w:pStyle w:val="P68B1DB1-Normal66"/>
              <w:spacing w:after="0" w:line="276" w:lineRule="auto"/>
              <w:jc w:val="center"/>
              <w:rPr>
                <w:noProof/>
              </w:rPr>
            </w:pPr>
            <w:r>
              <w:rPr>
                <w:noProof/>
              </w:rPr>
              <w:t>92</w:t>
            </w:r>
          </w:p>
        </w:tc>
        <w:tc>
          <w:tcPr>
            <w:tcW w:w="1134" w:type="dxa"/>
            <w:tcBorders>
              <w:top w:val="single" w:sz="4" w:space="0" w:color="auto"/>
              <w:left w:val="nil"/>
              <w:bottom w:val="single" w:sz="4" w:space="0" w:color="auto"/>
              <w:right w:val="single" w:sz="4" w:space="0" w:color="auto"/>
            </w:tcBorders>
            <w:shd w:val="clear" w:color="auto" w:fill="C6EFCE"/>
            <w:noWrap/>
          </w:tcPr>
          <w:p w14:paraId="4395C202" w14:textId="77777777" w:rsidR="00553430" w:rsidRDefault="00212577">
            <w:pPr>
              <w:pStyle w:val="P68B1DB1-Normal66"/>
              <w:spacing w:after="200" w:line="276" w:lineRule="auto"/>
              <w:jc w:val="center"/>
              <w:rPr>
                <w:noProof/>
              </w:rPr>
            </w:pPr>
            <w:r>
              <w:rPr>
                <w:noProof/>
              </w:rPr>
              <w:t>C1.4. R1</w:t>
            </w:r>
          </w:p>
        </w:tc>
        <w:tc>
          <w:tcPr>
            <w:tcW w:w="1102" w:type="dxa"/>
            <w:tcBorders>
              <w:top w:val="single" w:sz="4" w:space="0" w:color="auto"/>
              <w:left w:val="nil"/>
              <w:bottom w:val="single" w:sz="4" w:space="0" w:color="auto"/>
              <w:right w:val="single" w:sz="4" w:space="0" w:color="auto"/>
            </w:tcBorders>
            <w:shd w:val="clear" w:color="auto" w:fill="C6EFCE"/>
            <w:noWrap/>
          </w:tcPr>
          <w:p w14:paraId="63409F97" w14:textId="77777777" w:rsidR="00553430" w:rsidRDefault="00212577">
            <w:pPr>
              <w:pStyle w:val="P68B1DB1-Normal66"/>
              <w:spacing w:after="200" w:line="276" w:lineRule="auto"/>
              <w:jc w:val="center"/>
              <w:rPr>
                <w:noProof/>
              </w:rPr>
            </w:pPr>
            <w:r>
              <w:rPr>
                <w:noProof/>
              </w:rPr>
              <w:t>M</w:t>
            </w:r>
          </w:p>
        </w:tc>
        <w:tc>
          <w:tcPr>
            <w:tcW w:w="1733" w:type="dxa"/>
            <w:tcBorders>
              <w:top w:val="single" w:sz="4" w:space="0" w:color="auto"/>
              <w:left w:val="nil"/>
              <w:bottom w:val="single" w:sz="4" w:space="0" w:color="auto"/>
              <w:right w:val="single" w:sz="4" w:space="0" w:color="auto"/>
            </w:tcBorders>
            <w:shd w:val="clear" w:color="auto" w:fill="C6EFCE"/>
            <w:noWrap/>
          </w:tcPr>
          <w:p w14:paraId="41374E07" w14:textId="77777777" w:rsidR="00553430" w:rsidRDefault="00212577">
            <w:pPr>
              <w:pStyle w:val="P68B1DB1-Normal66"/>
              <w:spacing w:after="200" w:line="276" w:lineRule="auto"/>
              <w:rPr>
                <w:noProof/>
              </w:rPr>
            </w:pPr>
            <w:r>
              <w:rPr>
                <w:noProof/>
              </w:rPr>
              <w:t>Programme national de sécurité routière 2021-2030</w:t>
            </w:r>
          </w:p>
        </w:tc>
        <w:tc>
          <w:tcPr>
            <w:tcW w:w="1984" w:type="dxa"/>
            <w:tcBorders>
              <w:top w:val="single" w:sz="4" w:space="0" w:color="auto"/>
              <w:left w:val="nil"/>
              <w:bottom w:val="single" w:sz="4" w:space="0" w:color="auto"/>
              <w:right w:val="single" w:sz="4" w:space="0" w:color="auto"/>
            </w:tcBorders>
            <w:shd w:val="clear" w:color="auto" w:fill="C6EFCE"/>
            <w:noWrap/>
          </w:tcPr>
          <w:p w14:paraId="01B94B26" w14:textId="77777777" w:rsidR="00553430" w:rsidRDefault="00212577">
            <w:pPr>
              <w:pStyle w:val="P68B1DB1-Normal66"/>
              <w:spacing w:after="200" w:line="276" w:lineRule="auto"/>
              <w:rPr>
                <w:noProof/>
              </w:rPr>
            </w:pPr>
            <w:r>
              <w:rPr>
                <w:noProof/>
              </w:rPr>
              <w:t>Le programme national de sécurité routière 2021-2030 adopté par le gouvernement croate</w:t>
            </w:r>
          </w:p>
        </w:tc>
        <w:tc>
          <w:tcPr>
            <w:tcW w:w="1067" w:type="dxa"/>
            <w:tcBorders>
              <w:top w:val="single" w:sz="4" w:space="0" w:color="auto"/>
              <w:left w:val="nil"/>
              <w:bottom w:val="single" w:sz="4" w:space="0" w:color="auto"/>
              <w:right w:val="single" w:sz="4" w:space="0" w:color="auto"/>
            </w:tcBorders>
            <w:shd w:val="clear" w:color="auto" w:fill="C6EFCE"/>
            <w:noWrap/>
          </w:tcPr>
          <w:p w14:paraId="3C8493CC" w14:textId="77777777" w:rsidR="00553430" w:rsidRDefault="00212577">
            <w:pPr>
              <w:pStyle w:val="P68B1DB1-Normal66"/>
              <w:spacing w:after="200" w:line="276" w:lineRule="auto"/>
              <w:jc w:val="center"/>
              <w:rPr>
                <w:noProof/>
              </w:rPr>
            </w:pPr>
            <w:r>
              <w:rPr>
                <w:noProof/>
              </w:rPr>
              <w:t> </w:t>
            </w:r>
          </w:p>
        </w:tc>
        <w:tc>
          <w:tcPr>
            <w:tcW w:w="918" w:type="dxa"/>
            <w:tcBorders>
              <w:top w:val="single" w:sz="4" w:space="0" w:color="auto"/>
              <w:left w:val="nil"/>
              <w:bottom w:val="single" w:sz="4" w:space="0" w:color="auto"/>
              <w:right w:val="single" w:sz="4" w:space="0" w:color="auto"/>
            </w:tcBorders>
            <w:shd w:val="clear" w:color="auto" w:fill="C6EFCE"/>
            <w:noWrap/>
          </w:tcPr>
          <w:p w14:paraId="4526CC48" w14:textId="77777777" w:rsidR="00553430" w:rsidRDefault="00212577">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7C77C875" w14:textId="77777777" w:rsidR="00553430" w:rsidRDefault="00212577">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1A523CB3" w14:textId="77777777" w:rsidR="00553430" w:rsidRDefault="00212577">
            <w:pPr>
              <w:pStyle w:val="P68B1DB1-Normal66"/>
              <w:spacing w:after="200" w:line="276" w:lineRule="auto"/>
              <w:jc w:val="center"/>
              <w:rPr>
                <w:noProof/>
              </w:rPr>
            </w:pPr>
            <w:r>
              <w:rPr>
                <w:noProof/>
              </w:rPr>
              <w:t>T3</w:t>
            </w:r>
          </w:p>
        </w:tc>
        <w:tc>
          <w:tcPr>
            <w:tcW w:w="851" w:type="dxa"/>
            <w:tcBorders>
              <w:top w:val="single" w:sz="4" w:space="0" w:color="auto"/>
              <w:left w:val="nil"/>
              <w:bottom w:val="single" w:sz="4" w:space="0" w:color="auto"/>
              <w:right w:val="single" w:sz="4" w:space="0" w:color="auto"/>
            </w:tcBorders>
            <w:shd w:val="clear" w:color="auto" w:fill="C6EFCE"/>
            <w:noWrap/>
          </w:tcPr>
          <w:p w14:paraId="5FEF4CCF" w14:textId="77777777" w:rsidR="00553430" w:rsidRDefault="00212577">
            <w:pPr>
              <w:pStyle w:val="P68B1DB1-Normal66"/>
              <w:spacing w:after="200" w:line="276" w:lineRule="auto"/>
              <w:jc w:val="center"/>
              <w:rPr>
                <w:noProof/>
              </w:rPr>
            </w:pPr>
            <w:r>
              <w:rPr>
                <w:noProof/>
              </w:rPr>
              <w:t>2021</w:t>
            </w:r>
          </w:p>
        </w:tc>
        <w:tc>
          <w:tcPr>
            <w:tcW w:w="5193" w:type="dxa"/>
            <w:tcBorders>
              <w:top w:val="single" w:sz="4" w:space="0" w:color="auto"/>
              <w:left w:val="nil"/>
              <w:bottom w:val="single" w:sz="4" w:space="0" w:color="auto"/>
              <w:right w:val="single" w:sz="4" w:space="0" w:color="auto"/>
            </w:tcBorders>
            <w:shd w:val="clear" w:color="auto" w:fill="C6EFCE"/>
            <w:noWrap/>
          </w:tcPr>
          <w:p w14:paraId="7A627A5C" w14:textId="77777777" w:rsidR="00553430" w:rsidRDefault="00212577">
            <w:pPr>
              <w:pStyle w:val="P68B1DB1-Normal66"/>
              <w:spacing w:after="200" w:line="276" w:lineRule="auto"/>
              <w:rPr>
                <w:noProof/>
              </w:rPr>
            </w:pPr>
            <w:r>
              <w:rPr>
                <w:noProof/>
              </w:rPr>
              <w:t xml:space="preserve">L’objectif du programme national de sécurité routière </w:t>
            </w:r>
            <w:r>
              <w:rPr>
                <w:noProof/>
              </w:rPr>
              <w:t xml:space="preserve">2021-2030, élaboré par le ministère de l’intérieur en coopération avec le ministère de la mer, des transports et des infrastructures et d’autres ministères compétents, est d’améliorer la sécurité routière en Croatie. </w:t>
            </w:r>
          </w:p>
        </w:tc>
      </w:tr>
      <w:tr w:rsidR="00553430" w14:paraId="548DF336"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3FF9D0C9" w14:textId="77777777" w:rsidR="00553430" w:rsidRDefault="00212577">
            <w:pPr>
              <w:pStyle w:val="P68B1DB1-Normal66"/>
              <w:spacing w:after="200" w:line="276" w:lineRule="auto"/>
              <w:jc w:val="center"/>
              <w:rPr>
                <w:noProof/>
              </w:rPr>
            </w:pPr>
            <w:r>
              <w:rPr>
                <w:noProof/>
              </w:rPr>
              <w:t>94</w:t>
            </w:r>
          </w:p>
        </w:tc>
        <w:tc>
          <w:tcPr>
            <w:tcW w:w="1134" w:type="dxa"/>
            <w:tcBorders>
              <w:top w:val="single" w:sz="4" w:space="0" w:color="auto"/>
              <w:left w:val="nil"/>
              <w:bottom w:val="single" w:sz="4" w:space="0" w:color="auto"/>
              <w:right w:val="single" w:sz="4" w:space="0" w:color="auto"/>
            </w:tcBorders>
            <w:shd w:val="clear" w:color="auto" w:fill="C6EFCE"/>
            <w:noWrap/>
          </w:tcPr>
          <w:p w14:paraId="6DCB80D7" w14:textId="77777777" w:rsidR="00553430" w:rsidRDefault="00212577">
            <w:pPr>
              <w:pStyle w:val="P68B1DB1-Normal66"/>
              <w:spacing w:after="200" w:line="276" w:lineRule="auto"/>
              <w:jc w:val="center"/>
              <w:rPr>
                <w:noProof/>
              </w:rPr>
            </w:pPr>
            <w:r>
              <w:rPr>
                <w:noProof/>
              </w:rPr>
              <w:t>C1.4. R1-I2</w:t>
            </w:r>
          </w:p>
        </w:tc>
        <w:tc>
          <w:tcPr>
            <w:tcW w:w="1102" w:type="dxa"/>
            <w:tcBorders>
              <w:top w:val="single" w:sz="4" w:space="0" w:color="auto"/>
              <w:left w:val="nil"/>
              <w:bottom w:val="single" w:sz="4" w:space="0" w:color="auto"/>
              <w:right w:val="single" w:sz="4" w:space="0" w:color="auto"/>
            </w:tcBorders>
            <w:shd w:val="clear" w:color="auto" w:fill="C6EFCE"/>
            <w:noWrap/>
          </w:tcPr>
          <w:p w14:paraId="331A9F6F" w14:textId="77777777" w:rsidR="00553430" w:rsidRDefault="00212577">
            <w:pPr>
              <w:pStyle w:val="P68B1DB1-Normal66"/>
              <w:spacing w:after="200" w:line="276" w:lineRule="auto"/>
              <w:jc w:val="center"/>
              <w:rPr>
                <w:noProof/>
              </w:rPr>
            </w:pPr>
            <w:r>
              <w:rPr>
                <w:noProof/>
              </w:rPr>
              <w:t>T</w:t>
            </w:r>
          </w:p>
        </w:tc>
        <w:tc>
          <w:tcPr>
            <w:tcW w:w="1733" w:type="dxa"/>
            <w:tcBorders>
              <w:top w:val="single" w:sz="4" w:space="0" w:color="auto"/>
              <w:left w:val="nil"/>
              <w:bottom w:val="single" w:sz="4" w:space="0" w:color="auto"/>
              <w:right w:val="single" w:sz="4" w:space="0" w:color="auto"/>
            </w:tcBorders>
            <w:shd w:val="clear" w:color="auto" w:fill="C6EFCE"/>
            <w:noWrap/>
          </w:tcPr>
          <w:p w14:paraId="1F632B62" w14:textId="77777777" w:rsidR="00553430" w:rsidRDefault="00212577">
            <w:pPr>
              <w:pStyle w:val="P68B1DB1-Normal66"/>
              <w:spacing w:after="200" w:line="276" w:lineRule="auto"/>
              <w:rPr>
                <w:noProof/>
              </w:rPr>
            </w:pPr>
            <w:r>
              <w:rPr>
                <w:noProof/>
              </w:rPr>
              <w:t xml:space="preserve">Mise en place d'un </w:t>
            </w:r>
            <w:r>
              <w:rPr>
                <w:noProof/>
              </w:rPr>
              <w:t>système fonctionnel pour l'exercice des droits des personnes handicapées dans le domaine de la mobilité</w:t>
            </w:r>
          </w:p>
        </w:tc>
        <w:tc>
          <w:tcPr>
            <w:tcW w:w="1984" w:type="dxa"/>
            <w:tcBorders>
              <w:top w:val="single" w:sz="4" w:space="0" w:color="auto"/>
              <w:left w:val="nil"/>
              <w:bottom w:val="single" w:sz="4" w:space="0" w:color="auto"/>
              <w:right w:val="single" w:sz="4" w:space="0" w:color="auto"/>
            </w:tcBorders>
            <w:shd w:val="clear" w:color="auto" w:fill="C6EFCE"/>
            <w:noWrap/>
          </w:tcPr>
          <w:p w14:paraId="3A842213" w14:textId="77777777" w:rsidR="00553430" w:rsidRDefault="00212577">
            <w:pPr>
              <w:pStyle w:val="P68B1DB1-Normal66"/>
              <w:spacing w:after="240" w:line="276" w:lineRule="auto"/>
              <w:rPr>
                <w:noProof/>
              </w:rPr>
            </w:pPr>
            <w:r>
              <w:rPr>
                <w:noProof/>
              </w:rPr>
              <w:t> </w:t>
            </w:r>
          </w:p>
        </w:tc>
        <w:tc>
          <w:tcPr>
            <w:tcW w:w="1067" w:type="dxa"/>
            <w:tcBorders>
              <w:top w:val="single" w:sz="4" w:space="0" w:color="auto"/>
              <w:left w:val="nil"/>
              <w:bottom w:val="single" w:sz="4" w:space="0" w:color="auto"/>
              <w:right w:val="single" w:sz="4" w:space="0" w:color="auto"/>
            </w:tcBorders>
            <w:shd w:val="clear" w:color="auto" w:fill="C6EFCE"/>
            <w:noWrap/>
          </w:tcPr>
          <w:p w14:paraId="7A1BF3B6" w14:textId="77777777" w:rsidR="00553430" w:rsidRDefault="00212577">
            <w:pPr>
              <w:pStyle w:val="P68B1DB1-Normal66"/>
              <w:spacing w:after="0" w:line="276" w:lineRule="auto"/>
              <w:jc w:val="center"/>
              <w:rPr>
                <w:noProof/>
              </w:rPr>
            </w:pPr>
            <w:r>
              <w:rPr>
                <w:noProof/>
              </w:rPr>
              <w:t>% (pourcentage)</w:t>
            </w:r>
          </w:p>
        </w:tc>
        <w:tc>
          <w:tcPr>
            <w:tcW w:w="918" w:type="dxa"/>
            <w:tcBorders>
              <w:top w:val="single" w:sz="4" w:space="0" w:color="auto"/>
              <w:left w:val="nil"/>
              <w:bottom w:val="single" w:sz="4" w:space="0" w:color="auto"/>
              <w:right w:val="single" w:sz="4" w:space="0" w:color="auto"/>
            </w:tcBorders>
            <w:shd w:val="clear" w:color="auto" w:fill="C6EFCE"/>
            <w:noWrap/>
          </w:tcPr>
          <w:p w14:paraId="1D6191E4" w14:textId="77777777" w:rsidR="00553430" w:rsidRDefault="00212577">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4326AC92" w14:textId="77777777" w:rsidR="00553430" w:rsidRDefault="00212577">
            <w:pPr>
              <w:pStyle w:val="P68B1DB1-Normal66"/>
              <w:spacing w:after="200" w:line="276" w:lineRule="auto"/>
              <w:jc w:val="center"/>
              <w:rPr>
                <w:noProof/>
              </w:rPr>
            </w:pPr>
            <w:r>
              <w:rPr>
                <w:noProof/>
              </w:rPr>
              <w:t>50</w:t>
            </w:r>
          </w:p>
        </w:tc>
        <w:tc>
          <w:tcPr>
            <w:tcW w:w="850" w:type="dxa"/>
            <w:tcBorders>
              <w:top w:val="single" w:sz="4" w:space="0" w:color="auto"/>
              <w:left w:val="nil"/>
              <w:bottom w:val="single" w:sz="4" w:space="0" w:color="auto"/>
              <w:right w:val="single" w:sz="4" w:space="0" w:color="auto"/>
            </w:tcBorders>
            <w:shd w:val="clear" w:color="auto" w:fill="C6EFCE"/>
            <w:noWrap/>
          </w:tcPr>
          <w:p w14:paraId="3DB74796"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3B422A92" w14:textId="77777777" w:rsidR="00553430" w:rsidRDefault="00212577">
            <w:pPr>
              <w:pStyle w:val="P68B1DB1-Normal66"/>
              <w:spacing w:after="200" w:line="276" w:lineRule="auto"/>
              <w:jc w:val="center"/>
              <w:rPr>
                <w:noProof/>
              </w:rPr>
            </w:pPr>
            <w:r>
              <w:rPr>
                <w:noProof/>
              </w:rPr>
              <w:t>2023</w:t>
            </w:r>
          </w:p>
        </w:tc>
        <w:tc>
          <w:tcPr>
            <w:tcW w:w="5193" w:type="dxa"/>
            <w:tcBorders>
              <w:top w:val="single" w:sz="4" w:space="0" w:color="auto"/>
              <w:left w:val="nil"/>
              <w:bottom w:val="single" w:sz="4" w:space="0" w:color="auto"/>
              <w:right w:val="single" w:sz="4" w:space="0" w:color="auto"/>
            </w:tcBorders>
            <w:shd w:val="clear" w:color="auto" w:fill="C6EFCE"/>
            <w:noWrap/>
          </w:tcPr>
          <w:p w14:paraId="7467FE26" w14:textId="77777777" w:rsidR="00553430" w:rsidRDefault="00212577">
            <w:pPr>
              <w:pStyle w:val="P68B1DB1-Normal66"/>
              <w:spacing w:after="200" w:line="276" w:lineRule="auto"/>
              <w:rPr>
                <w:noProof/>
              </w:rPr>
            </w:pPr>
            <w:r>
              <w:rPr>
                <w:noProof/>
              </w:rPr>
              <w:t>Dans le cadre de l’investissement, qui met en place un système fonctionnel qui permet aux personnes handicapées de demand</w:t>
            </w:r>
            <w:r>
              <w:rPr>
                <w:noProof/>
              </w:rPr>
              <w:t>er plus facilement tous les droits à la mobilité en un seul endroit et garantit un traitement plus rapide des demandes, un document unique est établi pour permettre aux personnes handicapées d’utiliser le système fonctionnel et d’exercer les mêmes droits s</w:t>
            </w:r>
            <w:r>
              <w:rPr>
                <w:noProof/>
              </w:rPr>
              <w:t>ur l’ensemble du territoire croate (carte électronique d’invalidité) et au moins 50 % des cartes envisagées sont délivrées aux personnes handicapées qui ont des droits dans le domaine de la mobilité.</w:t>
            </w:r>
          </w:p>
        </w:tc>
      </w:tr>
      <w:tr w:rsidR="00553430" w14:paraId="0ED7C9A8"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64B83EC0" w14:textId="77777777" w:rsidR="00553430" w:rsidRDefault="00212577">
            <w:pPr>
              <w:pStyle w:val="P68B1DB1-Normal66"/>
              <w:spacing w:after="200" w:line="276" w:lineRule="auto"/>
              <w:jc w:val="center"/>
              <w:rPr>
                <w:noProof/>
              </w:rPr>
            </w:pPr>
            <w:r>
              <w:rPr>
                <w:noProof/>
              </w:rPr>
              <w:t>95</w:t>
            </w:r>
          </w:p>
        </w:tc>
        <w:tc>
          <w:tcPr>
            <w:tcW w:w="1134" w:type="dxa"/>
            <w:tcBorders>
              <w:top w:val="single" w:sz="4" w:space="0" w:color="auto"/>
              <w:left w:val="nil"/>
              <w:bottom w:val="single" w:sz="4" w:space="0" w:color="auto"/>
              <w:right w:val="single" w:sz="4" w:space="0" w:color="auto"/>
            </w:tcBorders>
            <w:shd w:val="clear" w:color="auto" w:fill="C6EFCE"/>
            <w:noWrap/>
          </w:tcPr>
          <w:p w14:paraId="0B4C2751" w14:textId="77777777" w:rsidR="00553430" w:rsidRDefault="00212577">
            <w:pPr>
              <w:pStyle w:val="P68B1DB1-Normal66"/>
              <w:spacing w:after="200" w:line="276" w:lineRule="auto"/>
              <w:jc w:val="center"/>
              <w:rPr>
                <w:noProof/>
              </w:rPr>
            </w:pPr>
            <w:r>
              <w:rPr>
                <w:noProof/>
              </w:rPr>
              <w:t>C1.4. R1-I3</w:t>
            </w:r>
          </w:p>
        </w:tc>
        <w:tc>
          <w:tcPr>
            <w:tcW w:w="1102" w:type="dxa"/>
            <w:tcBorders>
              <w:top w:val="single" w:sz="4" w:space="0" w:color="auto"/>
              <w:left w:val="nil"/>
              <w:bottom w:val="single" w:sz="4" w:space="0" w:color="auto"/>
              <w:right w:val="single" w:sz="4" w:space="0" w:color="auto"/>
            </w:tcBorders>
            <w:shd w:val="clear" w:color="auto" w:fill="C6EFCE"/>
            <w:noWrap/>
          </w:tcPr>
          <w:p w14:paraId="038D008F" w14:textId="77777777" w:rsidR="00553430" w:rsidRDefault="00212577">
            <w:pPr>
              <w:pStyle w:val="P68B1DB1-Normal66"/>
              <w:spacing w:after="200" w:line="276" w:lineRule="auto"/>
              <w:jc w:val="center"/>
              <w:rPr>
                <w:noProof/>
              </w:rPr>
            </w:pPr>
            <w:r>
              <w:rPr>
                <w:noProof/>
              </w:rPr>
              <w:t>M</w:t>
            </w:r>
          </w:p>
        </w:tc>
        <w:tc>
          <w:tcPr>
            <w:tcW w:w="1733" w:type="dxa"/>
            <w:tcBorders>
              <w:top w:val="single" w:sz="4" w:space="0" w:color="auto"/>
              <w:left w:val="nil"/>
              <w:bottom w:val="single" w:sz="4" w:space="0" w:color="auto"/>
              <w:right w:val="single" w:sz="4" w:space="0" w:color="auto"/>
            </w:tcBorders>
            <w:shd w:val="clear" w:color="auto" w:fill="C6EFCE"/>
            <w:noWrap/>
          </w:tcPr>
          <w:p w14:paraId="535B0EEB" w14:textId="77777777" w:rsidR="00553430" w:rsidRDefault="00212577">
            <w:pPr>
              <w:pStyle w:val="P68B1DB1-Normal66"/>
              <w:spacing w:after="200" w:line="276" w:lineRule="auto"/>
              <w:rPr>
                <w:noProof/>
              </w:rPr>
            </w:pPr>
            <w:r>
              <w:rPr>
                <w:noProof/>
              </w:rPr>
              <w:t>Mise en place d'un système national de</w:t>
            </w:r>
            <w:r>
              <w:rPr>
                <w:noProof/>
              </w:rPr>
              <w:t xml:space="preserve"> stockage électronique et d'échange de données dans le domaine du transport routier (NSCP)</w:t>
            </w:r>
          </w:p>
        </w:tc>
        <w:tc>
          <w:tcPr>
            <w:tcW w:w="1984" w:type="dxa"/>
            <w:tcBorders>
              <w:top w:val="single" w:sz="4" w:space="0" w:color="auto"/>
              <w:left w:val="nil"/>
              <w:bottom w:val="single" w:sz="4" w:space="0" w:color="auto"/>
              <w:right w:val="single" w:sz="4" w:space="0" w:color="auto"/>
            </w:tcBorders>
            <w:shd w:val="clear" w:color="auto" w:fill="C6EFCE"/>
            <w:noWrap/>
          </w:tcPr>
          <w:p w14:paraId="67582436" w14:textId="77777777" w:rsidR="00553430" w:rsidRDefault="00212577">
            <w:pPr>
              <w:pStyle w:val="P68B1DB1-Normal66"/>
              <w:spacing w:after="200" w:line="276" w:lineRule="auto"/>
              <w:rPr>
                <w:noProof/>
              </w:rPr>
            </w:pPr>
            <w:r>
              <w:rPr>
                <w:noProof/>
              </w:rPr>
              <w:t>Mise en place d’un système national de stockage électronique et d’échange de données dans le domaine du transport routier (NSCP)</w:t>
            </w:r>
          </w:p>
        </w:tc>
        <w:tc>
          <w:tcPr>
            <w:tcW w:w="1067" w:type="dxa"/>
            <w:tcBorders>
              <w:top w:val="single" w:sz="4" w:space="0" w:color="auto"/>
              <w:left w:val="nil"/>
              <w:bottom w:val="single" w:sz="4" w:space="0" w:color="auto"/>
              <w:right w:val="single" w:sz="4" w:space="0" w:color="auto"/>
            </w:tcBorders>
            <w:shd w:val="clear" w:color="auto" w:fill="C6EFCE"/>
            <w:noWrap/>
          </w:tcPr>
          <w:p w14:paraId="3B721976" w14:textId="77777777" w:rsidR="00553430" w:rsidRDefault="00212577">
            <w:pPr>
              <w:pStyle w:val="P68B1DB1-Normal66"/>
              <w:spacing w:after="200" w:line="276" w:lineRule="auto"/>
              <w:jc w:val="center"/>
              <w:rPr>
                <w:noProof/>
              </w:rPr>
            </w:pPr>
            <w:r>
              <w:rPr>
                <w:noProof/>
              </w:rPr>
              <w:t> </w:t>
            </w:r>
          </w:p>
        </w:tc>
        <w:tc>
          <w:tcPr>
            <w:tcW w:w="918" w:type="dxa"/>
            <w:tcBorders>
              <w:top w:val="single" w:sz="4" w:space="0" w:color="auto"/>
              <w:left w:val="nil"/>
              <w:bottom w:val="single" w:sz="4" w:space="0" w:color="auto"/>
              <w:right w:val="single" w:sz="4" w:space="0" w:color="auto"/>
            </w:tcBorders>
            <w:shd w:val="clear" w:color="auto" w:fill="C6EFCE"/>
            <w:noWrap/>
          </w:tcPr>
          <w:p w14:paraId="2347A8A6" w14:textId="77777777" w:rsidR="00553430" w:rsidRDefault="00212577">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0F1DA78C" w14:textId="77777777" w:rsidR="00553430" w:rsidRDefault="00212577">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7FB16505" w14:textId="77777777" w:rsidR="00553430" w:rsidRDefault="00212577">
            <w:pPr>
              <w:pStyle w:val="P68B1DB1-Normal66"/>
              <w:spacing w:after="200" w:line="276" w:lineRule="auto"/>
              <w:jc w:val="center"/>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537D75BD" w14:textId="77777777" w:rsidR="00553430" w:rsidRDefault="00212577">
            <w:pPr>
              <w:pStyle w:val="P68B1DB1-Normal66"/>
              <w:spacing w:after="200" w:line="276" w:lineRule="auto"/>
              <w:jc w:val="center"/>
              <w:rPr>
                <w:noProof/>
              </w:rPr>
            </w:pPr>
            <w:r>
              <w:rPr>
                <w:noProof/>
              </w:rPr>
              <w:t>2026</w:t>
            </w:r>
          </w:p>
        </w:tc>
        <w:tc>
          <w:tcPr>
            <w:tcW w:w="5193" w:type="dxa"/>
            <w:tcBorders>
              <w:top w:val="single" w:sz="4" w:space="0" w:color="auto"/>
              <w:left w:val="nil"/>
              <w:bottom w:val="single" w:sz="4" w:space="0" w:color="auto"/>
              <w:right w:val="single" w:sz="4" w:space="0" w:color="auto"/>
            </w:tcBorders>
            <w:shd w:val="clear" w:color="auto" w:fill="C6EFCE"/>
            <w:noWrap/>
          </w:tcPr>
          <w:p w14:paraId="0F1AB67E" w14:textId="77777777" w:rsidR="00553430" w:rsidRDefault="00212577">
            <w:pPr>
              <w:pStyle w:val="P68B1DB1-Normal66"/>
              <w:spacing w:after="200" w:line="276" w:lineRule="auto"/>
              <w:rPr>
                <w:noProof/>
              </w:rPr>
            </w:pPr>
            <w:r>
              <w:rPr>
                <w:noProof/>
              </w:rPr>
              <w:t>Un système national de</w:t>
            </w:r>
            <w:r>
              <w:rPr>
                <w:noProof/>
              </w:rPr>
              <w:t xml:space="preserve"> stockage électronique et d’échange de données dans le domaine du transport routier (NSCP) est mis en place. </w:t>
            </w:r>
          </w:p>
        </w:tc>
      </w:tr>
      <w:tr w:rsidR="00553430" w14:paraId="33B1E701"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075FE942" w14:textId="77777777" w:rsidR="00553430" w:rsidRDefault="00212577">
            <w:pPr>
              <w:pStyle w:val="P68B1DB1-Normal66"/>
              <w:spacing w:after="200" w:line="276" w:lineRule="auto"/>
              <w:jc w:val="center"/>
              <w:rPr>
                <w:noProof/>
              </w:rPr>
            </w:pPr>
            <w:r>
              <w:rPr>
                <w:noProof/>
              </w:rPr>
              <w:t>96</w:t>
            </w:r>
          </w:p>
        </w:tc>
        <w:tc>
          <w:tcPr>
            <w:tcW w:w="1134" w:type="dxa"/>
            <w:tcBorders>
              <w:top w:val="single" w:sz="4" w:space="0" w:color="auto"/>
              <w:left w:val="nil"/>
              <w:bottom w:val="single" w:sz="4" w:space="0" w:color="auto"/>
              <w:right w:val="single" w:sz="4" w:space="0" w:color="auto"/>
            </w:tcBorders>
            <w:shd w:val="clear" w:color="auto" w:fill="C6EFCE"/>
            <w:noWrap/>
          </w:tcPr>
          <w:p w14:paraId="05843770" w14:textId="77777777" w:rsidR="00553430" w:rsidRDefault="00212577">
            <w:pPr>
              <w:pStyle w:val="P68B1DB1-Normal66"/>
              <w:spacing w:after="200" w:line="276" w:lineRule="auto"/>
              <w:jc w:val="center"/>
              <w:rPr>
                <w:noProof/>
              </w:rPr>
            </w:pPr>
            <w:r>
              <w:rPr>
                <w:noProof/>
              </w:rPr>
              <w:t>C1.4. R1-I4</w:t>
            </w:r>
          </w:p>
        </w:tc>
        <w:tc>
          <w:tcPr>
            <w:tcW w:w="1102" w:type="dxa"/>
            <w:tcBorders>
              <w:top w:val="single" w:sz="4" w:space="0" w:color="auto"/>
              <w:left w:val="nil"/>
              <w:bottom w:val="single" w:sz="4" w:space="0" w:color="auto"/>
              <w:right w:val="single" w:sz="4" w:space="0" w:color="auto"/>
            </w:tcBorders>
            <w:shd w:val="clear" w:color="auto" w:fill="C6EFCE"/>
            <w:noWrap/>
          </w:tcPr>
          <w:p w14:paraId="3C4F687A" w14:textId="77777777" w:rsidR="00553430" w:rsidRDefault="00212577">
            <w:pPr>
              <w:pStyle w:val="P68B1DB1-Normal66"/>
              <w:spacing w:after="200" w:line="276" w:lineRule="auto"/>
              <w:jc w:val="center"/>
              <w:rPr>
                <w:noProof/>
              </w:rPr>
            </w:pPr>
            <w:r>
              <w:rPr>
                <w:noProof/>
              </w:rPr>
              <w:t>M</w:t>
            </w:r>
          </w:p>
        </w:tc>
        <w:tc>
          <w:tcPr>
            <w:tcW w:w="1733" w:type="dxa"/>
            <w:tcBorders>
              <w:top w:val="single" w:sz="4" w:space="0" w:color="auto"/>
              <w:left w:val="nil"/>
              <w:bottom w:val="single" w:sz="4" w:space="0" w:color="auto"/>
              <w:right w:val="single" w:sz="4" w:space="0" w:color="auto"/>
            </w:tcBorders>
            <w:shd w:val="clear" w:color="auto" w:fill="C6EFCE"/>
            <w:noWrap/>
          </w:tcPr>
          <w:p w14:paraId="4D67F147" w14:textId="77777777" w:rsidR="00553430" w:rsidRDefault="00212577">
            <w:pPr>
              <w:pStyle w:val="P68B1DB1-Normal66"/>
              <w:spacing w:after="200" w:line="276" w:lineRule="auto"/>
              <w:rPr>
                <w:noProof/>
              </w:rPr>
            </w:pPr>
            <w:r>
              <w:rPr>
                <w:noProof/>
              </w:rPr>
              <w:t>Mise en place d'un système efficace de contrôle des rapports pour le transport routier de voyageurs et de marchandises</w:t>
            </w:r>
          </w:p>
        </w:tc>
        <w:tc>
          <w:tcPr>
            <w:tcW w:w="1984" w:type="dxa"/>
            <w:tcBorders>
              <w:top w:val="single" w:sz="4" w:space="0" w:color="auto"/>
              <w:left w:val="nil"/>
              <w:bottom w:val="single" w:sz="4" w:space="0" w:color="auto"/>
              <w:right w:val="single" w:sz="4" w:space="0" w:color="auto"/>
            </w:tcBorders>
            <w:shd w:val="clear" w:color="auto" w:fill="C6EFCE"/>
            <w:noWrap/>
          </w:tcPr>
          <w:p w14:paraId="27A00C48" w14:textId="77777777" w:rsidR="00553430" w:rsidRDefault="00212577">
            <w:pPr>
              <w:pStyle w:val="P68B1DB1-Normal66"/>
              <w:spacing w:after="200" w:line="276" w:lineRule="auto"/>
              <w:rPr>
                <w:noProof/>
              </w:rPr>
            </w:pPr>
            <w:r>
              <w:rPr>
                <w:noProof/>
              </w:rPr>
              <w:t xml:space="preserve">Mise en place d'un système efficace de contrôle des rapports pour le transport routier de voyageurs et de marchandises </w:t>
            </w:r>
          </w:p>
        </w:tc>
        <w:tc>
          <w:tcPr>
            <w:tcW w:w="1067" w:type="dxa"/>
            <w:tcBorders>
              <w:top w:val="single" w:sz="4" w:space="0" w:color="auto"/>
              <w:left w:val="nil"/>
              <w:bottom w:val="single" w:sz="4" w:space="0" w:color="auto"/>
              <w:right w:val="single" w:sz="4" w:space="0" w:color="auto"/>
            </w:tcBorders>
            <w:shd w:val="clear" w:color="auto" w:fill="C6EFCE"/>
            <w:noWrap/>
          </w:tcPr>
          <w:p w14:paraId="4203F7AE" w14:textId="77777777" w:rsidR="00553430" w:rsidRDefault="00212577">
            <w:pPr>
              <w:pStyle w:val="P68B1DB1-Normal66"/>
              <w:spacing w:after="200" w:line="276" w:lineRule="auto"/>
              <w:jc w:val="center"/>
              <w:rPr>
                <w:noProof/>
              </w:rPr>
            </w:pPr>
            <w:r>
              <w:rPr>
                <w:noProof/>
              </w:rPr>
              <w:t> </w:t>
            </w:r>
          </w:p>
        </w:tc>
        <w:tc>
          <w:tcPr>
            <w:tcW w:w="918" w:type="dxa"/>
            <w:tcBorders>
              <w:top w:val="single" w:sz="4" w:space="0" w:color="auto"/>
              <w:left w:val="nil"/>
              <w:bottom w:val="single" w:sz="4" w:space="0" w:color="auto"/>
              <w:right w:val="single" w:sz="4" w:space="0" w:color="auto"/>
            </w:tcBorders>
            <w:shd w:val="clear" w:color="auto" w:fill="C6EFCE"/>
            <w:noWrap/>
          </w:tcPr>
          <w:p w14:paraId="2D4199AA" w14:textId="77777777" w:rsidR="00553430" w:rsidRDefault="00212577">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48B0E53A" w14:textId="77777777" w:rsidR="00553430" w:rsidRDefault="00212577">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4556AD13"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293A84ED" w14:textId="77777777" w:rsidR="00553430" w:rsidRDefault="00212577">
            <w:pPr>
              <w:pStyle w:val="P68B1DB1-Normal66"/>
              <w:spacing w:after="200" w:line="276" w:lineRule="auto"/>
              <w:jc w:val="center"/>
              <w:rPr>
                <w:noProof/>
              </w:rPr>
            </w:pPr>
            <w:r>
              <w:rPr>
                <w:noProof/>
              </w:rPr>
              <w:t>2024</w:t>
            </w:r>
          </w:p>
        </w:tc>
        <w:tc>
          <w:tcPr>
            <w:tcW w:w="5193" w:type="dxa"/>
            <w:tcBorders>
              <w:top w:val="single" w:sz="4" w:space="0" w:color="auto"/>
              <w:left w:val="nil"/>
              <w:bottom w:val="single" w:sz="4" w:space="0" w:color="auto"/>
              <w:right w:val="single" w:sz="4" w:space="0" w:color="auto"/>
            </w:tcBorders>
            <w:shd w:val="clear" w:color="auto" w:fill="C6EFCE"/>
            <w:noWrap/>
          </w:tcPr>
          <w:p w14:paraId="450A3577" w14:textId="77777777" w:rsidR="00553430" w:rsidRDefault="00212577">
            <w:pPr>
              <w:pStyle w:val="P68B1DB1-Normal66"/>
              <w:spacing w:after="200" w:line="276" w:lineRule="auto"/>
              <w:rPr>
                <w:noProof/>
              </w:rPr>
            </w:pPr>
            <w:r>
              <w:rPr>
                <w:noProof/>
              </w:rPr>
              <w:t>Un système efficace de contrôle des rapports pour le transport routier de voyageurs et de marchandises est mis en place, q</w:t>
            </w:r>
            <w:r>
              <w:rPr>
                <w:noProof/>
              </w:rPr>
              <w:t>ui relie les données du système central de traitement des tachygraphes (SOTAH) aux enregistrements nationaux des cartes tachygraphiques et aux enregistrements connexes sous la responsabilité du ministère de la mer, des transports et des infrastructures.</w:t>
            </w:r>
          </w:p>
        </w:tc>
      </w:tr>
      <w:tr w:rsidR="00553430" w14:paraId="79062CEB"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4AF7E3DC" w14:textId="77777777" w:rsidR="00553430" w:rsidRDefault="00212577">
            <w:pPr>
              <w:pStyle w:val="P68B1DB1-Normal66"/>
              <w:spacing w:after="200" w:line="276" w:lineRule="auto"/>
              <w:jc w:val="center"/>
              <w:rPr>
                <w:noProof/>
              </w:rPr>
            </w:pPr>
            <w:r>
              <w:rPr>
                <w:noProof/>
              </w:rPr>
              <w:t>97</w:t>
            </w:r>
          </w:p>
        </w:tc>
        <w:tc>
          <w:tcPr>
            <w:tcW w:w="1134" w:type="dxa"/>
            <w:tcBorders>
              <w:top w:val="single" w:sz="4" w:space="0" w:color="auto"/>
              <w:left w:val="nil"/>
              <w:bottom w:val="single" w:sz="4" w:space="0" w:color="auto"/>
              <w:right w:val="single" w:sz="4" w:space="0" w:color="auto"/>
            </w:tcBorders>
            <w:shd w:val="clear" w:color="auto" w:fill="C6EFCE"/>
            <w:noWrap/>
          </w:tcPr>
          <w:p w14:paraId="22ED483D" w14:textId="77777777" w:rsidR="00553430" w:rsidRDefault="00212577">
            <w:pPr>
              <w:pStyle w:val="P68B1DB1-Normal66"/>
              <w:spacing w:after="200" w:line="276" w:lineRule="auto"/>
              <w:jc w:val="center"/>
              <w:rPr>
                <w:noProof/>
              </w:rPr>
            </w:pPr>
            <w:r>
              <w:rPr>
                <w:noProof/>
              </w:rPr>
              <w:t>C1.4. R1-I5</w:t>
            </w:r>
          </w:p>
        </w:tc>
        <w:tc>
          <w:tcPr>
            <w:tcW w:w="1102" w:type="dxa"/>
            <w:tcBorders>
              <w:top w:val="single" w:sz="4" w:space="0" w:color="auto"/>
              <w:left w:val="nil"/>
              <w:bottom w:val="single" w:sz="4" w:space="0" w:color="auto"/>
              <w:right w:val="single" w:sz="4" w:space="0" w:color="auto"/>
            </w:tcBorders>
            <w:shd w:val="clear" w:color="auto" w:fill="C6EFCE"/>
            <w:noWrap/>
          </w:tcPr>
          <w:p w14:paraId="03F9136C" w14:textId="77777777" w:rsidR="00553430" w:rsidRDefault="00212577">
            <w:pPr>
              <w:pStyle w:val="P68B1DB1-Normal66"/>
              <w:spacing w:after="200" w:line="276" w:lineRule="auto"/>
              <w:jc w:val="center"/>
              <w:rPr>
                <w:noProof/>
              </w:rPr>
            </w:pPr>
            <w:r>
              <w:rPr>
                <w:noProof/>
              </w:rPr>
              <w:t>M</w:t>
            </w:r>
          </w:p>
        </w:tc>
        <w:tc>
          <w:tcPr>
            <w:tcW w:w="1733" w:type="dxa"/>
            <w:tcBorders>
              <w:top w:val="single" w:sz="4" w:space="0" w:color="auto"/>
              <w:left w:val="nil"/>
              <w:bottom w:val="single" w:sz="4" w:space="0" w:color="auto"/>
              <w:right w:val="single" w:sz="4" w:space="0" w:color="auto"/>
            </w:tcBorders>
            <w:shd w:val="clear" w:color="auto" w:fill="C6EFCE"/>
            <w:noWrap/>
          </w:tcPr>
          <w:p w14:paraId="056ABFC0" w14:textId="6C53ED2F" w:rsidR="00553430" w:rsidRDefault="00212577">
            <w:pPr>
              <w:pStyle w:val="P68B1DB1-Normal66"/>
              <w:spacing w:after="200" w:line="276" w:lineRule="auto"/>
              <w:rPr>
                <w:noProof/>
              </w:rPr>
            </w:pPr>
            <w:r>
              <w:rPr>
                <w:noProof/>
              </w:rPr>
              <w:t>Mise en place d'un système de surveillance du transport de marchandises dangereuses par route (e-ADR)</w:t>
            </w:r>
          </w:p>
        </w:tc>
        <w:tc>
          <w:tcPr>
            <w:tcW w:w="1984" w:type="dxa"/>
            <w:tcBorders>
              <w:top w:val="single" w:sz="4" w:space="0" w:color="auto"/>
              <w:left w:val="nil"/>
              <w:bottom w:val="single" w:sz="4" w:space="0" w:color="auto"/>
              <w:right w:val="single" w:sz="4" w:space="0" w:color="auto"/>
            </w:tcBorders>
            <w:shd w:val="clear" w:color="auto" w:fill="C6EFCE"/>
            <w:noWrap/>
          </w:tcPr>
          <w:p w14:paraId="6B4ACDFD" w14:textId="6ABF10CB" w:rsidR="00553430" w:rsidRDefault="00212577">
            <w:pPr>
              <w:pStyle w:val="P68B1DB1-Normal66"/>
              <w:spacing w:after="200" w:line="276" w:lineRule="auto"/>
              <w:rPr>
                <w:noProof/>
              </w:rPr>
            </w:pPr>
            <w:r>
              <w:rPr>
                <w:noProof/>
              </w:rPr>
              <w:t xml:space="preserve">Un système mis en place pour surveiller le transport de marchandises dangereuses par route (e-ADR) </w:t>
            </w:r>
          </w:p>
        </w:tc>
        <w:tc>
          <w:tcPr>
            <w:tcW w:w="1067" w:type="dxa"/>
            <w:tcBorders>
              <w:top w:val="single" w:sz="4" w:space="0" w:color="auto"/>
              <w:left w:val="nil"/>
              <w:bottom w:val="single" w:sz="4" w:space="0" w:color="auto"/>
              <w:right w:val="single" w:sz="4" w:space="0" w:color="auto"/>
            </w:tcBorders>
            <w:shd w:val="clear" w:color="auto" w:fill="C6EFCE"/>
            <w:noWrap/>
          </w:tcPr>
          <w:p w14:paraId="2FCD4751" w14:textId="77777777" w:rsidR="00553430" w:rsidRDefault="00212577">
            <w:pPr>
              <w:pStyle w:val="P68B1DB1-Normal66"/>
              <w:spacing w:after="200" w:line="276" w:lineRule="auto"/>
              <w:jc w:val="center"/>
              <w:rPr>
                <w:noProof/>
              </w:rPr>
            </w:pPr>
            <w:r>
              <w:rPr>
                <w:noProof/>
              </w:rPr>
              <w:t> </w:t>
            </w:r>
          </w:p>
        </w:tc>
        <w:tc>
          <w:tcPr>
            <w:tcW w:w="918" w:type="dxa"/>
            <w:tcBorders>
              <w:top w:val="single" w:sz="4" w:space="0" w:color="auto"/>
              <w:left w:val="nil"/>
              <w:bottom w:val="single" w:sz="4" w:space="0" w:color="auto"/>
              <w:right w:val="single" w:sz="4" w:space="0" w:color="auto"/>
            </w:tcBorders>
            <w:shd w:val="clear" w:color="auto" w:fill="C6EFCE"/>
            <w:noWrap/>
          </w:tcPr>
          <w:p w14:paraId="7135B12F" w14:textId="77777777" w:rsidR="00553430" w:rsidRDefault="00212577">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33DB5235" w14:textId="77777777" w:rsidR="00553430" w:rsidRDefault="00212577">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7FED9816" w14:textId="77777777" w:rsidR="00553430" w:rsidRDefault="00212577">
            <w:pPr>
              <w:pStyle w:val="P68B1DB1-Normal66"/>
              <w:spacing w:after="200" w:line="276" w:lineRule="auto"/>
              <w:jc w:val="center"/>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58F08637" w14:textId="77777777" w:rsidR="00553430" w:rsidRDefault="00212577">
            <w:pPr>
              <w:pStyle w:val="P68B1DB1-Normal66"/>
              <w:spacing w:after="200" w:line="276" w:lineRule="auto"/>
              <w:jc w:val="center"/>
              <w:rPr>
                <w:noProof/>
              </w:rPr>
            </w:pPr>
            <w:r>
              <w:rPr>
                <w:noProof/>
              </w:rPr>
              <w:t>2026</w:t>
            </w:r>
          </w:p>
        </w:tc>
        <w:tc>
          <w:tcPr>
            <w:tcW w:w="5193" w:type="dxa"/>
            <w:tcBorders>
              <w:top w:val="single" w:sz="4" w:space="0" w:color="auto"/>
              <w:left w:val="nil"/>
              <w:bottom w:val="single" w:sz="4" w:space="0" w:color="auto"/>
              <w:right w:val="single" w:sz="4" w:space="0" w:color="auto"/>
            </w:tcBorders>
            <w:shd w:val="clear" w:color="auto" w:fill="C6EFCE"/>
            <w:noWrap/>
          </w:tcPr>
          <w:p w14:paraId="1E59E07F" w14:textId="3828C7EB" w:rsidR="00553430" w:rsidRDefault="00212577">
            <w:pPr>
              <w:pStyle w:val="P68B1DB1-Normal66"/>
              <w:spacing w:after="200" w:line="276" w:lineRule="auto"/>
              <w:rPr>
                <w:noProof/>
              </w:rPr>
            </w:pPr>
            <w:r>
              <w:rPr>
                <w:noProof/>
              </w:rPr>
              <w:t xml:space="preserve">Un système de surveillance du transport de marchandises dangereuses par route (e-ADR) doit être mis en place. </w:t>
            </w:r>
          </w:p>
        </w:tc>
      </w:tr>
      <w:tr w:rsidR="00553430" w14:paraId="76F08914"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CF629D4" w14:textId="77777777" w:rsidR="00553430" w:rsidRDefault="00212577">
            <w:pPr>
              <w:pStyle w:val="P68B1DB1-Normal66"/>
              <w:spacing w:after="200" w:line="276" w:lineRule="auto"/>
              <w:jc w:val="center"/>
              <w:rPr>
                <w:noProof/>
              </w:rPr>
            </w:pPr>
            <w:r>
              <w:rPr>
                <w:noProof/>
              </w:rPr>
              <w:t>98</w:t>
            </w:r>
          </w:p>
        </w:tc>
        <w:tc>
          <w:tcPr>
            <w:tcW w:w="1134" w:type="dxa"/>
            <w:tcBorders>
              <w:top w:val="single" w:sz="4" w:space="0" w:color="auto"/>
              <w:left w:val="nil"/>
              <w:bottom w:val="single" w:sz="4" w:space="0" w:color="auto"/>
              <w:right w:val="single" w:sz="4" w:space="0" w:color="auto"/>
            </w:tcBorders>
            <w:shd w:val="clear" w:color="auto" w:fill="C6EFCE"/>
            <w:noWrap/>
          </w:tcPr>
          <w:p w14:paraId="0AAFB0F7" w14:textId="77777777" w:rsidR="00553430" w:rsidRDefault="00212577">
            <w:pPr>
              <w:pStyle w:val="P68B1DB1-Normal66"/>
              <w:spacing w:after="200" w:line="276" w:lineRule="auto"/>
              <w:jc w:val="center"/>
              <w:rPr>
                <w:noProof/>
              </w:rPr>
            </w:pPr>
            <w:r>
              <w:rPr>
                <w:noProof/>
              </w:rPr>
              <w:t>C1.4. R2</w:t>
            </w:r>
          </w:p>
        </w:tc>
        <w:tc>
          <w:tcPr>
            <w:tcW w:w="1102" w:type="dxa"/>
            <w:tcBorders>
              <w:top w:val="single" w:sz="4" w:space="0" w:color="auto"/>
              <w:left w:val="nil"/>
              <w:bottom w:val="single" w:sz="4" w:space="0" w:color="auto"/>
              <w:right w:val="single" w:sz="4" w:space="0" w:color="auto"/>
            </w:tcBorders>
            <w:shd w:val="clear" w:color="auto" w:fill="C6EFCE"/>
            <w:noWrap/>
          </w:tcPr>
          <w:p w14:paraId="1124AC74" w14:textId="77777777" w:rsidR="00553430" w:rsidRDefault="00212577">
            <w:pPr>
              <w:pStyle w:val="P68B1DB1-Normal66"/>
              <w:spacing w:after="200" w:line="276" w:lineRule="auto"/>
              <w:jc w:val="center"/>
              <w:rPr>
                <w:noProof/>
              </w:rPr>
            </w:pPr>
            <w:r>
              <w:rPr>
                <w:noProof/>
              </w:rPr>
              <w:t>M</w:t>
            </w:r>
          </w:p>
        </w:tc>
        <w:tc>
          <w:tcPr>
            <w:tcW w:w="1733" w:type="dxa"/>
            <w:tcBorders>
              <w:top w:val="single" w:sz="4" w:space="0" w:color="auto"/>
              <w:left w:val="nil"/>
              <w:bottom w:val="single" w:sz="4" w:space="0" w:color="auto"/>
              <w:right w:val="single" w:sz="4" w:space="0" w:color="auto"/>
            </w:tcBorders>
            <w:shd w:val="clear" w:color="auto" w:fill="C6EFCE"/>
            <w:noWrap/>
          </w:tcPr>
          <w:p w14:paraId="46F8A4DF" w14:textId="77777777" w:rsidR="00553430" w:rsidRDefault="00212577">
            <w:pPr>
              <w:pStyle w:val="P68B1DB1-Normal66"/>
              <w:spacing w:after="200" w:line="276" w:lineRule="auto"/>
              <w:rPr>
                <w:noProof/>
              </w:rPr>
            </w:pPr>
            <w:r>
              <w:rPr>
                <w:noProof/>
              </w:rPr>
              <w:t xml:space="preserve">Adoption de la lettre de politique sectorielle </w:t>
            </w:r>
          </w:p>
        </w:tc>
        <w:tc>
          <w:tcPr>
            <w:tcW w:w="1984" w:type="dxa"/>
            <w:tcBorders>
              <w:top w:val="single" w:sz="4" w:space="0" w:color="auto"/>
              <w:left w:val="nil"/>
              <w:bottom w:val="single" w:sz="4" w:space="0" w:color="auto"/>
              <w:right w:val="single" w:sz="4" w:space="0" w:color="auto"/>
            </w:tcBorders>
            <w:shd w:val="clear" w:color="auto" w:fill="C6EFCE"/>
            <w:noWrap/>
          </w:tcPr>
          <w:p w14:paraId="4BD9EAD5" w14:textId="77777777" w:rsidR="00553430" w:rsidRDefault="00212577">
            <w:pPr>
              <w:pStyle w:val="P68B1DB1-Normal66"/>
              <w:spacing w:after="200" w:line="276" w:lineRule="auto"/>
              <w:rPr>
                <w:noProof/>
              </w:rPr>
            </w:pPr>
            <w:r>
              <w:rPr>
                <w:noProof/>
              </w:rPr>
              <w:t xml:space="preserve">Lettre de politique sectorielle pour le secteur ferroviaire adoptée par le </w:t>
            </w:r>
            <w:r>
              <w:rPr>
                <w:noProof/>
              </w:rPr>
              <w:t>gouvernement croate</w:t>
            </w:r>
          </w:p>
        </w:tc>
        <w:tc>
          <w:tcPr>
            <w:tcW w:w="1067" w:type="dxa"/>
            <w:tcBorders>
              <w:top w:val="single" w:sz="4" w:space="0" w:color="auto"/>
              <w:left w:val="nil"/>
              <w:bottom w:val="single" w:sz="4" w:space="0" w:color="auto"/>
              <w:right w:val="single" w:sz="4" w:space="0" w:color="auto"/>
            </w:tcBorders>
            <w:shd w:val="clear" w:color="auto" w:fill="C6EFCE"/>
            <w:noWrap/>
          </w:tcPr>
          <w:p w14:paraId="0212D5D5" w14:textId="77777777" w:rsidR="00553430" w:rsidRDefault="00212577">
            <w:pPr>
              <w:pStyle w:val="P68B1DB1-Normal66"/>
              <w:spacing w:after="200" w:line="276" w:lineRule="auto"/>
              <w:jc w:val="center"/>
              <w:rPr>
                <w:noProof/>
              </w:rPr>
            </w:pPr>
            <w:r>
              <w:rPr>
                <w:noProof/>
              </w:rPr>
              <w:t> </w:t>
            </w:r>
          </w:p>
        </w:tc>
        <w:tc>
          <w:tcPr>
            <w:tcW w:w="918" w:type="dxa"/>
            <w:tcBorders>
              <w:top w:val="single" w:sz="4" w:space="0" w:color="auto"/>
              <w:left w:val="nil"/>
              <w:bottom w:val="single" w:sz="4" w:space="0" w:color="auto"/>
              <w:right w:val="single" w:sz="4" w:space="0" w:color="auto"/>
            </w:tcBorders>
            <w:shd w:val="clear" w:color="auto" w:fill="C6EFCE"/>
            <w:noWrap/>
          </w:tcPr>
          <w:p w14:paraId="27A207CD" w14:textId="77777777" w:rsidR="00553430" w:rsidRDefault="00212577">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0E11F887" w14:textId="77777777" w:rsidR="00553430" w:rsidRDefault="00212577">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62780E3C" w14:textId="77777777" w:rsidR="00553430" w:rsidRDefault="00212577">
            <w:pPr>
              <w:pStyle w:val="P68B1DB1-Normal66"/>
              <w:spacing w:after="200" w:line="276" w:lineRule="auto"/>
              <w:jc w:val="center"/>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32C700AB" w14:textId="77777777" w:rsidR="00553430" w:rsidRDefault="00212577">
            <w:pPr>
              <w:pStyle w:val="P68B1DB1-Normal66"/>
              <w:spacing w:after="200" w:line="276" w:lineRule="auto"/>
              <w:jc w:val="center"/>
              <w:rPr>
                <w:noProof/>
              </w:rPr>
            </w:pPr>
            <w:r>
              <w:rPr>
                <w:noProof/>
              </w:rPr>
              <w:t>2021</w:t>
            </w:r>
          </w:p>
        </w:tc>
        <w:tc>
          <w:tcPr>
            <w:tcW w:w="5193" w:type="dxa"/>
            <w:tcBorders>
              <w:top w:val="single" w:sz="4" w:space="0" w:color="auto"/>
              <w:left w:val="nil"/>
              <w:bottom w:val="single" w:sz="4" w:space="0" w:color="auto"/>
              <w:right w:val="single" w:sz="4" w:space="0" w:color="auto"/>
            </w:tcBorders>
            <w:shd w:val="clear" w:color="auto" w:fill="C6EFCE"/>
            <w:noWrap/>
          </w:tcPr>
          <w:p w14:paraId="1771770A" w14:textId="77777777" w:rsidR="00553430" w:rsidRDefault="00212577">
            <w:pPr>
              <w:pStyle w:val="P68B1DB1-Normal66"/>
              <w:spacing w:after="200" w:line="276" w:lineRule="auto"/>
              <w:rPr>
                <w:noProof/>
              </w:rPr>
            </w:pPr>
            <w:r>
              <w:rPr>
                <w:noProof/>
              </w:rPr>
              <w:t xml:space="preserve">La lettre de politique sectorielle comprend: i) objectifs clés ii) un examen des améliorations envisagées, telles que la professionnalisation, la transparence des opérations et des activités de gestion, et iii) un plan de </w:t>
            </w:r>
            <w:r>
              <w:rPr>
                <w:noProof/>
              </w:rPr>
              <w:t>mise en œuvre des mesures et actions visant à réformer et à moderniser le secteur ferroviaire, telles que: adoption du cadre stratégique pour le secteur ferroviaire, du plan national de développement de l'infrastructure ferroviaire et du plan national de g</w:t>
            </w:r>
            <w:r>
              <w:rPr>
                <w:noProof/>
              </w:rPr>
              <w:t>estion de l'infrastructure ferroviaire et des installations de service; et le développement des services de transport ferroviaire.</w:t>
            </w:r>
          </w:p>
        </w:tc>
      </w:tr>
      <w:tr w:rsidR="00553430" w14:paraId="78471660"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04C7CB4A" w14:textId="77777777" w:rsidR="00553430" w:rsidRDefault="00212577">
            <w:pPr>
              <w:pStyle w:val="P68B1DB1-Normal66"/>
              <w:spacing w:after="200" w:line="276" w:lineRule="auto"/>
              <w:jc w:val="center"/>
              <w:rPr>
                <w:noProof/>
              </w:rPr>
            </w:pPr>
            <w:r>
              <w:rPr>
                <w:noProof/>
              </w:rPr>
              <w:t>99</w:t>
            </w:r>
          </w:p>
        </w:tc>
        <w:tc>
          <w:tcPr>
            <w:tcW w:w="1134" w:type="dxa"/>
            <w:tcBorders>
              <w:top w:val="single" w:sz="4" w:space="0" w:color="auto"/>
              <w:left w:val="nil"/>
              <w:bottom w:val="single" w:sz="4" w:space="0" w:color="auto"/>
              <w:right w:val="single" w:sz="4" w:space="0" w:color="auto"/>
            </w:tcBorders>
            <w:shd w:val="clear" w:color="auto" w:fill="C6EFCE"/>
            <w:noWrap/>
          </w:tcPr>
          <w:p w14:paraId="7FCE95A5" w14:textId="77777777" w:rsidR="00553430" w:rsidRDefault="00212577">
            <w:pPr>
              <w:pStyle w:val="P68B1DB1-Normal66"/>
              <w:spacing w:after="200" w:line="276" w:lineRule="auto"/>
              <w:jc w:val="center"/>
              <w:rPr>
                <w:noProof/>
              </w:rPr>
            </w:pPr>
            <w:r>
              <w:rPr>
                <w:noProof/>
              </w:rPr>
              <w:t>C1.4. R2</w:t>
            </w:r>
          </w:p>
        </w:tc>
        <w:tc>
          <w:tcPr>
            <w:tcW w:w="1102" w:type="dxa"/>
            <w:tcBorders>
              <w:top w:val="single" w:sz="4" w:space="0" w:color="auto"/>
              <w:left w:val="nil"/>
              <w:bottom w:val="single" w:sz="4" w:space="0" w:color="auto"/>
              <w:right w:val="single" w:sz="4" w:space="0" w:color="auto"/>
            </w:tcBorders>
            <w:shd w:val="clear" w:color="auto" w:fill="C6EFCE"/>
            <w:noWrap/>
          </w:tcPr>
          <w:p w14:paraId="334FCAE3" w14:textId="77777777" w:rsidR="00553430" w:rsidRDefault="00212577">
            <w:pPr>
              <w:pStyle w:val="P68B1DB1-Normal66"/>
              <w:spacing w:after="200" w:line="276" w:lineRule="auto"/>
              <w:jc w:val="center"/>
              <w:rPr>
                <w:noProof/>
              </w:rPr>
            </w:pPr>
            <w:r>
              <w:rPr>
                <w:noProof/>
              </w:rPr>
              <w:t>M</w:t>
            </w:r>
          </w:p>
        </w:tc>
        <w:tc>
          <w:tcPr>
            <w:tcW w:w="1733" w:type="dxa"/>
            <w:tcBorders>
              <w:top w:val="single" w:sz="4" w:space="0" w:color="auto"/>
              <w:left w:val="nil"/>
              <w:bottom w:val="single" w:sz="4" w:space="0" w:color="auto"/>
              <w:right w:val="single" w:sz="4" w:space="0" w:color="auto"/>
            </w:tcBorders>
            <w:shd w:val="clear" w:color="auto" w:fill="C6EFCE"/>
            <w:noWrap/>
          </w:tcPr>
          <w:p w14:paraId="17272854" w14:textId="77777777" w:rsidR="00553430" w:rsidRDefault="00212577">
            <w:pPr>
              <w:pStyle w:val="P68B1DB1-Normal66"/>
              <w:spacing w:after="200" w:line="276" w:lineRule="auto"/>
              <w:rPr>
                <w:noProof/>
              </w:rPr>
            </w:pPr>
            <w:r>
              <w:rPr>
                <w:noProof/>
              </w:rPr>
              <w:t xml:space="preserve">Le Plan national de développement de l'infrastructure ferroviaire et le Plan national de gestion de </w:t>
            </w:r>
            <w:r>
              <w:rPr>
                <w:noProof/>
              </w:rPr>
              <w:t>l'infrastructure ferroviaire et des installations de service</w:t>
            </w:r>
          </w:p>
        </w:tc>
        <w:tc>
          <w:tcPr>
            <w:tcW w:w="1984" w:type="dxa"/>
            <w:tcBorders>
              <w:top w:val="single" w:sz="4" w:space="0" w:color="auto"/>
              <w:left w:val="nil"/>
              <w:bottom w:val="single" w:sz="4" w:space="0" w:color="auto"/>
              <w:right w:val="single" w:sz="4" w:space="0" w:color="auto"/>
            </w:tcBorders>
            <w:shd w:val="clear" w:color="auto" w:fill="C6EFCE"/>
            <w:noWrap/>
          </w:tcPr>
          <w:p w14:paraId="5442EB64" w14:textId="77777777" w:rsidR="00553430" w:rsidRDefault="00212577">
            <w:pPr>
              <w:pStyle w:val="P68B1DB1-Normal66"/>
              <w:spacing w:after="200" w:line="276" w:lineRule="auto"/>
              <w:rPr>
                <w:noProof/>
              </w:rPr>
            </w:pPr>
            <w:r>
              <w:rPr>
                <w:noProof/>
              </w:rPr>
              <w:t>Le plan national pour le développement de l'infrastructure ferroviaire et le plan national de gestion de l'infrastructure ferroviaire et des installations de service adopté par le gouvernement cr</w:t>
            </w:r>
            <w:r>
              <w:rPr>
                <w:noProof/>
              </w:rPr>
              <w:t>oate</w:t>
            </w:r>
          </w:p>
        </w:tc>
        <w:tc>
          <w:tcPr>
            <w:tcW w:w="1067" w:type="dxa"/>
            <w:tcBorders>
              <w:top w:val="single" w:sz="4" w:space="0" w:color="auto"/>
              <w:left w:val="nil"/>
              <w:bottom w:val="single" w:sz="4" w:space="0" w:color="auto"/>
              <w:right w:val="single" w:sz="4" w:space="0" w:color="auto"/>
            </w:tcBorders>
            <w:shd w:val="clear" w:color="auto" w:fill="C6EFCE"/>
            <w:noWrap/>
          </w:tcPr>
          <w:p w14:paraId="264D431B" w14:textId="77777777" w:rsidR="00553430" w:rsidRDefault="00212577">
            <w:pPr>
              <w:pStyle w:val="P68B1DB1-Normal66"/>
              <w:spacing w:after="200" w:line="276" w:lineRule="auto"/>
              <w:jc w:val="center"/>
              <w:rPr>
                <w:noProof/>
              </w:rPr>
            </w:pPr>
            <w:r>
              <w:rPr>
                <w:noProof/>
              </w:rPr>
              <w:t> </w:t>
            </w:r>
          </w:p>
        </w:tc>
        <w:tc>
          <w:tcPr>
            <w:tcW w:w="918" w:type="dxa"/>
            <w:tcBorders>
              <w:top w:val="single" w:sz="4" w:space="0" w:color="auto"/>
              <w:left w:val="nil"/>
              <w:bottom w:val="single" w:sz="4" w:space="0" w:color="auto"/>
              <w:right w:val="single" w:sz="4" w:space="0" w:color="auto"/>
            </w:tcBorders>
            <w:shd w:val="clear" w:color="auto" w:fill="C6EFCE"/>
            <w:noWrap/>
          </w:tcPr>
          <w:p w14:paraId="7D142C3C" w14:textId="77777777" w:rsidR="00553430" w:rsidRDefault="00212577">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09F1FA4D" w14:textId="77777777" w:rsidR="00553430" w:rsidRDefault="00212577">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231C233B"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09805E50" w14:textId="77777777" w:rsidR="00553430" w:rsidRDefault="00212577">
            <w:pPr>
              <w:pStyle w:val="P68B1DB1-Normal66"/>
              <w:spacing w:after="200" w:line="276" w:lineRule="auto"/>
              <w:jc w:val="center"/>
              <w:rPr>
                <w:noProof/>
              </w:rPr>
            </w:pPr>
            <w:r>
              <w:rPr>
                <w:noProof/>
              </w:rPr>
              <w:t>2022</w:t>
            </w:r>
          </w:p>
        </w:tc>
        <w:tc>
          <w:tcPr>
            <w:tcW w:w="5193" w:type="dxa"/>
            <w:tcBorders>
              <w:top w:val="single" w:sz="4" w:space="0" w:color="auto"/>
              <w:left w:val="nil"/>
              <w:bottom w:val="single" w:sz="4" w:space="0" w:color="auto"/>
              <w:right w:val="single" w:sz="4" w:space="0" w:color="auto"/>
            </w:tcBorders>
            <w:shd w:val="clear" w:color="auto" w:fill="C6EFCE"/>
            <w:noWrap/>
          </w:tcPr>
          <w:p w14:paraId="1CAEC84E" w14:textId="77777777" w:rsidR="00553430" w:rsidRDefault="00212577">
            <w:pPr>
              <w:pStyle w:val="P68B1DB1-Normal66"/>
              <w:spacing w:after="200" w:line="276" w:lineRule="auto"/>
              <w:rPr>
                <w:noProof/>
              </w:rPr>
            </w:pPr>
            <w:r>
              <w:rPr>
                <w:noProof/>
              </w:rPr>
              <w:t>Le plan national de développement de l'infrastructure ferroviaire détermine les projets et les activités nécessaires au développement de l'infrastructure ferroviaire. Le plan national de gestion de l'infrastructure ferroviaire et des ins</w:t>
            </w:r>
            <w:r>
              <w:rPr>
                <w:noProof/>
              </w:rPr>
              <w:t xml:space="preserve">tallations de service définit les projets et activités de gestion, d'organisation de la réglementation du trafic ferroviaire et de développement des services de transport ferroviaire. </w:t>
            </w:r>
          </w:p>
        </w:tc>
      </w:tr>
      <w:tr w:rsidR="00553430" w14:paraId="4F7E4774"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A324A00" w14:textId="77777777" w:rsidR="00553430" w:rsidRDefault="00212577">
            <w:pPr>
              <w:pStyle w:val="P68B1DB1-Normal66"/>
              <w:spacing w:after="200" w:line="276" w:lineRule="auto"/>
              <w:jc w:val="center"/>
              <w:rPr>
                <w:noProof/>
              </w:rPr>
            </w:pPr>
            <w:r>
              <w:rPr>
                <w:noProof/>
              </w:rPr>
              <w:t>100</w:t>
            </w:r>
          </w:p>
        </w:tc>
        <w:tc>
          <w:tcPr>
            <w:tcW w:w="1134" w:type="dxa"/>
            <w:tcBorders>
              <w:top w:val="single" w:sz="4" w:space="0" w:color="auto"/>
              <w:left w:val="nil"/>
              <w:bottom w:val="single" w:sz="4" w:space="0" w:color="auto"/>
              <w:right w:val="single" w:sz="4" w:space="0" w:color="auto"/>
            </w:tcBorders>
            <w:shd w:val="clear" w:color="auto" w:fill="C6EFCE"/>
            <w:noWrap/>
          </w:tcPr>
          <w:p w14:paraId="564DB5D8" w14:textId="77777777" w:rsidR="00553430" w:rsidRDefault="00212577">
            <w:pPr>
              <w:pStyle w:val="P68B1DB1-Normal66"/>
              <w:spacing w:after="200" w:line="276" w:lineRule="auto"/>
              <w:jc w:val="center"/>
              <w:rPr>
                <w:noProof/>
              </w:rPr>
            </w:pPr>
            <w:r>
              <w:rPr>
                <w:noProof/>
              </w:rPr>
              <w:t>C1.4. R2</w:t>
            </w:r>
          </w:p>
        </w:tc>
        <w:tc>
          <w:tcPr>
            <w:tcW w:w="1102" w:type="dxa"/>
            <w:tcBorders>
              <w:top w:val="single" w:sz="4" w:space="0" w:color="auto"/>
              <w:left w:val="nil"/>
              <w:bottom w:val="single" w:sz="4" w:space="0" w:color="auto"/>
              <w:right w:val="single" w:sz="4" w:space="0" w:color="auto"/>
            </w:tcBorders>
            <w:shd w:val="clear" w:color="auto" w:fill="C6EFCE"/>
            <w:noWrap/>
          </w:tcPr>
          <w:p w14:paraId="7E46031F" w14:textId="77777777" w:rsidR="00553430" w:rsidRDefault="00212577">
            <w:pPr>
              <w:pStyle w:val="P68B1DB1-Normal66"/>
              <w:spacing w:after="200" w:line="276" w:lineRule="auto"/>
              <w:jc w:val="center"/>
              <w:rPr>
                <w:noProof/>
              </w:rPr>
            </w:pPr>
            <w:r>
              <w:rPr>
                <w:noProof/>
              </w:rPr>
              <w:t>M</w:t>
            </w:r>
          </w:p>
        </w:tc>
        <w:tc>
          <w:tcPr>
            <w:tcW w:w="1733" w:type="dxa"/>
            <w:tcBorders>
              <w:top w:val="single" w:sz="4" w:space="0" w:color="auto"/>
              <w:left w:val="nil"/>
              <w:bottom w:val="single" w:sz="4" w:space="0" w:color="auto"/>
              <w:right w:val="single" w:sz="4" w:space="0" w:color="auto"/>
            </w:tcBorders>
            <w:shd w:val="clear" w:color="auto" w:fill="C6EFCE"/>
            <w:noWrap/>
          </w:tcPr>
          <w:p w14:paraId="5EF2AC6E" w14:textId="77777777" w:rsidR="00553430" w:rsidRDefault="00212577">
            <w:pPr>
              <w:pStyle w:val="P68B1DB1-Normal66"/>
              <w:spacing w:after="200" w:line="276" w:lineRule="auto"/>
              <w:rPr>
                <w:noProof/>
              </w:rPr>
            </w:pPr>
            <w:r>
              <w:rPr>
                <w:noProof/>
              </w:rPr>
              <w:t xml:space="preserve">Réorganisation des entreprises ferroviaires et gestion des affaires </w:t>
            </w:r>
          </w:p>
        </w:tc>
        <w:tc>
          <w:tcPr>
            <w:tcW w:w="1984" w:type="dxa"/>
            <w:tcBorders>
              <w:top w:val="single" w:sz="4" w:space="0" w:color="auto"/>
              <w:left w:val="nil"/>
              <w:bottom w:val="single" w:sz="4" w:space="0" w:color="auto"/>
              <w:right w:val="single" w:sz="4" w:space="0" w:color="auto"/>
            </w:tcBorders>
            <w:shd w:val="clear" w:color="auto" w:fill="C6EFCE"/>
            <w:noWrap/>
          </w:tcPr>
          <w:p w14:paraId="1ECDCEA8" w14:textId="77777777" w:rsidR="00553430" w:rsidRDefault="00212577">
            <w:pPr>
              <w:pStyle w:val="P68B1DB1-Normal66"/>
              <w:spacing w:after="200" w:line="276" w:lineRule="auto"/>
              <w:rPr>
                <w:noProof/>
              </w:rPr>
            </w:pPr>
            <w:r>
              <w:rPr>
                <w:noProof/>
              </w:rPr>
              <w:t xml:space="preserve">Réorganisation de la gestion des entreprises ferroviaires et des opérations </w:t>
            </w:r>
          </w:p>
        </w:tc>
        <w:tc>
          <w:tcPr>
            <w:tcW w:w="1067" w:type="dxa"/>
            <w:tcBorders>
              <w:top w:val="single" w:sz="4" w:space="0" w:color="auto"/>
              <w:left w:val="nil"/>
              <w:bottom w:val="single" w:sz="4" w:space="0" w:color="auto"/>
              <w:right w:val="single" w:sz="4" w:space="0" w:color="auto"/>
            </w:tcBorders>
            <w:shd w:val="clear" w:color="auto" w:fill="C6EFCE"/>
            <w:noWrap/>
          </w:tcPr>
          <w:p w14:paraId="587DBC93" w14:textId="77777777" w:rsidR="00553430" w:rsidRDefault="00212577">
            <w:pPr>
              <w:pStyle w:val="P68B1DB1-Normal66"/>
              <w:spacing w:after="200" w:line="276" w:lineRule="auto"/>
              <w:jc w:val="center"/>
              <w:rPr>
                <w:noProof/>
              </w:rPr>
            </w:pPr>
            <w:r>
              <w:rPr>
                <w:noProof/>
              </w:rPr>
              <w:t> </w:t>
            </w:r>
          </w:p>
        </w:tc>
        <w:tc>
          <w:tcPr>
            <w:tcW w:w="918" w:type="dxa"/>
            <w:tcBorders>
              <w:top w:val="single" w:sz="4" w:space="0" w:color="auto"/>
              <w:left w:val="nil"/>
              <w:bottom w:val="single" w:sz="4" w:space="0" w:color="auto"/>
              <w:right w:val="single" w:sz="4" w:space="0" w:color="auto"/>
            </w:tcBorders>
            <w:shd w:val="clear" w:color="auto" w:fill="C6EFCE"/>
            <w:noWrap/>
          </w:tcPr>
          <w:p w14:paraId="6AB8406C" w14:textId="77777777" w:rsidR="00553430" w:rsidRDefault="00212577">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398C5417" w14:textId="77777777" w:rsidR="00553430" w:rsidRDefault="00212577">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5782BC90"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4D88C1B8" w14:textId="77777777" w:rsidR="00553430" w:rsidRDefault="00212577">
            <w:pPr>
              <w:pStyle w:val="P68B1DB1-Normal66"/>
              <w:spacing w:after="200" w:line="276" w:lineRule="auto"/>
              <w:jc w:val="center"/>
              <w:rPr>
                <w:noProof/>
              </w:rPr>
            </w:pPr>
            <w:r>
              <w:rPr>
                <w:noProof/>
              </w:rPr>
              <w:t>2024</w:t>
            </w:r>
          </w:p>
        </w:tc>
        <w:tc>
          <w:tcPr>
            <w:tcW w:w="5193" w:type="dxa"/>
            <w:tcBorders>
              <w:top w:val="single" w:sz="4" w:space="0" w:color="auto"/>
              <w:left w:val="nil"/>
              <w:bottom w:val="single" w:sz="4" w:space="0" w:color="auto"/>
              <w:right w:val="single" w:sz="4" w:space="0" w:color="auto"/>
            </w:tcBorders>
            <w:shd w:val="clear" w:color="auto" w:fill="C6EFCE"/>
            <w:noWrap/>
          </w:tcPr>
          <w:p w14:paraId="127C8EC8" w14:textId="77777777" w:rsidR="00553430" w:rsidRDefault="00212577">
            <w:pPr>
              <w:pStyle w:val="P68B1DB1-Normal66"/>
              <w:spacing w:after="200" w:line="276" w:lineRule="auto"/>
              <w:rPr>
                <w:noProof/>
              </w:rPr>
            </w:pPr>
            <w:r>
              <w:rPr>
                <w:noProof/>
              </w:rPr>
              <w:t>La réorganisation de la gestion des compagnies et des opérations ferroviaires doit être finalisé</w:t>
            </w:r>
            <w:r>
              <w:rPr>
                <w:noProof/>
              </w:rPr>
              <w:t>e.</w:t>
            </w:r>
          </w:p>
        </w:tc>
      </w:tr>
      <w:tr w:rsidR="00553430" w14:paraId="2588D13C"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3A87FAD8" w14:textId="77777777" w:rsidR="00553430" w:rsidRDefault="00212577">
            <w:pPr>
              <w:pStyle w:val="P68B1DB1-Normal66"/>
              <w:spacing w:after="200" w:line="276" w:lineRule="auto"/>
              <w:jc w:val="center"/>
              <w:rPr>
                <w:noProof/>
              </w:rPr>
            </w:pPr>
            <w:r>
              <w:rPr>
                <w:noProof/>
              </w:rPr>
              <w:t>104</w:t>
            </w:r>
          </w:p>
        </w:tc>
        <w:tc>
          <w:tcPr>
            <w:tcW w:w="1134" w:type="dxa"/>
            <w:tcBorders>
              <w:top w:val="single" w:sz="4" w:space="0" w:color="auto"/>
              <w:left w:val="nil"/>
              <w:bottom w:val="single" w:sz="4" w:space="0" w:color="auto"/>
              <w:right w:val="single" w:sz="4" w:space="0" w:color="auto"/>
            </w:tcBorders>
            <w:shd w:val="clear" w:color="auto" w:fill="C6EFCE"/>
            <w:noWrap/>
          </w:tcPr>
          <w:p w14:paraId="0DAEF1CF" w14:textId="77777777" w:rsidR="00553430" w:rsidRDefault="00212577">
            <w:pPr>
              <w:pStyle w:val="P68B1DB1-Normal66"/>
              <w:spacing w:after="200" w:line="276" w:lineRule="auto"/>
              <w:jc w:val="center"/>
              <w:rPr>
                <w:noProof/>
              </w:rPr>
            </w:pPr>
            <w:r>
              <w:rPr>
                <w:noProof/>
              </w:rPr>
              <w:t>C1.4. R2-I3</w:t>
            </w:r>
          </w:p>
        </w:tc>
        <w:tc>
          <w:tcPr>
            <w:tcW w:w="1102" w:type="dxa"/>
            <w:tcBorders>
              <w:top w:val="single" w:sz="4" w:space="0" w:color="auto"/>
              <w:left w:val="nil"/>
              <w:bottom w:val="single" w:sz="4" w:space="0" w:color="auto"/>
              <w:right w:val="single" w:sz="4" w:space="0" w:color="auto"/>
            </w:tcBorders>
            <w:shd w:val="clear" w:color="auto" w:fill="C6EFCE"/>
            <w:noWrap/>
          </w:tcPr>
          <w:p w14:paraId="0B7F54AA" w14:textId="77777777" w:rsidR="00553430" w:rsidRDefault="00212577">
            <w:pPr>
              <w:pStyle w:val="P68B1DB1-Normal66"/>
              <w:spacing w:after="200" w:line="276" w:lineRule="auto"/>
              <w:jc w:val="center"/>
              <w:rPr>
                <w:noProof/>
              </w:rPr>
            </w:pPr>
            <w:r>
              <w:rPr>
                <w:noProof/>
              </w:rPr>
              <w:t>T</w:t>
            </w:r>
          </w:p>
        </w:tc>
        <w:tc>
          <w:tcPr>
            <w:tcW w:w="1733" w:type="dxa"/>
            <w:tcBorders>
              <w:top w:val="single" w:sz="4" w:space="0" w:color="auto"/>
              <w:left w:val="nil"/>
              <w:bottom w:val="single" w:sz="4" w:space="0" w:color="auto"/>
              <w:right w:val="single" w:sz="4" w:space="0" w:color="auto"/>
            </w:tcBorders>
            <w:shd w:val="clear" w:color="auto" w:fill="C6EFCE"/>
            <w:noWrap/>
          </w:tcPr>
          <w:p w14:paraId="2EDFB5A8" w14:textId="77777777" w:rsidR="00553430" w:rsidRDefault="00212577">
            <w:pPr>
              <w:pStyle w:val="P68B1DB1-Normal66"/>
              <w:spacing w:after="200" w:line="276" w:lineRule="auto"/>
              <w:rPr>
                <w:noProof/>
              </w:rPr>
            </w:pPr>
            <w:r>
              <w:rPr>
                <w:noProof/>
              </w:rPr>
              <w:t xml:space="preserve">Cinq goulets d'étranglement supprimés sur des tronçons avec des vitesses de fonctionnement de la contrainte actuelle allant jusqu'à 60 km/h </w:t>
            </w:r>
          </w:p>
        </w:tc>
        <w:tc>
          <w:tcPr>
            <w:tcW w:w="1984" w:type="dxa"/>
            <w:tcBorders>
              <w:top w:val="single" w:sz="4" w:space="0" w:color="auto"/>
              <w:left w:val="nil"/>
              <w:bottom w:val="single" w:sz="4" w:space="0" w:color="auto"/>
              <w:right w:val="single" w:sz="4" w:space="0" w:color="auto"/>
            </w:tcBorders>
            <w:shd w:val="clear" w:color="auto" w:fill="C6EFCE"/>
            <w:noWrap/>
          </w:tcPr>
          <w:p w14:paraId="5748B4D6" w14:textId="77777777" w:rsidR="00553430" w:rsidRDefault="00212577">
            <w:pPr>
              <w:pStyle w:val="P68B1DB1-Normal66"/>
              <w:spacing w:after="200" w:line="276"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noWrap/>
          </w:tcPr>
          <w:p w14:paraId="1B4E6889" w14:textId="77777777" w:rsidR="00553430" w:rsidRDefault="00212577">
            <w:pPr>
              <w:pStyle w:val="P68B1DB1-Normal66"/>
              <w:spacing w:after="200" w:line="276" w:lineRule="auto"/>
              <w:jc w:val="center"/>
              <w:rPr>
                <w:noProof/>
              </w:rPr>
            </w:pPr>
            <w:r>
              <w:rPr>
                <w:noProof/>
              </w:rPr>
              <w:t>Numéro</w:t>
            </w:r>
          </w:p>
        </w:tc>
        <w:tc>
          <w:tcPr>
            <w:tcW w:w="918" w:type="dxa"/>
            <w:tcBorders>
              <w:top w:val="single" w:sz="4" w:space="0" w:color="auto"/>
              <w:left w:val="nil"/>
              <w:bottom w:val="single" w:sz="4" w:space="0" w:color="auto"/>
              <w:right w:val="single" w:sz="4" w:space="0" w:color="auto"/>
            </w:tcBorders>
            <w:shd w:val="clear" w:color="auto" w:fill="C6EFCE"/>
            <w:noWrap/>
          </w:tcPr>
          <w:p w14:paraId="2A0D0DBD" w14:textId="77777777" w:rsidR="00553430" w:rsidRDefault="00212577">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51D4C774" w14:textId="77777777" w:rsidR="00553430" w:rsidRDefault="00212577">
            <w:pPr>
              <w:pStyle w:val="P68B1DB1-Normal66"/>
              <w:spacing w:after="200" w:line="276" w:lineRule="auto"/>
              <w:jc w:val="center"/>
              <w:rPr>
                <w:noProof/>
              </w:rPr>
            </w:pPr>
            <w:r>
              <w:rPr>
                <w:noProof/>
              </w:rPr>
              <w:t>5</w:t>
            </w:r>
          </w:p>
        </w:tc>
        <w:tc>
          <w:tcPr>
            <w:tcW w:w="850" w:type="dxa"/>
            <w:tcBorders>
              <w:top w:val="single" w:sz="4" w:space="0" w:color="auto"/>
              <w:left w:val="nil"/>
              <w:bottom w:val="single" w:sz="4" w:space="0" w:color="auto"/>
              <w:right w:val="single" w:sz="4" w:space="0" w:color="auto"/>
            </w:tcBorders>
            <w:shd w:val="clear" w:color="auto" w:fill="C6EFCE"/>
            <w:noWrap/>
          </w:tcPr>
          <w:p w14:paraId="6AF48507"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41A06038" w14:textId="77777777" w:rsidR="00553430" w:rsidRDefault="00212577">
            <w:pPr>
              <w:pStyle w:val="P68B1DB1-Normal66"/>
              <w:spacing w:after="200" w:line="276" w:lineRule="auto"/>
              <w:jc w:val="center"/>
              <w:rPr>
                <w:noProof/>
              </w:rPr>
            </w:pPr>
            <w:r>
              <w:rPr>
                <w:noProof/>
              </w:rPr>
              <w:t>2025</w:t>
            </w:r>
          </w:p>
        </w:tc>
        <w:tc>
          <w:tcPr>
            <w:tcW w:w="5193" w:type="dxa"/>
            <w:tcBorders>
              <w:top w:val="single" w:sz="4" w:space="0" w:color="auto"/>
              <w:left w:val="nil"/>
              <w:bottom w:val="single" w:sz="4" w:space="0" w:color="auto"/>
              <w:right w:val="single" w:sz="4" w:space="0" w:color="auto"/>
            </w:tcBorders>
            <w:shd w:val="clear" w:color="auto" w:fill="C6EFCE"/>
            <w:noWrap/>
          </w:tcPr>
          <w:p w14:paraId="409815CB" w14:textId="77777777" w:rsidR="00553430" w:rsidRDefault="00212577">
            <w:pPr>
              <w:pStyle w:val="P68B1DB1-Normal66"/>
              <w:spacing w:after="200" w:line="276" w:lineRule="auto"/>
              <w:rPr>
                <w:noProof/>
              </w:rPr>
            </w:pPr>
            <w:r>
              <w:rPr>
                <w:noProof/>
              </w:rPr>
              <w:t xml:space="preserve">L'investissement se traduira par l'élimination de cinq goulets </w:t>
            </w:r>
            <w:r>
              <w:rPr>
                <w:noProof/>
              </w:rPr>
              <w:t>d'étranglement sur des tronçons dont la vitesse limite actuelle est inférieure ou égale à 60 km/h.</w:t>
            </w:r>
            <w:r>
              <w:rPr>
                <w:noProof/>
              </w:rPr>
              <w:br/>
            </w:r>
          </w:p>
        </w:tc>
      </w:tr>
      <w:tr w:rsidR="00553430" w14:paraId="6FCA8C7C"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0CCF9F06" w14:textId="77777777" w:rsidR="00553430" w:rsidRDefault="00212577">
            <w:pPr>
              <w:pStyle w:val="P68B1DB1-Normal66"/>
              <w:spacing w:after="200" w:line="276" w:lineRule="auto"/>
              <w:jc w:val="center"/>
              <w:rPr>
                <w:noProof/>
              </w:rPr>
            </w:pPr>
            <w:r>
              <w:rPr>
                <w:noProof/>
              </w:rPr>
              <w:t>105</w:t>
            </w:r>
          </w:p>
        </w:tc>
        <w:tc>
          <w:tcPr>
            <w:tcW w:w="1134" w:type="dxa"/>
            <w:tcBorders>
              <w:top w:val="single" w:sz="4" w:space="0" w:color="auto"/>
              <w:left w:val="nil"/>
              <w:bottom w:val="single" w:sz="4" w:space="0" w:color="auto"/>
              <w:right w:val="single" w:sz="4" w:space="0" w:color="auto"/>
            </w:tcBorders>
            <w:shd w:val="clear" w:color="auto" w:fill="C6EFCE"/>
            <w:noWrap/>
          </w:tcPr>
          <w:p w14:paraId="141473D0" w14:textId="77777777" w:rsidR="00553430" w:rsidRDefault="00212577">
            <w:pPr>
              <w:pStyle w:val="P68B1DB1-Normal66"/>
              <w:spacing w:after="200" w:line="276" w:lineRule="auto"/>
              <w:jc w:val="center"/>
              <w:rPr>
                <w:noProof/>
              </w:rPr>
            </w:pPr>
            <w:r>
              <w:rPr>
                <w:noProof/>
              </w:rPr>
              <w:t>C1.4. R2-I4</w:t>
            </w:r>
          </w:p>
        </w:tc>
        <w:tc>
          <w:tcPr>
            <w:tcW w:w="1102" w:type="dxa"/>
            <w:tcBorders>
              <w:top w:val="single" w:sz="4" w:space="0" w:color="auto"/>
              <w:left w:val="nil"/>
              <w:bottom w:val="single" w:sz="4" w:space="0" w:color="auto"/>
              <w:right w:val="single" w:sz="4" w:space="0" w:color="auto"/>
            </w:tcBorders>
            <w:shd w:val="clear" w:color="auto" w:fill="C6EFCE"/>
            <w:noWrap/>
          </w:tcPr>
          <w:p w14:paraId="6FABA2BD" w14:textId="77777777" w:rsidR="00553430" w:rsidRDefault="00212577">
            <w:pPr>
              <w:pStyle w:val="P68B1DB1-Normal66"/>
              <w:spacing w:after="200" w:line="276" w:lineRule="auto"/>
              <w:jc w:val="center"/>
              <w:rPr>
                <w:noProof/>
              </w:rPr>
            </w:pPr>
            <w:r>
              <w:rPr>
                <w:noProof/>
              </w:rPr>
              <w:t>T</w:t>
            </w:r>
          </w:p>
        </w:tc>
        <w:tc>
          <w:tcPr>
            <w:tcW w:w="1733" w:type="dxa"/>
            <w:tcBorders>
              <w:top w:val="single" w:sz="4" w:space="0" w:color="auto"/>
              <w:left w:val="nil"/>
              <w:bottom w:val="single" w:sz="4" w:space="0" w:color="auto"/>
              <w:right w:val="single" w:sz="4" w:space="0" w:color="auto"/>
            </w:tcBorders>
            <w:shd w:val="clear" w:color="auto" w:fill="C6EFCE"/>
            <w:noWrap/>
          </w:tcPr>
          <w:p w14:paraId="268F24FF" w14:textId="0F839E8C" w:rsidR="00553430" w:rsidRDefault="00212577">
            <w:pPr>
              <w:pStyle w:val="P68B1DB1-Normal66"/>
              <w:spacing w:after="200" w:line="276" w:lineRule="auto"/>
              <w:rPr>
                <w:noProof/>
              </w:rPr>
            </w:pPr>
            <w:r>
              <w:rPr>
                <w:noProof/>
              </w:rPr>
              <w:t xml:space="preserve">Ligne ferroviaire à double voie à Zagreb Kustošija - ZG Zapadni Kolodvor - Zagreb Glavni Kolodvor pour une longueur de 3,4 km </w:t>
            </w:r>
            <w:r>
              <w:rPr>
                <w:noProof/>
              </w:rPr>
              <w:t>reconstruite et modernisée</w:t>
            </w:r>
          </w:p>
        </w:tc>
        <w:tc>
          <w:tcPr>
            <w:tcW w:w="1984" w:type="dxa"/>
            <w:tcBorders>
              <w:top w:val="single" w:sz="4" w:space="0" w:color="auto"/>
              <w:left w:val="nil"/>
              <w:bottom w:val="single" w:sz="4" w:space="0" w:color="auto"/>
              <w:right w:val="single" w:sz="4" w:space="0" w:color="auto"/>
            </w:tcBorders>
            <w:shd w:val="clear" w:color="auto" w:fill="C6EFCE"/>
            <w:noWrap/>
          </w:tcPr>
          <w:p w14:paraId="5C8B19AF" w14:textId="77777777" w:rsidR="00553430" w:rsidRDefault="00212577">
            <w:pPr>
              <w:pStyle w:val="P68B1DB1-Normal66"/>
              <w:spacing w:after="200" w:line="276"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noWrap/>
          </w:tcPr>
          <w:p w14:paraId="5F65409D" w14:textId="77777777" w:rsidR="00553430" w:rsidRDefault="00212577">
            <w:pPr>
              <w:pStyle w:val="P68B1DB1-Normal66"/>
              <w:spacing w:after="200" w:line="276" w:lineRule="auto"/>
              <w:jc w:val="center"/>
              <w:rPr>
                <w:noProof/>
              </w:rPr>
            </w:pPr>
            <w:r>
              <w:rPr>
                <w:noProof/>
              </w:rPr>
              <w:t>Nombre (km)</w:t>
            </w:r>
          </w:p>
        </w:tc>
        <w:tc>
          <w:tcPr>
            <w:tcW w:w="918" w:type="dxa"/>
            <w:tcBorders>
              <w:top w:val="single" w:sz="4" w:space="0" w:color="auto"/>
              <w:left w:val="nil"/>
              <w:bottom w:val="single" w:sz="4" w:space="0" w:color="auto"/>
              <w:right w:val="single" w:sz="4" w:space="0" w:color="auto"/>
            </w:tcBorders>
            <w:shd w:val="clear" w:color="auto" w:fill="C6EFCE"/>
            <w:noWrap/>
          </w:tcPr>
          <w:p w14:paraId="4A6CB268" w14:textId="77777777" w:rsidR="00553430" w:rsidRDefault="00212577">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470524C9" w14:textId="77777777" w:rsidR="00553430" w:rsidRDefault="00212577">
            <w:pPr>
              <w:pStyle w:val="P68B1DB1-Normal66"/>
              <w:spacing w:after="200" w:line="276" w:lineRule="auto"/>
              <w:jc w:val="center"/>
              <w:rPr>
                <w:noProof/>
              </w:rPr>
            </w:pPr>
            <w:r>
              <w:rPr>
                <w:noProof/>
              </w:rPr>
              <w:t>3,4</w:t>
            </w:r>
          </w:p>
        </w:tc>
        <w:tc>
          <w:tcPr>
            <w:tcW w:w="850" w:type="dxa"/>
            <w:tcBorders>
              <w:top w:val="single" w:sz="4" w:space="0" w:color="auto"/>
              <w:left w:val="nil"/>
              <w:bottom w:val="single" w:sz="4" w:space="0" w:color="auto"/>
              <w:right w:val="single" w:sz="4" w:space="0" w:color="auto"/>
            </w:tcBorders>
            <w:shd w:val="clear" w:color="auto" w:fill="C6EFCE"/>
            <w:noWrap/>
          </w:tcPr>
          <w:p w14:paraId="2B61072A"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445CAF6C" w14:textId="77777777" w:rsidR="00553430" w:rsidRDefault="00212577">
            <w:pPr>
              <w:pStyle w:val="P68B1DB1-Normal66"/>
              <w:spacing w:after="200" w:line="276" w:lineRule="auto"/>
              <w:jc w:val="center"/>
              <w:rPr>
                <w:noProof/>
              </w:rPr>
            </w:pPr>
            <w:r>
              <w:rPr>
                <w:noProof/>
              </w:rPr>
              <w:t>2024</w:t>
            </w:r>
          </w:p>
        </w:tc>
        <w:tc>
          <w:tcPr>
            <w:tcW w:w="5193" w:type="dxa"/>
            <w:tcBorders>
              <w:top w:val="single" w:sz="4" w:space="0" w:color="auto"/>
              <w:left w:val="nil"/>
              <w:bottom w:val="single" w:sz="4" w:space="0" w:color="auto"/>
              <w:right w:val="single" w:sz="4" w:space="0" w:color="auto"/>
            </w:tcBorders>
            <w:shd w:val="clear" w:color="auto" w:fill="C6EFCE"/>
            <w:noWrap/>
          </w:tcPr>
          <w:p w14:paraId="32C2A1EB" w14:textId="77777777" w:rsidR="00553430" w:rsidRDefault="00212577">
            <w:pPr>
              <w:pStyle w:val="P68B1DB1-Normal66"/>
              <w:spacing w:after="200" w:line="276" w:lineRule="auto"/>
              <w:rPr>
                <w:noProof/>
              </w:rPr>
            </w:pPr>
            <w:r>
              <w:rPr>
                <w:noProof/>
              </w:rPr>
              <w:t>La ligne ferroviaire à deux voies sur le tronçon Zagreb Kustošija - Zagreb Zapadni Kolodvor - Zagreb Glavni Kolodvor, d'une longueur de 3,4 km, sera reconstruite et modernisée.</w:t>
            </w:r>
            <w:r>
              <w:rPr>
                <w:noProof/>
              </w:rPr>
              <w:br/>
              <w:t>La preuve du respect des</w:t>
            </w:r>
            <w:r>
              <w:rPr>
                <w:noProof/>
              </w:rPr>
              <w:t xml:space="preserve"> procédures d’autorisation au titre de l’EIE est apportée conformément à la directive 2011/92/UE.</w:t>
            </w:r>
          </w:p>
        </w:tc>
      </w:tr>
      <w:tr w:rsidR="00553430" w14:paraId="7AB45107"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487C6243" w14:textId="77777777" w:rsidR="00553430" w:rsidRDefault="00212577">
            <w:pPr>
              <w:pStyle w:val="P68B1DB1-Normal66"/>
              <w:spacing w:after="200" w:line="276" w:lineRule="auto"/>
              <w:jc w:val="center"/>
              <w:rPr>
                <w:noProof/>
              </w:rPr>
            </w:pPr>
            <w:r>
              <w:rPr>
                <w:noProof/>
              </w:rPr>
              <w:t>107</w:t>
            </w:r>
          </w:p>
        </w:tc>
        <w:tc>
          <w:tcPr>
            <w:tcW w:w="1134" w:type="dxa"/>
            <w:tcBorders>
              <w:top w:val="single" w:sz="4" w:space="0" w:color="auto"/>
              <w:left w:val="nil"/>
              <w:bottom w:val="single" w:sz="4" w:space="0" w:color="auto"/>
              <w:right w:val="single" w:sz="4" w:space="0" w:color="auto"/>
            </w:tcBorders>
            <w:shd w:val="clear" w:color="auto" w:fill="C6EFCE"/>
            <w:noWrap/>
          </w:tcPr>
          <w:p w14:paraId="66D28FDC" w14:textId="77777777" w:rsidR="00553430" w:rsidRDefault="00212577">
            <w:pPr>
              <w:pStyle w:val="P68B1DB1-Normal66"/>
              <w:spacing w:after="200" w:line="276" w:lineRule="auto"/>
              <w:jc w:val="center"/>
              <w:rPr>
                <w:noProof/>
              </w:rPr>
            </w:pPr>
            <w:r>
              <w:rPr>
                <w:noProof/>
              </w:rPr>
              <w:t>C1.4. R2-I6</w:t>
            </w:r>
          </w:p>
        </w:tc>
        <w:tc>
          <w:tcPr>
            <w:tcW w:w="1102" w:type="dxa"/>
            <w:tcBorders>
              <w:top w:val="single" w:sz="4" w:space="0" w:color="auto"/>
              <w:left w:val="nil"/>
              <w:bottom w:val="single" w:sz="4" w:space="0" w:color="auto"/>
              <w:right w:val="single" w:sz="4" w:space="0" w:color="auto"/>
            </w:tcBorders>
            <w:shd w:val="clear" w:color="auto" w:fill="C6EFCE"/>
            <w:noWrap/>
          </w:tcPr>
          <w:p w14:paraId="36E5DDDD" w14:textId="77777777" w:rsidR="00553430" w:rsidRDefault="00212577">
            <w:pPr>
              <w:pStyle w:val="P68B1DB1-Normal66"/>
              <w:spacing w:after="200" w:line="276" w:lineRule="auto"/>
              <w:jc w:val="center"/>
              <w:rPr>
                <w:noProof/>
              </w:rPr>
            </w:pPr>
            <w:r>
              <w:rPr>
                <w:noProof/>
              </w:rPr>
              <w:t>T</w:t>
            </w:r>
          </w:p>
        </w:tc>
        <w:tc>
          <w:tcPr>
            <w:tcW w:w="1733" w:type="dxa"/>
            <w:tcBorders>
              <w:top w:val="single" w:sz="4" w:space="0" w:color="auto"/>
              <w:left w:val="nil"/>
              <w:bottom w:val="single" w:sz="4" w:space="0" w:color="auto"/>
              <w:right w:val="single" w:sz="4" w:space="0" w:color="auto"/>
            </w:tcBorders>
            <w:shd w:val="clear" w:color="auto" w:fill="C6EFCE"/>
            <w:noWrap/>
          </w:tcPr>
          <w:p w14:paraId="2B7D3330" w14:textId="77777777" w:rsidR="00553430" w:rsidRDefault="00212577">
            <w:pPr>
              <w:pStyle w:val="P68B1DB1-Normal66"/>
              <w:spacing w:after="200" w:line="276" w:lineRule="auto"/>
              <w:rPr>
                <w:noProof/>
              </w:rPr>
            </w:pPr>
            <w:r>
              <w:rPr>
                <w:noProof/>
              </w:rPr>
              <w:t xml:space="preserve">Deux prototypes de trains de batteries produits </w:t>
            </w:r>
          </w:p>
        </w:tc>
        <w:tc>
          <w:tcPr>
            <w:tcW w:w="1984" w:type="dxa"/>
            <w:tcBorders>
              <w:top w:val="single" w:sz="4" w:space="0" w:color="auto"/>
              <w:left w:val="nil"/>
              <w:bottom w:val="single" w:sz="4" w:space="0" w:color="auto"/>
              <w:right w:val="single" w:sz="4" w:space="0" w:color="auto"/>
            </w:tcBorders>
            <w:shd w:val="clear" w:color="auto" w:fill="C6EFCE"/>
            <w:noWrap/>
          </w:tcPr>
          <w:p w14:paraId="7D219259" w14:textId="77777777" w:rsidR="00553430" w:rsidRDefault="00212577">
            <w:pPr>
              <w:pStyle w:val="P68B1DB1-Normal66"/>
              <w:spacing w:after="200" w:line="276"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noWrap/>
          </w:tcPr>
          <w:p w14:paraId="0BF85F57" w14:textId="77777777" w:rsidR="00553430" w:rsidRDefault="00212577">
            <w:pPr>
              <w:pStyle w:val="P68B1DB1-Normal66"/>
              <w:spacing w:after="200" w:line="276" w:lineRule="auto"/>
              <w:jc w:val="center"/>
              <w:rPr>
                <w:noProof/>
              </w:rPr>
            </w:pPr>
            <w:r>
              <w:rPr>
                <w:noProof/>
              </w:rPr>
              <w:t>Numéro</w:t>
            </w:r>
          </w:p>
        </w:tc>
        <w:tc>
          <w:tcPr>
            <w:tcW w:w="918" w:type="dxa"/>
            <w:tcBorders>
              <w:top w:val="single" w:sz="4" w:space="0" w:color="auto"/>
              <w:left w:val="nil"/>
              <w:bottom w:val="single" w:sz="4" w:space="0" w:color="auto"/>
              <w:right w:val="single" w:sz="4" w:space="0" w:color="auto"/>
            </w:tcBorders>
            <w:shd w:val="clear" w:color="auto" w:fill="C6EFCE"/>
            <w:noWrap/>
          </w:tcPr>
          <w:p w14:paraId="526E3B96" w14:textId="77777777" w:rsidR="00553430" w:rsidRDefault="00212577">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69F0BF0F" w14:textId="77777777" w:rsidR="00553430" w:rsidRDefault="00212577">
            <w:pPr>
              <w:pStyle w:val="P68B1DB1-Normal66"/>
              <w:spacing w:after="200" w:line="276" w:lineRule="auto"/>
              <w:jc w:val="center"/>
              <w:rPr>
                <w:noProof/>
              </w:rPr>
            </w:pPr>
            <w:r>
              <w:rPr>
                <w:noProof/>
              </w:rPr>
              <w:t>2</w:t>
            </w:r>
          </w:p>
        </w:tc>
        <w:tc>
          <w:tcPr>
            <w:tcW w:w="850" w:type="dxa"/>
            <w:tcBorders>
              <w:top w:val="single" w:sz="4" w:space="0" w:color="auto"/>
              <w:left w:val="nil"/>
              <w:bottom w:val="single" w:sz="4" w:space="0" w:color="auto"/>
              <w:right w:val="single" w:sz="4" w:space="0" w:color="auto"/>
            </w:tcBorders>
            <w:shd w:val="clear" w:color="auto" w:fill="C6EFCE"/>
            <w:noWrap/>
          </w:tcPr>
          <w:p w14:paraId="53DE8CEC"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nil"/>
              <w:bottom w:val="single" w:sz="4" w:space="0" w:color="auto"/>
              <w:right w:val="single" w:sz="4" w:space="0" w:color="auto"/>
            </w:tcBorders>
            <w:shd w:val="clear" w:color="auto" w:fill="C6EFCE"/>
            <w:noWrap/>
          </w:tcPr>
          <w:p w14:paraId="1BD117D9" w14:textId="77777777" w:rsidR="00553430" w:rsidRDefault="00212577">
            <w:pPr>
              <w:pStyle w:val="P68B1DB1-Normal66"/>
              <w:spacing w:after="200" w:line="276" w:lineRule="auto"/>
              <w:jc w:val="center"/>
              <w:rPr>
                <w:noProof/>
              </w:rPr>
            </w:pPr>
            <w:r>
              <w:rPr>
                <w:noProof/>
              </w:rPr>
              <w:t>2025</w:t>
            </w:r>
          </w:p>
        </w:tc>
        <w:tc>
          <w:tcPr>
            <w:tcW w:w="5193" w:type="dxa"/>
            <w:tcBorders>
              <w:top w:val="single" w:sz="4" w:space="0" w:color="auto"/>
              <w:left w:val="nil"/>
              <w:bottom w:val="single" w:sz="4" w:space="0" w:color="auto"/>
              <w:right w:val="single" w:sz="4" w:space="0" w:color="auto"/>
            </w:tcBorders>
            <w:shd w:val="clear" w:color="auto" w:fill="C6EFCE"/>
            <w:noWrap/>
          </w:tcPr>
          <w:p w14:paraId="3F8C98B4" w14:textId="77777777" w:rsidR="00553430" w:rsidRDefault="00212577">
            <w:pPr>
              <w:pStyle w:val="P68B1DB1-Normal66"/>
              <w:spacing w:after="200" w:line="276" w:lineRule="auto"/>
              <w:rPr>
                <w:noProof/>
              </w:rPr>
            </w:pPr>
            <w:r>
              <w:rPr>
                <w:noProof/>
              </w:rPr>
              <w:t xml:space="preserve">Un prototype de train à moteur électrique à batterie (BEMV) et un prototype de train à moteur à batterie (BMV) doivent être produits, soumis à des essais de type et obtenir une prémission de fonctionnement. </w:t>
            </w:r>
          </w:p>
          <w:p w14:paraId="0FCB0610" w14:textId="4A4B11ED" w:rsidR="00553430" w:rsidRDefault="00212577">
            <w:pPr>
              <w:pStyle w:val="P68B1DB1-Normal70"/>
              <w:spacing w:after="200" w:line="276" w:lineRule="auto"/>
              <w:rPr>
                <w:noProof/>
              </w:rPr>
            </w:pPr>
            <w:r>
              <w:rPr>
                <w:noProof/>
              </w:rPr>
              <w:t>Six connexions électriques stables pour recharge</w:t>
            </w:r>
            <w:r>
              <w:rPr>
                <w:noProof/>
              </w:rPr>
              <w:t>r les batteries de traction des trains seront construites.</w:t>
            </w:r>
          </w:p>
        </w:tc>
      </w:tr>
      <w:tr w:rsidR="00553430" w14:paraId="35D67839"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29562BD" w14:textId="77777777" w:rsidR="00553430" w:rsidRDefault="00212577">
            <w:pPr>
              <w:pStyle w:val="P68B1DB1-Normal66"/>
              <w:spacing w:after="200" w:line="276" w:lineRule="auto"/>
              <w:jc w:val="center"/>
              <w:rPr>
                <w:noProof/>
              </w:rPr>
            </w:pPr>
            <w:r>
              <w:rPr>
                <w:noProof/>
              </w:rPr>
              <w:t>108</w:t>
            </w:r>
          </w:p>
        </w:tc>
        <w:tc>
          <w:tcPr>
            <w:tcW w:w="1134" w:type="dxa"/>
            <w:tcBorders>
              <w:top w:val="single" w:sz="4" w:space="0" w:color="auto"/>
              <w:left w:val="nil"/>
              <w:bottom w:val="single" w:sz="4" w:space="0" w:color="auto"/>
              <w:right w:val="single" w:sz="4" w:space="0" w:color="auto"/>
            </w:tcBorders>
            <w:shd w:val="clear" w:color="auto" w:fill="C6EFCE"/>
            <w:noWrap/>
          </w:tcPr>
          <w:p w14:paraId="67F9EDC2" w14:textId="77777777" w:rsidR="00553430" w:rsidRDefault="00212577">
            <w:pPr>
              <w:pStyle w:val="P68B1DB1-Normal66"/>
              <w:spacing w:after="200" w:line="276" w:lineRule="auto"/>
              <w:jc w:val="center"/>
              <w:rPr>
                <w:noProof/>
              </w:rPr>
            </w:pPr>
            <w:r>
              <w:rPr>
                <w:noProof/>
              </w:rPr>
              <w:t>C1.4. R2-I7</w:t>
            </w:r>
          </w:p>
        </w:tc>
        <w:tc>
          <w:tcPr>
            <w:tcW w:w="1102" w:type="dxa"/>
            <w:tcBorders>
              <w:top w:val="single" w:sz="4" w:space="0" w:color="auto"/>
              <w:left w:val="nil"/>
              <w:bottom w:val="single" w:sz="4" w:space="0" w:color="auto"/>
              <w:right w:val="single" w:sz="4" w:space="0" w:color="auto"/>
            </w:tcBorders>
            <w:shd w:val="clear" w:color="auto" w:fill="C6EFCE"/>
            <w:noWrap/>
          </w:tcPr>
          <w:p w14:paraId="7A232A7A" w14:textId="77777777" w:rsidR="00553430" w:rsidRDefault="00212577">
            <w:pPr>
              <w:pStyle w:val="P68B1DB1-Normal66"/>
              <w:spacing w:after="200" w:line="276" w:lineRule="auto"/>
              <w:jc w:val="center"/>
              <w:rPr>
                <w:noProof/>
              </w:rPr>
            </w:pPr>
            <w:r>
              <w:rPr>
                <w:noProof/>
              </w:rPr>
              <w:t>M</w:t>
            </w:r>
          </w:p>
        </w:tc>
        <w:tc>
          <w:tcPr>
            <w:tcW w:w="1733" w:type="dxa"/>
            <w:tcBorders>
              <w:top w:val="single" w:sz="4" w:space="0" w:color="auto"/>
              <w:left w:val="nil"/>
              <w:bottom w:val="single" w:sz="4" w:space="0" w:color="auto"/>
              <w:right w:val="single" w:sz="4" w:space="0" w:color="auto"/>
            </w:tcBorders>
            <w:shd w:val="clear" w:color="auto" w:fill="C6EFCE"/>
            <w:noWrap/>
          </w:tcPr>
          <w:p w14:paraId="322185F4" w14:textId="77777777" w:rsidR="00553430" w:rsidRDefault="00212577">
            <w:pPr>
              <w:pStyle w:val="P68B1DB1-Normal66"/>
              <w:spacing w:after="200" w:line="276" w:lineRule="auto"/>
              <w:rPr>
                <w:strike/>
                <w:noProof/>
              </w:rPr>
            </w:pPr>
            <w:r>
              <w:rPr>
                <w:noProof/>
              </w:rPr>
              <w:t>Modernisation des systèmes informatiques de HŽ pour le transport de passagers</w:t>
            </w:r>
          </w:p>
          <w:p w14:paraId="4B1CB064" w14:textId="77777777" w:rsidR="00553430" w:rsidRDefault="00553430">
            <w:pPr>
              <w:spacing w:after="200" w:line="276" w:lineRule="auto"/>
              <w:rPr>
                <w:rFonts w:ascii="Times New Roman" w:eastAsia="Calibri" w:hAnsi="Times New Roman" w:cs="Times New Roman"/>
                <w:noProof/>
                <w:sz w:val="20"/>
                <w:szCs w:val="20"/>
              </w:rPr>
            </w:pPr>
          </w:p>
        </w:tc>
        <w:tc>
          <w:tcPr>
            <w:tcW w:w="1984" w:type="dxa"/>
            <w:tcBorders>
              <w:top w:val="single" w:sz="4" w:space="0" w:color="auto"/>
              <w:left w:val="nil"/>
              <w:bottom w:val="single" w:sz="4" w:space="0" w:color="auto"/>
              <w:right w:val="single" w:sz="4" w:space="0" w:color="auto"/>
            </w:tcBorders>
            <w:shd w:val="clear" w:color="auto" w:fill="C6EFCE"/>
            <w:noWrap/>
          </w:tcPr>
          <w:p w14:paraId="26A7C27F" w14:textId="77777777" w:rsidR="00553430" w:rsidRDefault="00212577">
            <w:pPr>
              <w:pStyle w:val="P68B1DB1-Normal66"/>
              <w:spacing w:after="200" w:line="276" w:lineRule="auto"/>
              <w:rPr>
                <w:strike/>
                <w:noProof/>
              </w:rPr>
            </w:pPr>
            <w:r>
              <w:rPr>
                <w:noProof/>
              </w:rPr>
              <w:t xml:space="preserve">Modernisation des systèmes informatiques de HŽ Passenger Transport </w:t>
            </w:r>
          </w:p>
        </w:tc>
        <w:tc>
          <w:tcPr>
            <w:tcW w:w="1067" w:type="dxa"/>
            <w:tcBorders>
              <w:top w:val="single" w:sz="4" w:space="0" w:color="auto"/>
              <w:left w:val="nil"/>
              <w:bottom w:val="single" w:sz="4" w:space="0" w:color="auto"/>
              <w:right w:val="single" w:sz="4" w:space="0" w:color="auto"/>
            </w:tcBorders>
            <w:shd w:val="clear" w:color="auto" w:fill="C6EFCE"/>
            <w:noWrap/>
          </w:tcPr>
          <w:p w14:paraId="0CDD57A2" w14:textId="77777777" w:rsidR="00553430" w:rsidRDefault="00212577">
            <w:pPr>
              <w:pStyle w:val="P68B1DB1-Normal66"/>
              <w:spacing w:after="200" w:line="276" w:lineRule="auto"/>
              <w:jc w:val="center"/>
              <w:rPr>
                <w:noProof/>
              </w:rPr>
            </w:pPr>
            <w:r>
              <w:rPr>
                <w:noProof/>
              </w:rPr>
              <w:t> </w:t>
            </w:r>
          </w:p>
        </w:tc>
        <w:tc>
          <w:tcPr>
            <w:tcW w:w="918" w:type="dxa"/>
            <w:tcBorders>
              <w:top w:val="single" w:sz="4" w:space="0" w:color="auto"/>
              <w:left w:val="nil"/>
              <w:bottom w:val="single" w:sz="4" w:space="0" w:color="auto"/>
              <w:right w:val="single" w:sz="4" w:space="0" w:color="auto"/>
            </w:tcBorders>
            <w:shd w:val="clear" w:color="auto" w:fill="C6EFCE"/>
            <w:noWrap/>
          </w:tcPr>
          <w:p w14:paraId="22779EFF" w14:textId="77777777" w:rsidR="00553430" w:rsidRDefault="00212577">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621B5881" w14:textId="77777777" w:rsidR="00553430" w:rsidRDefault="00212577">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4E1F2BB9" w14:textId="77777777" w:rsidR="00553430" w:rsidRDefault="00212577">
            <w:pPr>
              <w:pStyle w:val="P68B1DB1-Normal66"/>
              <w:spacing w:after="200" w:line="276" w:lineRule="auto"/>
              <w:jc w:val="center"/>
              <w:rPr>
                <w:noProof/>
              </w:rPr>
            </w:pPr>
            <w:r>
              <w:rPr>
                <w:noProof/>
              </w:rPr>
              <w:t>T2</w:t>
            </w:r>
          </w:p>
        </w:tc>
        <w:tc>
          <w:tcPr>
            <w:tcW w:w="851" w:type="dxa"/>
            <w:tcBorders>
              <w:top w:val="single" w:sz="4" w:space="0" w:color="auto"/>
              <w:left w:val="nil"/>
              <w:bottom w:val="single" w:sz="4" w:space="0" w:color="auto"/>
              <w:right w:val="single" w:sz="4" w:space="0" w:color="auto"/>
            </w:tcBorders>
            <w:shd w:val="clear" w:color="auto" w:fill="C6EFCE"/>
            <w:noWrap/>
          </w:tcPr>
          <w:p w14:paraId="1CDD3066" w14:textId="77777777" w:rsidR="00553430" w:rsidRDefault="00212577">
            <w:pPr>
              <w:pStyle w:val="P68B1DB1-Normal66"/>
              <w:spacing w:after="200" w:line="276" w:lineRule="auto"/>
              <w:jc w:val="center"/>
              <w:rPr>
                <w:noProof/>
              </w:rPr>
            </w:pPr>
            <w:r>
              <w:rPr>
                <w:noProof/>
              </w:rPr>
              <w:t>2026</w:t>
            </w:r>
          </w:p>
        </w:tc>
        <w:tc>
          <w:tcPr>
            <w:tcW w:w="5193" w:type="dxa"/>
            <w:tcBorders>
              <w:top w:val="single" w:sz="4" w:space="0" w:color="auto"/>
              <w:left w:val="nil"/>
              <w:bottom w:val="single" w:sz="4" w:space="0" w:color="auto"/>
              <w:right w:val="single" w:sz="4" w:space="0" w:color="auto"/>
            </w:tcBorders>
            <w:shd w:val="clear" w:color="auto" w:fill="C6EFCE"/>
            <w:noWrap/>
          </w:tcPr>
          <w:p w14:paraId="6C968AE0" w14:textId="77777777" w:rsidR="00553430" w:rsidRDefault="00212577">
            <w:pPr>
              <w:pStyle w:val="P68B1DB1-Normal66"/>
              <w:spacing w:after="200" w:line="276" w:lineRule="auto"/>
              <w:rPr>
                <w:strike/>
                <w:noProof/>
              </w:rPr>
            </w:pPr>
            <w:r>
              <w:rPr>
                <w:noProof/>
              </w:rPr>
              <w:t xml:space="preserve">La modernisation des systèmes informatiques de HŽ pour le transport de passagers comprend: </w:t>
            </w:r>
          </w:p>
          <w:p w14:paraId="665A9AB3" w14:textId="77777777" w:rsidR="00553430" w:rsidRDefault="00212577">
            <w:pPr>
              <w:pStyle w:val="P68B1DB1-ListParagraph78"/>
              <w:numPr>
                <w:ilvl w:val="0"/>
                <w:numId w:val="51"/>
              </w:numPr>
              <w:spacing w:before="120" w:after="200" w:line="276" w:lineRule="auto"/>
              <w:jc w:val="both"/>
              <w:rPr>
                <w:noProof/>
              </w:rPr>
            </w:pPr>
            <w:r>
              <w:rPr>
                <w:noProof/>
              </w:rPr>
              <w:t>Installation du WIFI sur 40 trains;</w:t>
            </w:r>
          </w:p>
          <w:p w14:paraId="3CEDB173" w14:textId="77777777" w:rsidR="00553430" w:rsidRDefault="00212577">
            <w:pPr>
              <w:pStyle w:val="P68B1DB1-ListParagraph78"/>
              <w:numPr>
                <w:ilvl w:val="0"/>
                <w:numId w:val="51"/>
              </w:numPr>
              <w:spacing w:before="120" w:after="200" w:line="276" w:lineRule="auto"/>
              <w:jc w:val="both"/>
              <w:rPr>
                <w:noProof/>
              </w:rPr>
            </w:pPr>
            <w:r>
              <w:rPr>
                <w:noProof/>
              </w:rPr>
              <w:t>Installation du système GPS sur 40 trains;</w:t>
            </w:r>
          </w:p>
          <w:p w14:paraId="05BD5C40" w14:textId="77777777" w:rsidR="00553430" w:rsidRDefault="00212577">
            <w:pPr>
              <w:pStyle w:val="P68B1DB1-ListParagraph78"/>
              <w:numPr>
                <w:ilvl w:val="0"/>
                <w:numId w:val="51"/>
              </w:numPr>
              <w:spacing w:before="120" w:after="200" w:line="276" w:lineRule="auto"/>
              <w:jc w:val="both"/>
              <w:rPr>
                <w:noProof/>
              </w:rPr>
            </w:pPr>
            <w:r>
              <w:rPr>
                <w:noProof/>
              </w:rPr>
              <w:t xml:space="preserve">Mise à niveau du centre informatique du système de vente; et </w:t>
            </w:r>
          </w:p>
          <w:p w14:paraId="4C88C410" w14:textId="3CFB926E" w:rsidR="00553430" w:rsidRDefault="00212577">
            <w:pPr>
              <w:pStyle w:val="P68B1DB1-ListParagraph78"/>
              <w:numPr>
                <w:ilvl w:val="0"/>
                <w:numId w:val="51"/>
              </w:numPr>
              <w:spacing w:before="120" w:after="200" w:line="276" w:lineRule="auto"/>
              <w:jc w:val="both"/>
              <w:rPr>
                <w:noProof/>
              </w:rPr>
            </w:pPr>
            <w:r>
              <w:rPr>
                <w:noProof/>
              </w:rPr>
              <w:t>Achat d'équipements pou</w:t>
            </w:r>
            <w:r>
              <w:rPr>
                <w:noProof/>
              </w:rPr>
              <w:t>r la plateforme de virtualisation.</w:t>
            </w:r>
          </w:p>
        </w:tc>
      </w:tr>
      <w:tr w:rsidR="00553430" w14:paraId="6A289771"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FCEF773" w14:textId="77777777" w:rsidR="00553430" w:rsidRDefault="00212577">
            <w:pPr>
              <w:pStyle w:val="P68B1DB1-Normal66"/>
              <w:spacing w:after="200" w:line="276" w:lineRule="auto"/>
              <w:jc w:val="center"/>
              <w:rPr>
                <w:noProof/>
              </w:rPr>
            </w:pPr>
            <w:r>
              <w:rPr>
                <w:noProof/>
              </w:rPr>
              <w:t>109</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1F7E153" w14:textId="77777777" w:rsidR="00553430" w:rsidRDefault="00212577">
            <w:pPr>
              <w:pStyle w:val="P68B1DB1-Normal66"/>
              <w:spacing w:after="200" w:line="276" w:lineRule="auto"/>
              <w:jc w:val="center"/>
              <w:rPr>
                <w:noProof/>
              </w:rPr>
            </w:pPr>
            <w:r>
              <w:rPr>
                <w:noProof/>
              </w:rPr>
              <w:t>C1.4. R3</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5D8C1261" w14:textId="77777777" w:rsidR="00553430" w:rsidRDefault="00212577">
            <w:pPr>
              <w:pStyle w:val="P68B1DB1-Normal66"/>
              <w:spacing w:after="200" w:line="276" w:lineRule="auto"/>
              <w:jc w:val="center"/>
              <w:rPr>
                <w:noProof/>
              </w:rPr>
            </w:pPr>
            <w:r>
              <w:rPr>
                <w:noProof/>
              </w:rPr>
              <w:t>M</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61A9FC49" w14:textId="77777777" w:rsidR="00553430" w:rsidRDefault="00212577">
            <w:pPr>
              <w:pStyle w:val="P68B1DB1-Normal66"/>
              <w:spacing w:after="200" w:line="276" w:lineRule="auto"/>
              <w:rPr>
                <w:noProof/>
              </w:rPr>
            </w:pPr>
            <w:r>
              <w:rPr>
                <w:noProof/>
              </w:rPr>
              <w:t xml:space="preserve">La nouvelle loi sur le trafic côtier régulier et saisonnier </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51406FAF" w14:textId="77777777" w:rsidR="00553430" w:rsidRDefault="00212577">
            <w:pPr>
              <w:pStyle w:val="P68B1DB1-Normal66"/>
              <w:spacing w:after="200" w:line="276" w:lineRule="auto"/>
              <w:rPr>
                <w:noProof/>
              </w:rPr>
            </w:pPr>
            <w:r>
              <w:rPr>
                <w:noProof/>
              </w:rPr>
              <w:t xml:space="preserve">Entrée en vigueur de la nouvelle loi sur le transport côtier régulier et saisonnier </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30096D62" w14:textId="77777777" w:rsidR="00553430" w:rsidRDefault="00212577">
            <w:pPr>
              <w:pStyle w:val="P68B1DB1-Normal66"/>
              <w:spacing w:after="200" w:line="276" w:lineRule="auto"/>
              <w:jc w:val="center"/>
              <w:rPr>
                <w:noProof/>
              </w:rPr>
            </w:pPr>
            <w:r>
              <w:rPr>
                <w:noProof/>
              </w:rPr>
              <w:t> </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74B61626" w14:textId="77777777" w:rsidR="00553430" w:rsidRDefault="00212577">
            <w:pPr>
              <w:pStyle w:val="P68B1DB1-Normal66"/>
              <w:spacing w:after="200" w:line="276" w:lineRule="auto"/>
              <w:jc w:val="center"/>
              <w:rPr>
                <w:noProof/>
              </w:rPr>
            </w:pPr>
            <w:r>
              <w:rPr>
                <w:noProof/>
              </w:rPr>
              <w:t>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087CAFF0" w14:textId="77777777" w:rsidR="00553430" w:rsidRDefault="00212577">
            <w:pPr>
              <w:pStyle w:val="P68B1DB1-Normal66"/>
              <w:spacing w:after="200" w:line="276" w:lineRule="auto"/>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2762EAE" w14:textId="77777777" w:rsidR="00553430" w:rsidRDefault="00212577">
            <w:pPr>
              <w:pStyle w:val="P68B1DB1-Normal66"/>
              <w:spacing w:after="200" w:line="276" w:lineRule="auto"/>
              <w:jc w:val="center"/>
              <w:rPr>
                <w:noProof/>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AE98E4B" w14:textId="77777777" w:rsidR="00553430" w:rsidRDefault="00212577">
            <w:pPr>
              <w:pStyle w:val="P68B1DB1-Normal66"/>
              <w:spacing w:after="200" w:line="276" w:lineRule="auto"/>
              <w:jc w:val="center"/>
              <w:rPr>
                <w:noProof/>
              </w:rPr>
            </w:pPr>
            <w:r>
              <w:rPr>
                <w:noProof/>
              </w:rPr>
              <w:t>2021</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6D04BF37" w14:textId="77777777" w:rsidR="00553430" w:rsidRDefault="00212577">
            <w:pPr>
              <w:pStyle w:val="P68B1DB1-Normal66"/>
              <w:spacing w:after="200" w:line="276" w:lineRule="auto"/>
              <w:rPr>
                <w:noProof/>
              </w:rPr>
            </w:pPr>
            <w:r>
              <w:rPr>
                <w:noProof/>
              </w:rPr>
              <w:t xml:space="preserve">La nouvelle loi sur le transport maritime </w:t>
            </w:r>
            <w:r>
              <w:rPr>
                <w:noProof/>
              </w:rPr>
              <w:t>côtier régulier et saisonnier simplifiera les procédures administratives actuelles et créera de meilleures conditions préalables à une exploitation plus efficace du transport maritime côtier public, en réglementant les dispositions relatives à l’activité d</w:t>
            </w:r>
            <w:r>
              <w:rPr>
                <w:noProof/>
              </w:rPr>
              <w:t>e l’Agence pour le transport maritime côtier régulier, en particulier dans la section sur l’octroi de licences pour les itinéraires publics, ainsi que l’amélioration de l’utilisation et du contrôle des systèmes informatiques de transport public (système SE</w:t>
            </w:r>
            <w:r>
              <w:rPr>
                <w:noProof/>
              </w:rPr>
              <w:t>OP).</w:t>
            </w:r>
          </w:p>
        </w:tc>
      </w:tr>
      <w:tr w:rsidR="00553430" w14:paraId="1E89B010"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3246AAA2" w14:textId="77777777" w:rsidR="00553430" w:rsidRDefault="00212577">
            <w:pPr>
              <w:pStyle w:val="P68B1DB1-Normal66"/>
              <w:spacing w:after="200" w:line="276" w:lineRule="auto"/>
              <w:jc w:val="center"/>
              <w:rPr>
                <w:noProof/>
              </w:rPr>
            </w:pPr>
            <w:r>
              <w:rPr>
                <w:noProof/>
              </w:rPr>
              <w:t>110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C0CE7DC" w14:textId="77777777" w:rsidR="00553430" w:rsidRDefault="00212577">
            <w:pPr>
              <w:pStyle w:val="P68B1DB1-Normal66"/>
              <w:spacing w:after="200" w:line="276" w:lineRule="auto"/>
              <w:jc w:val="center"/>
              <w:rPr>
                <w:noProof/>
              </w:rPr>
            </w:pPr>
            <w:r>
              <w:rPr>
                <w:noProof/>
              </w:rPr>
              <w:t>C1.4. R3</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7627C90C" w14:textId="77777777" w:rsidR="00553430" w:rsidRDefault="00212577">
            <w:pPr>
              <w:pStyle w:val="P68B1DB1-Normal66"/>
              <w:spacing w:after="200" w:line="276" w:lineRule="auto"/>
              <w:jc w:val="center"/>
              <w:rPr>
                <w:noProof/>
              </w:rPr>
            </w:pPr>
            <w:r>
              <w:rPr>
                <w:noProof/>
              </w:rPr>
              <w:t>M</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6F58C14D" w14:textId="77777777" w:rsidR="00553430" w:rsidRDefault="00212577">
            <w:pPr>
              <w:pStyle w:val="P68B1DB1-Normal66"/>
              <w:spacing w:after="200" w:line="276" w:lineRule="auto"/>
              <w:rPr>
                <w:noProof/>
              </w:rPr>
            </w:pPr>
            <w:r>
              <w:rPr>
                <w:noProof/>
              </w:rPr>
              <w:t>La nouvelle loi sur la navigation intérieure et les ports</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3AFC8F33" w14:textId="77777777" w:rsidR="00553430" w:rsidRDefault="00212577">
            <w:pPr>
              <w:pStyle w:val="P68B1DB1-Normal66"/>
              <w:spacing w:after="200" w:line="276" w:lineRule="auto"/>
              <w:rPr>
                <w:noProof/>
              </w:rPr>
            </w:pPr>
            <w:r>
              <w:rPr>
                <w:noProof/>
              </w:rPr>
              <w:t>Entrée en vigueur de la nouvelle loi sur la navigation intérieure et les ports</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060E647C" w14:textId="77777777" w:rsidR="00553430" w:rsidRDefault="00212577">
            <w:pPr>
              <w:pStyle w:val="P68B1DB1-Normal66"/>
              <w:spacing w:after="200" w:line="276" w:lineRule="auto"/>
              <w:jc w:val="center"/>
              <w:rPr>
                <w:noProof/>
              </w:rPr>
            </w:pPr>
            <w:r>
              <w:rPr>
                <w:noProof/>
              </w:rPr>
              <w:t> </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71318B10" w14:textId="77777777" w:rsidR="00553430" w:rsidRDefault="00212577">
            <w:pPr>
              <w:pStyle w:val="P68B1DB1-Normal66"/>
              <w:spacing w:after="200" w:line="276" w:lineRule="auto"/>
              <w:jc w:val="center"/>
              <w:rPr>
                <w:noProof/>
              </w:rPr>
            </w:pPr>
            <w:r>
              <w:rPr>
                <w:noProof/>
              </w:rPr>
              <w:t>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14B0D07D" w14:textId="77777777" w:rsidR="00553430" w:rsidRDefault="00212577">
            <w:pPr>
              <w:pStyle w:val="P68B1DB1-Normal66"/>
              <w:spacing w:after="200" w:line="276" w:lineRule="auto"/>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5E3AFFA2" w14:textId="77777777" w:rsidR="00553430" w:rsidRDefault="00212577">
            <w:pPr>
              <w:pStyle w:val="P68B1DB1-Normal66"/>
              <w:spacing w:after="200" w:line="276" w:lineRule="auto"/>
              <w:jc w:val="center"/>
              <w:rPr>
                <w:noProof/>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86DDAD9" w14:textId="77777777" w:rsidR="00553430" w:rsidRDefault="00212577">
            <w:pPr>
              <w:pStyle w:val="P68B1DB1-Normal66"/>
              <w:spacing w:after="200" w:line="276" w:lineRule="auto"/>
              <w:jc w:val="center"/>
              <w:rPr>
                <w:noProof/>
              </w:rPr>
            </w:pPr>
            <w:r>
              <w:rPr>
                <w:noProof/>
              </w:rPr>
              <w:t>2021</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49716703" w14:textId="77777777" w:rsidR="00553430" w:rsidRDefault="00212577">
            <w:pPr>
              <w:pStyle w:val="P68B1DB1-Normal66"/>
              <w:spacing w:after="200" w:line="276" w:lineRule="auto"/>
              <w:rPr>
                <w:noProof/>
              </w:rPr>
            </w:pPr>
            <w:r>
              <w:rPr>
                <w:noProof/>
              </w:rPr>
              <w:t xml:space="preserve">La nouvelle loi sur la navigation intérieure et les ports permet, lorsque cela est </w:t>
            </w:r>
            <w:r>
              <w:rPr>
                <w:noProof/>
              </w:rPr>
              <w:t>nécessaire pour garantir la sécurité de la navigation, de recenser les risques spécifiques dans (certaines parties des) secteurs croates de la navigation intérieure.</w:t>
            </w:r>
          </w:p>
        </w:tc>
      </w:tr>
      <w:tr w:rsidR="00553430" w14:paraId="3CE62172"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233424B7" w14:textId="77777777" w:rsidR="00553430" w:rsidRDefault="00212577">
            <w:pPr>
              <w:pStyle w:val="P68B1DB1-Normal66"/>
              <w:spacing w:after="200" w:line="276" w:lineRule="auto"/>
              <w:jc w:val="center"/>
              <w:rPr>
                <w:noProof/>
              </w:rPr>
            </w:pPr>
            <w:r>
              <w:rPr>
                <w:noProof/>
              </w:rPr>
              <w:t>111</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2713E39" w14:textId="77777777" w:rsidR="00553430" w:rsidRDefault="00212577">
            <w:pPr>
              <w:pStyle w:val="P68B1DB1-Normal66"/>
              <w:spacing w:after="200" w:line="276" w:lineRule="auto"/>
              <w:jc w:val="center"/>
              <w:rPr>
                <w:noProof/>
              </w:rPr>
            </w:pPr>
            <w:r>
              <w:rPr>
                <w:noProof/>
              </w:rPr>
              <w:t>C1.4. R3</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6D6CDDF5" w14:textId="77777777" w:rsidR="00553430" w:rsidRDefault="00212577">
            <w:pPr>
              <w:pStyle w:val="P68B1DB1-Normal66"/>
              <w:spacing w:after="200" w:line="276" w:lineRule="auto"/>
              <w:jc w:val="center"/>
              <w:rPr>
                <w:noProof/>
              </w:rPr>
            </w:pPr>
            <w:r>
              <w:rPr>
                <w:noProof/>
              </w:rPr>
              <w:t>M</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048BE443" w14:textId="77777777" w:rsidR="00553430" w:rsidRDefault="00212577">
            <w:pPr>
              <w:pStyle w:val="P68B1DB1-Normal66"/>
              <w:spacing w:after="200" w:line="276" w:lineRule="auto"/>
              <w:rPr>
                <w:noProof/>
              </w:rPr>
            </w:pPr>
            <w:r>
              <w:rPr>
                <w:noProof/>
              </w:rPr>
              <w:t>La nouvelle loi sur le domaine maritime et les ports maritimes</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05C09351" w14:textId="77777777" w:rsidR="00553430" w:rsidRDefault="00212577">
            <w:pPr>
              <w:pStyle w:val="P68B1DB1-Normal66"/>
              <w:spacing w:after="200" w:line="276" w:lineRule="auto"/>
              <w:rPr>
                <w:noProof/>
              </w:rPr>
            </w:pPr>
            <w:r>
              <w:rPr>
                <w:noProof/>
              </w:rPr>
              <w:t xml:space="preserve">Entrée en </w:t>
            </w:r>
            <w:r>
              <w:rPr>
                <w:noProof/>
              </w:rPr>
              <w:t>vigueur de la nouvelle loi sur le domaine maritime et les ports maritimes</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47E04E03" w14:textId="77777777" w:rsidR="00553430" w:rsidRDefault="00212577">
            <w:pPr>
              <w:pStyle w:val="P68B1DB1-Normal66"/>
              <w:spacing w:after="200" w:line="276" w:lineRule="auto"/>
              <w:jc w:val="center"/>
              <w:rPr>
                <w:noProof/>
              </w:rPr>
            </w:pPr>
            <w:r>
              <w:rPr>
                <w:noProof/>
              </w:rPr>
              <w:t> </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031D9CCA" w14:textId="77777777" w:rsidR="00553430" w:rsidRDefault="00212577">
            <w:pPr>
              <w:pStyle w:val="P68B1DB1-Normal66"/>
              <w:spacing w:after="200" w:line="276" w:lineRule="auto"/>
              <w:jc w:val="center"/>
              <w:rPr>
                <w:noProof/>
              </w:rPr>
            </w:pPr>
            <w:r>
              <w:rPr>
                <w:noProof/>
              </w:rPr>
              <w:t>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2214A0BD" w14:textId="77777777" w:rsidR="00553430" w:rsidRDefault="00212577">
            <w:pPr>
              <w:pStyle w:val="P68B1DB1-Normal66"/>
              <w:spacing w:after="200" w:line="276" w:lineRule="auto"/>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C6744B6"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0C3C09F" w14:textId="77777777" w:rsidR="00553430" w:rsidRDefault="00212577">
            <w:pPr>
              <w:pStyle w:val="P68B1DB1-Normal66"/>
              <w:spacing w:after="200" w:line="276" w:lineRule="auto"/>
              <w:jc w:val="center"/>
              <w:rPr>
                <w:noProof/>
              </w:rPr>
            </w:pPr>
            <w:r>
              <w:rPr>
                <w:noProof/>
              </w:rPr>
              <w:t>2022</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20C1910B" w14:textId="77777777" w:rsidR="00553430" w:rsidRDefault="00212577">
            <w:pPr>
              <w:pStyle w:val="P68B1DB1-Normal66"/>
              <w:spacing w:after="200" w:line="276" w:lineRule="auto"/>
              <w:rPr>
                <w:noProof/>
              </w:rPr>
            </w:pPr>
            <w:r>
              <w:rPr>
                <w:noProof/>
              </w:rPr>
              <w:t>La nouvelle loi sur le domaine maritime et les ports maritimes réorganise la structure du système portuaire ouvert au trafic public, qui vise à assurer l'uniformité dan</w:t>
            </w:r>
            <w:r>
              <w:rPr>
                <w:noProof/>
              </w:rPr>
              <w:t>s la mise en œuvre des obligations légales d'exploitation des ports publics et à rationaliser les coûts de gestion.</w:t>
            </w:r>
          </w:p>
        </w:tc>
      </w:tr>
      <w:tr w:rsidR="00553430" w14:paraId="21D9AE7F"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639DF312" w14:textId="77777777" w:rsidR="00553430" w:rsidRDefault="00212577">
            <w:pPr>
              <w:pStyle w:val="P68B1DB1-Normal66"/>
              <w:spacing w:after="200" w:line="276" w:lineRule="auto"/>
              <w:jc w:val="center"/>
              <w:rPr>
                <w:noProof/>
              </w:rPr>
            </w:pPr>
            <w:r>
              <w:rPr>
                <w:noProof/>
              </w:rPr>
              <w:t>112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D82DF84" w14:textId="77777777" w:rsidR="00553430" w:rsidRDefault="00212577">
            <w:pPr>
              <w:pStyle w:val="P68B1DB1-Normal66"/>
              <w:spacing w:after="200" w:line="276" w:lineRule="auto"/>
              <w:jc w:val="center"/>
              <w:rPr>
                <w:noProof/>
              </w:rPr>
            </w:pPr>
            <w:r>
              <w:rPr>
                <w:noProof/>
              </w:rPr>
              <w:t>C1.4. R3-I1</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60C5ACF5" w14:textId="77777777" w:rsidR="00553430" w:rsidRDefault="00212577">
            <w:pPr>
              <w:pStyle w:val="P68B1DB1-Normal66"/>
              <w:spacing w:after="200" w:line="276" w:lineRule="auto"/>
              <w:jc w:val="center"/>
              <w:rPr>
                <w:noProof/>
              </w:rPr>
            </w:pPr>
            <w:r>
              <w:rPr>
                <w:noProof/>
              </w:rPr>
              <w:t>T</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1A892353" w14:textId="1A2D5DEE" w:rsidR="00553430" w:rsidRDefault="00212577">
            <w:pPr>
              <w:pStyle w:val="P68B1DB1-Normal66"/>
              <w:spacing w:after="200" w:line="276" w:lineRule="auto"/>
              <w:rPr>
                <w:noProof/>
              </w:rPr>
            </w:pPr>
            <w:r>
              <w:rPr>
                <w:noProof/>
              </w:rPr>
              <w:t xml:space="preserve">Nouveau terminal de passenager au port de Split </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1A1CE558" w14:textId="77777777" w:rsidR="00553430" w:rsidRDefault="00212577">
            <w:pPr>
              <w:pStyle w:val="P68B1DB1-Normal66"/>
              <w:spacing w:after="200" w:line="276" w:lineRule="auto"/>
              <w:rPr>
                <w:noProof/>
              </w:rPr>
            </w:pPr>
            <w:r>
              <w:rPr>
                <w:noProof/>
              </w:rPr>
              <w:t xml:space="preserve"> </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619731AA" w14:textId="77777777" w:rsidR="00553430" w:rsidRDefault="00212577">
            <w:pPr>
              <w:pStyle w:val="P68B1DB1-Normal66"/>
              <w:spacing w:after="200" w:line="276" w:lineRule="auto"/>
              <w:jc w:val="center"/>
              <w:rPr>
                <w:noProof/>
              </w:rPr>
            </w:pPr>
            <w:r>
              <w:rPr>
                <w:noProof/>
              </w:rPr>
              <w:t>Numéro</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005938A7" w14:textId="77777777" w:rsidR="00553430" w:rsidRDefault="00212577">
            <w:pPr>
              <w:pStyle w:val="P68B1DB1-Normal66"/>
              <w:spacing w:after="200" w:line="276" w:lineRule="auto"/>
              <w:jc w:val="center"/>
              <w:rPr>
                <w:noProof/>
              </w:rPr>
            </w:pPr>
            <w:r>
              <w:rPr>
                <w:noProof/>
              </w:rPr>
              <w:t>0</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79DF15BD" w14:textId="77777777" w:rsidR="00553430" w:rsidRDefault="00212577">
            <w:pPr>
              <w:pStyle w:val="P68B1DB1-Normal66"/>
              <w:spacing w:after="200" w:line="276" w:lineRule="auto"/>
              <w:jc w:val="center"/>
              <w:rPr>
                <w:noProof/>
              </w:rPr>
            </w:pPr>
            <w:r>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E51E0E7"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62E0611" w14:textId="77777777" w:rsidR="00553430" w:rsidRDefault="00212577">
            <w:pPr>
              <w:pStyle w:val="P68B1DB1-Normal66"/>
              <w:spacing w:after="200" w:line="276" w:lineRule="auto"/>
              <w:jc w:val="center"/>
              <w:rPr>
                <w:noProof/>
              </w:rPr>
            </w:pPr>
            <w:r>
              <w:rPr>
                <w:noProof/>
              </w:rPr>
              <w:t>2025</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4EAB6F4D" w14:textId="1941C691" w:rsidR="00553430" w:rsidRDefault="00212577">
            <w:pPr>
              <w:pStyle w:val="P68B1DB1-Normal66"/>
              <w:spacing w:after="200" w:line="276" w:lineRule="auto"/>
              <w:rPr>
                <w:noProof/>
              </w:rPr>
            </w:pPr>
            <w:r>
              <w:rPr>
                <w:noProof/>
              </w:rPr>
              <w:t xml:space="preserve">Un nouveau terminal pour passagers sera construit au port de Split. </w:t>
            </w:r>
          </w:p>
        </w:tc>
      </w:tr>
      <w:tr w:rsidR="00553430" w14:paraId="2D953B92"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37080997" w14:textId="77777777" w:rsidR="00553430" w:rsidRDefault="00212577">
            <w:pPr>
              <w:pStyle w:val="P68B1DB1-Normal66"/>
              <w:spacing w:after="200" w:line="276" w:lineRule="auto"/>
              <w:jc w:val="center"/>
              <w:rPr>
                <w:noProof/>
              </w:rPr>
            </w:pPr>
            <w:r>
              <w:rPr>
                <w:noProof/>
              </w:rPr>
              <w:t>114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A64BC53" w14:textId="77777777" w:rsidR="00553430" w:rsidRDefault="00212577">
            <w:pPr>
              <w:pStyle w:val="P68B1DB1-Normal66"/>
              <w:spacing w:after="200" w:line="276" w:lineRule="auto"/>
              <w:jc w:val="center"/>
              <w:rPr>
                <w:noProof/>
              </w:rPr>
            </w:pPr>
            <w:r>
              <w:rPr>
                <w:noProof/>
              </w:rPr>
              <w:t>C1.4. R3-I3</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15998729" w14:textId="77777777" w:rsidR="00553430" w:rsidRDefault="00212577">
            <w:pPr>
              <w:pStyle w:val="P68B1DB1-Normal66"/>
              <w:spacing w:after="200" w:line="276" w:lineRule="auto"/>
              <w:jc w:val="center"/>
              <w:rPr>
                <w:noProof/>
              </w:rPr>
            </w:pPr>
            <w:r>
              <w:rPr>
                <w:noProof/>
              </w:rPr>
              <w:t>T</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3DE2DC8D" w14:textId="77777777" w:rsidR="00553430" w:rsidRDefault="00212577">
            <w:pPr>
              <w:pStyle w:val="P68B1DB1-Normal66"/>
              <w:spacing w:after="200" w:line="276" w:lineRule="auto"/>
              <w:rPr>
                <w:noProof/>
              </w:rPr>
            </w:pPr>
            <w:r>
              <w:rPr>
                <w:noProof/>
              </w:rPr>
              <w:t>Nouveau transbordeur à câbles «Križnica» opérationnel sur la rivière Drava dans la municipalité de Pitomača</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4333F0F4" w14:textId="77777777" w:rsidR="00553430" w:rsidRDefault="00212577">
            <w:pPr>
              <w:pStyle w:val="P68B1DB1-Normal66"/>
              <w:spacing w:after="200" w:line="276" w:lineRule="auto"/>
              <w:rPr>
                <w:noProof/>
              </w:rPr>
            </w:pPr>
            <w:r>
              <w:rPr>
                <w:noProof/>
              </w:rPr>
              <w:t xml:space="preserve"> </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3AAF916A" w14:textId="77777777" w:rsidR="00553430" w:rsidRDefault="00212577">
            <w:pPr>
              <w:pStyle w:val="P68B1DB1-Normal66"/>
              <w:spacing w:after="200" w:line="276" w:lineRule="auto"/>
              <w:jc w:val="center"/>
              <w:rPr>
                <w:noProof/>
              </w:rPr>
            </w:pPr>
            <w:r>
              <w:rPr>
                <w:noProof/>
              </w:rPr>
              <w:t xml:space="preserve">Numéro </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7C6A6200" w14:textId="77777777" w:rsidR="00553430" w:rsidRDefault="00212577">
            <w:pPr>
              <w:pStyle w:val="P68B1DB1-Normal66"/>
              <w:spacing w:after="200" w:line="276" w:lineRule="auto"/>
              <w:jc w:val="center"/>
              <w:rPr>
                <w:noProof/>
              </w:rPr>
            </w:pPr>
            <w:r>
              <w:rPr>
                <w:noProof/>
              </w:rPr>
              <w:t>0</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183E99AE" w14:textId="77777777" w:rsidR="00553430" w:rsidRDefault="00212577">
            <w:pPr>
              <w:pStyle w:val="P68B1DB1-Normal66"/>
              <w:spacing w:after="200" w:line="276" w:lineRule="auto"/>
              <w:jc w:val="center"/>
              <w:rPr>
                <w:noProof/>
              </w:rPr>
            </w:pPr>
            <w:r>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49A6F78"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3B31E78" w14:textId="77777777" w:rsidR="00553430" w:rsidRDefault="00212577">
            <w:pPr>
              <w:pStyle w:val="P68B1DB1-Normal66"/>
              <w:spacing w:after="200" w:line="276" w:lineRule="auto"/>
              <w:jc w:val="center"/>
              <w:rPr>
                <w:noProof/>
              </w:rPr>
            </w:pPr>
            <w:r>
              <w:rPr>
                <w:noProof/>
              </w:rPr>
              <w:t>2022</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29A4AD33" w14:textId="77777777" w:rsidR="00553430" w:rsidRDefault="00212577">
            <w:pPr>
              <w:pStyle w:val="P68B1DB1-Normal66"/>
              <w:spacing w:after="200" w:line="276" w:lineRule="auto"/>
              <w:rPr>
                <w:noProof/>
              </w:rPr>
            </w:pPr>
            <w:r>
              <w:rPr>
                <w:noProof/>
              </w:rPr>
              <w:t xml:space="preserve">Cet investissement se traduira par la construction d’un transbordeur électrique à énergie solaire reliant le continent à l’île de Križnica, en exploitation avec l’approbation du registre croate des navires. </w:t>
            </w:r>
          </w:p>
        </w:tc>
      </w:tr>
      <w:tr w:rsidR="00553430" w14:paraId="0AAB01F5"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B59E036" w14:textId="77777777" w:rsidR="00553430" w:rsidRDefault="00212577">
            <w:pPr>
              <w:pStyle w:val="P68B1DB1-Normal66"/>
              <w:spacing w:after="200" w:line="276" w:lineRule="auto"/>
              <w:jc w:val="center"/>
              <w:rPr>
                <w:noProof/>
              </w:rPr>
            </w:pPr>
            <w:r>
              <w:rPr>
                <w:noProof/>
              </w:rPr>
              <w:t>117</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1FB73D9" w14:textId="77777777" w:rsidR="00553430" w:rsidRDefault="00212577">
            <w:pPr>
              <w:pStyle w:val="P68B1DB1-Normal66"/>
              <w:spacing w:after="200" w:line="276" w:lineRule="auto"/>
              <w:jc w:val="center"/>
              <w:rPr>
                <w:noProof/>
              </w:rPr>
            </w:pPr>
            <w:r>
              <w:rPr>
                <w:noProof/>
              </w:rPr>
              <w:t>C1.4. R4-I2</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66982BF7" w14:textId="77777777" w:rsidR="00553430" w:rsidRDefault="00212577">
            <w:pPr>
              <w:pStyle w:val="P68B1DB1-Normal66"/>
              <w:spacing w:after="200" w:line="276" w:lineRule="auto"/>
              <w:jc w:val="center"/>
              <w:rPr>
                <w:noProof/>
              </w:rPr>
            </w:pPr>
            <w:r>
              <w:rPr>
                <w:noProof/>
              </w:rPr>
              <w:t>T</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76DB7E4A" w14:textId="77777777" w:rsidR="00553430" w:rsidRDefault="00212577">
            <w:pPr>
              <w:pStyle w:val="P68B1DB1-Normal66"/>
              <w:spacing w:after="200" w:line="276" w:lineRule="auto"/>
              <w:rPr>
                <w:noProof/>
              </w:rPr>
            </w:pPr>
            <w:r>
              <w:rPr>
                <w:noProof/>
              </w:rPr>
              <w:t xml:space="preserve">30 nouveaux tramways livrés </w:t>
            </w:r>
            <w:r>
              <w:rPr>
                <w:noProof/>
              </w:rPr>
              <w:t>pour les transports publics</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5D88DBBC" w14:textId="77777777" w:rsidR="00553430" w:rsidRDefault="00212577">
            <w:pPr>
              <w:pStyle w:val="P68B1DB1-Normal66"/>
              <w:spacing w:after="200" w:line="276" w:lineRule="auto"/>
              <w:rPr>
                <w:noProof/>
              </w:rPr>
            </w:pPr>
            <w:r>
              <w:rPr>
                <w:noProof/>
              </w:rPr>
              <w:t xml:space="preserve"> </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6662A911" w14:textId="77777777" w:rsidR="00553430" w:rsidRDefault="00212577">
            <w:pPr>
              <w:pStyle w:val="P68B1DB1-Normal66"/>
              <w:spacing w:after="200" w:line="276" w:lineRule="auto"/>
              <w:jc w:val="center"/>
              <w:rPr>
                <w:noProof/>
              </w:rPr>
            </w:pPr>
            <w:r>
              <w:rPr>
                <w:noProof/>
              </w:rPr>
              <w:t>Numéro</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71FCCEFC" w14:textId="77777777" w:rsidR="00553430" w:rsidRDefault="00212577">
            <w:pPr>
              <w:pStyle w:val="P68B1DB1-Normal66"/>
              <w:spacing w:after="200" w:line="276" w:lineRule="auto"/>
              <w:jc w:val="center"/>
              <w:rPr>
                <w:noProof/>
              </w:rPr>
            </w:pPr>
            <w:r>
              <w:rPr>
                <w:noProof/>
              </w:rPr>
              <w:t>0</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0A9D8346" w14:textId="77777777" w:rsidR="00553430" w:rsidRDefault="00212577">
            <w:pPr>
              <w:pStyle w:val="P68B1DB1-Normal66"/>
              <w:spacing w:after="200" w:line="276" w:lineRule="auto"/>
              <w:jc w:val="center"/>
              <w:rPr>
                <w:noProof/>
              </w:rPr>
            </w:pPr>
            <w:r>
              <w:rPr>
                <w:noProof/>
              </w:rPr>
              <w:t>30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57C1D34B"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1D3CD4C" w14:textId="77777777" w:rsidR="00553430" w:rsidRDefault="00212577">
            <w:pPr>
              <w:pStyle w:val="P68B1DB1-Normal66"/>
              <w:spacing w:after="200" w:line="276" w:lineRule="auto"/>
              <w:jc w:val="center"/>
              <w:rPr>
                <w:noProof/>
              </w:rPr>
            </w:pPr>
            <w:r>
              <w:rPr>
                <w:noProof/>
              </w:rPr>
              <w:t>2025</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7577A968" w14:textId="77777777" w:rsidR="00553430" w:rsidRDefault="00212577">
            <w:pPr>
              <w:pStyle w:val="P68B1DB1-Normal66"/>
              <w:spacing w:after="200" w:line="276" w:lineRule="auto"/>
              <w:rPr>
                <w:noProof/>
              </w:rPr>
            </w:pPr>
            <w:r>
              <w:rPr>
                <w:noProof/>
              </w:rPr>
              <w:t xml:space="preserve">30 nouveaux tramways seront livrés. </w:t>
            </w:r>
          </w:p>
        </w:tc>
      </w:tr>
      <w:tr w:rsidR="00553430" w14:paraId="6B001C63"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D76BB31" w14:textId="77777777" w:rsidR="00553430" w:rsidRDefault="00212577">
            <w:pPr>
              <w:pStyle w:val="P68B1DB1-Normal66"/>
              <w:spacing w:after="200" w:line="276" w:lineRule="auto"/>
              <w:jc w:val="center"/>
              <w:rPr>
                <w:noProof/>
              </w:rPr>
            </w:pPr>
            <w:r>
              <w:rPr>
                <w:noProof/>
              </w:rPr>
              <w:t>118</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EF82091" w14:textId="77777777" w:rsidR="00553430" w:rsidRDefault="00212577">
            <w:pPr>
              <w:pStyle w:val="P68B1DB1-Normal66"/>
              <w:spacing w:after="200" w:line="276" w:lineRule="auto"/>
              <w:jc w:val="center"/>
              <w:rPr>
                <w:noProof/>
              </w:rPr>
            </w:pPr>
            <w:r>
              <w:rPr>
                <w:noProof/>
              </w:rPr>
              <w:t>C1.4. R5-I1</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00062562" w14:textId="77777777" w:rsidR="00553430" w:rsidRDefault="00212577">
            <w:pPr>
              <w:pStyle w:val="P68B1DB1-Normal66"/>
              <w:spacing w:after="200" w:line="276" w:lineRule="auto"/>
              <w:jc w:val="center"/>
              <w:rPr>
                <w:noProof/>
              </w:rPr>
            </w:pPr>
            <w:r>
              <w:rPr>
                <w:noProof/>
              </w:rPr>
              <w:t>T</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06D4D7C1" w14:textId="77777777" w:rsidR="00553430" w:rsidRDefault="00212577">
            <w:pPr>
              <w:pStyle w:val="P68B1DB1-Normal66"/>
              <w:spacing w:after="200" w:line="276" w:lineRule="auto"/>
              <w:rPr>
                <w:noProof/>
              </w:rPr>
            </w:pPr>
            <w:r>
              <w:rPr>
                <w:noProof/>
              </w:rPr>
              <w:t>Électrification et écologisation de l'assistance au sol des avions à l'aéroport de Zadar</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2E65AE9A" w14:textId="77777777" w:rsidR="00553430" w:rsidRDefault="00212577">
            <w:pPr>
              <w:pStyle w:val="P68B1DB1-Normal66"/>
              <w:spacing w:after="200" w:line="276" w:lineRule="auto"/>
              <w:rPr>
                <w:noProof/>
              </w:rPr>
            </w:pPr>
            <w:r>
              <w:rPr>
                <w:noProof/>
              </w:rPr>
              <w:t xml:space="preserve"> </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0DE826E1" w14:textId="77777777" w:rsidR="00553430" w:rsidRDefault="00212577">
            <w:pPr>
              <w:pStyle w:val="P68B1DB1-Normal66"/>
              <w:spacing w:after="200" w:line="276" w:lineRule="auto"/>
              <w:jc w:val="center"/>
              <w:rPr>
                <w:noProof/>
              </w:rPr>
            </w:pPr>
            <w:r>
              <w:rPr>
                <w:noProof/>
              </w:rPr>
              <w:t>Numéro</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1E283A57" w14:textId="77777777" w:rsidR="00553430" w:rsidRDefault="00212577">
            <w:pPr>
              <w:pStyle w:val="P68B1DB1-Normal66"/>
              <w:spacing w:after="200" w:line="276" w:lineRule="auto"/>
              <w:jc w:val="center"/>
              <w:rPr>
                <w:noProof/>
              </w:rPr>
            </w:pPr>
            <w:r>
              <w:rPr>
                <w:noProof/>
              </w:rPr>
              <w:t>0</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0852E2B7" w14:textId="77777777" w:rsidR="00553430" w:rsidRDefault="00212577">
            <w:pPr>
              <w:pStyle w:val="P68B1DB1-Normal66"/>
              <w:spacing w:after="200" w:line="276" w:lineRule="auto"/>
              <w:jc w:val="center"/>
              <w:rPr>
                <w:noProof/>
              </w:rPr>
            </w:pPr>
            <w:r>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ED0486A"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7704B7" w14:textId="77777777" w:rsidR="00553430" w:rsidRDefault="00212577">
            <w:pPr>
              <w:pStyle w:val="P68B1DB1-Normal66"/>
              <w:spacing w:after="200" w:line="276" w:lineRule="auto"/>
              <w:jc w:val="center"/>
              <w:rPr>
                <w:noProof/>
              </w:rPr>
            </w:pPr>
            <w:r>
              <w:rPr>
                <w:noProof/>
              </w:rPr>
              <w:t>2024</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3BFCC436" w14:textId="77777777" w:rsidR="00553430" w:rsidRDefault="00212577">
            <w:pPr>
              <w:pStyle w:val="P68B1DB1-Normal66"/>
              <w:spacing w:after="200" w:line="276" w:lineRule="auto"/>
              <w:rPr>
                <w:noProof/>
              </w:rPr>
            </w:pPr>
            <w:r>
              <w:rPr>
                <w:noProof/>
              </w:rPr>
              <w:t xml:space="preserve">Électrification et écologisation de la </w:t>
            </w:r>
            <w:r>
              <w:rPr>
                <w:noProof/>
              </w:rPr>
              <w:t xml:space="preserve">manutention au sol des aéronefs, ce qui comprend: i) installation de connexions fixes pour l’alimentation électrique des aéronefs en stationnement avec les adaptations de conception et de sécurité nécessaires (sans augmentation de la capacité de l’aire de </w:t>
            </w:r>
            <w:r>
              <w:rPr>
                <w:noProof/>
              </w:rPr>
              <w:t>trafic); ii) le remplacement d’équipements mobiles d’assistance en escale fonctionnant au diesel par des unités électriques; et iii) la construction d’une centrale photovoltaïque de 610 kW et sa connexion au système d’alimentation électrique fixe et aux st</w:t>
            </w:r>
            <w:r>
              <w:rPr>
                <w:noProof/>
              </w:rPr>
              <w:t xml:space="preserve">ations de recharge pour les équipements mobiles d’assistance en escale à propulsion électrique. </w:t>
            </w:r>
            <w:r>
              <w:rPr>
                <w:noProof/>
              </w:rPr>
              <w:br/>
              <w:t xml:space="preserve">Cette mesure ne devrait pas causer de préjudice important aux objectifs environnementaux au sens de l’article 17 du règlement (UE) 2020/852, compte tenu de la </w:t>
            </w:r>
            <w:r>
              <w:rPr>
                <w:noProof/>
              </w:rPr>
              <w:t xml:space="preserve">description de la mesure et des mesures d’atténuation énoncées dans le plan pour la reprise et la résilience conformément aux orientations techniques DNSH (2021/C58/01). En particulier, le projet est mis en œuvre sans augmentation de la capacité de l'aire </w:t>
            </w:r>
            <w:r>
              <w:rPr>
                <w:noProof/>
              </w:rPr>
              <w:t>de trafic et les équipements mobiles d'assistance en escale fonctionnant au diesel sont remplacés par des unités électriques. Il convient de prouver que le projet n’a pas d’incidence significative sur l’intégrité des sites Natura 2 000 concernés.</w:t>
            </w:r>
          </w:p>
        </w:tc>
      </w:tr>
      <w:tr w:rsidR="00553430" w14:paraId="24560EEB"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E4DFAD2" w14:textId="77777777" w:rsidR="00553430" w:rsidRDefault="00212577">
            <w:pPr>
              <w:pStyle w:val="P68B1DB1-Normal66"/>
              <w:spacing w:after="200" w:line="276" w:lineRule="auto"/>
              <w:jc w:val="center"/>
              <w:rPr>
                <w:noProof/>
              </w:rPr>
            </w:pPr>
            <w:r>
              <w:rPr>
                <w:noProof/>
              </w:rPr>
              <w:t>119</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09C4A0C" w14:textId="77777777" w:rsidR="00553430" w:rsidRDefault="00212577">
            <w:pPr>
              <w:pStyle w:val="P68B1DB1-Normal66"/>
              <w:spacing w:after="200" w:line="276" w:lineRule="auto"/>
              <w:jc w:val="center"/>
              <w:rPr>
                <w:noProof/>
              </w:rPr>
            </w:pPr>
            <w:r>
              <w:rPr>
                <w:noProof/>
              </w:rPr>
              <w:t>C1.4. R5-I2</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56D1564C" w14:textId="77777777" w:rsidR="00553430" w:rsidRDefault="00212577">
            <w:pPr>
              <w:pStyle w:val="P68B1DB1-Normal66"/>
              <w:spacing w:after="200" w:line="276" w:lineRule="auto"/>
              <w:jc w:val="center"/>
              <w:rPr>
                <w:noProof/>
              </w:rPr>
            </w:pPr>
            <w:r>
              <w:rPr>
                <w:noProof/>
              </w:rPr>
              <w:t>T</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37E87455" w14:textId="77777777" w:rsidR="00553430" w:rsidRDefault="00212577">
            <w:pPr>
              <w:pStyle w:val="P68B1DB1-Normal66"/>
              <w:spacing w:after="200" w:line="276" w:lineRule="auto"/>
              <w:rPr>
                <w:noProof/>
              </w:rPr>
            </w:pPr>
            <w:r>
              <w:rPr>
                <w:noProof/>
              </w:rPr>
              <w:t>Prototypes de vérification de véhicules entièrement autonomes et électriques et essais pertinents</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6BC3A8BC" w14:textId="77777777" w:rsidR="00553430" w:rsidRDefault="00212577">
            <w:pPr>
              <w:pStyle w:val="P68B1DB1-Normal66"/>
              <w:spacing w:after="200" w:line="276" w:lineRule="auto"/>
              <w:rPr>
                <w:noProof/>
              </w:rPr>
            </w:pPr>
            <w:r>
              <w:rPr>
                <w:noProof/>
              </w:rPr>
              <w:t> </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4C2D158E" w14:textId="77777777" w:rsidR="00553430" w:rsidRDefault="00212577">
            <w:pPr>
              <w:pStyle w:val="P68B1DB1-Normal66"/>
              <w:spacing w:after="200" w:line="276" w:lineRule="auto"/>
              <w:jc w:val="center"/>
              <w:rPr>
                <w:noProof/>
              </w:rPr>
            </w:pPr>
            <w:r>
              <w:rPr>
                <w:noProof/>
              </w:rPr>
              <w:t>Numéro</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78A0B9BB" w14:textId="77777777" w:rsidR="00553430" w:rsidRDefault="00212577">
            <w:pPr>
              <w:pStyle w:val="P68B1DB1-Normal66"/>
              <w:spacing w:after="200" w:line="276" w:lineRule="auto"/>
              <w:jc w:val="center"/>
              <w:rPr>
                <w:noProof/>
              </w:rPr>
            </w:pPr>
            <w:r>
              <w:rPr>
                <w:noProof/>
              </w:rPr>
              <w:t>0</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9023045" w14:textId="77777777" w:rsidR="00553430" w:rsidRDefault="00212577">
            <w:pPr>
              <w:pStyle w:val="P68B1DB1-Normal66"/>
              <w:spacing w:after="200" w:line="276" w:lineRule="auto"/>
              <w:jc w:val="center"/>
              <w:rPr>
                <w:noProof/>
              </w:rPr>
            </w:pPr>
            <w:r>
              <w:rPr>
                <w:noProof/>
              </w:rPr>
              <w:t>60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402B249" w14:textId="77777777" w:rsidR="00553430" w:rsidRDefault="00212577">
            <w:pPr>
              <w:pStyle w:val="P68B1DB1-Normal66"/>
              <w:spacing w:after="200" w:line="276" w:lineRule="auto"/>
              <w:jc w:val="center"/>
              <w:rPr>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67E97F4" w14:textId="77777777" w:rsidR="00553430" w:rsidRDefault="00212577">
            <w:pPr>
              <w:pStyle w:val="P68B1DB1-Normal66"/>
              <w:spacing w:after="200" w:line="276" w:lineRule="auto"/>
              <w:jc w:val="center"/>
              <w:rPr>
                <w:noProof/>
              </w:rPr>
            </w:pPr>
            <w:r>
              <w:rPr>
                <w:noProof/>
              </w:rPr>
              <w:t>2025</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619821D0" w14:textId="77777777" w:rsidR="00553430" w:rsidRDefault="00212577">
            <w:pPr>
              <w:pStyle w:val="P68B1DB1-Normal66"/>
              <w:spacing w:after="200" w:line="276" w:lineRule="auto"/>
              <w:rPr>
                <w:noProof/>
              </w:rPr>
            </w:pPr>
            <w:r>
              <w:rPr>
                <w:noProof/>
              </w:rPr>
              <w:t>Des prototypes de vérification doivent être produits et testés, et les systèmes de conduite autonome doivent être testés.</w:t>
            </w:r>
          </w:p>
        </w:tc>
      </w:tr>
      <w:tr w:rsidR="00553430" w14:paraId="168BAF63"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487057F" w14:textId="77777777" w:rsidR="00553430" w:rsidRDefault="00212577">
            <w:pPr>
              <w:pStyle w:val="P68B1DB1-Normal66"/>
              <w:spacing w:after="200" w:line="276" w:lineRule="auto"/>
              <w:jc w:val="center"/>
              <w:rPr>
                <w:noProof/>
              </w:rPr>
            </w:pPr>
            <w:r>
              <w:rPr>
                <w:noProof/>
              </w:rPr>
              <w:t>120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AEA8E7D" w14:textId="77777777" w:rsidR="00553430" w:rsidRDefault="00212577">
            <w:pPr>
              <w:pStyle w:val="P68B1DB1-Normal66"/>
              <w:spacing w:after="200" w:line="276" w:lineRule="auto"/>
              <w:jc w:val="center"/>
              <w:rPr>
                <w:noProof/>
              </w:rPr>
            </w:pPr>
            <w:r>
              <w:rPr>
                <w:noProof/>
              </w:rPr>
              <w:t>C1.4. R5-I2</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3369117A" w14:textId="77777777" w:rsidR="00553430" w:rsidRDefault="00212577">
            <w:pPr>
              <w:pStyle w:val="P68B1DB1-Normal66"/>
              <w:spacing w:after="200" w:line="276" w:lineRule="auto"/>
              <w:jc w:val="center"/>
              <w:rPr>
                <w:noProof/>
              </w:rPr>
            </w:pPr>
            <w:r>
              <w:rPr>
                <w:noProof/>
              </w:rPr>
              <w:t>M</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60D03469" w14:textId="77777777" w:rsidR="00553430" w:rsidRDefault="00212577">
            <w:pPr>
              <w:pStyle w:val="P68B1DB1-Normal66"/>
              <w:spacing w:after="200" w:line="276" w:lineRule="auto"/>
              <w:rPr>
                <w:noProof/>
              </w:rPr>
            </w:pPr>
            <w:r>
              <w:rPr>
                <w:noProof/>
              </w:rPr>
              <w:t>Nouvelle législation sur la conduite autonome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2E7777BD" w14:textId="77777777" w:rsidR="00553430" w:rsidRDefault="00212577">
            <w:pPr>
              <w:pStyle w:val="P68B1DB1-Normal66"/>
              <w:spacing w:after="200" w:line="276" w:lineRule="auto"/>
              <w:rPr>
                <w:noProof/>
              </w:rPr>
            </w:pPr>
            <w:r>
              <w:rPr>
                <w:noProof/>
              </w:rPr>
              <w:t>Entrée en vigueur de la nouvelle législation sur la conduite autonome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38394E19" w14:textId="77777777" w:rsidR="00553430" w:rsidRDefault="00212577">
            <w:pPr>
              <w:pStyle w:val="P68B1DB1-Normal66"/>
              <w:spacing w:after="200" w:line="276" w:lineRule="auto"/>
              <w:jc w:val="center"/>
              <w:rPr>
                <w:noProof/>
              </w:rPr>
            </w:pPr>
            <w:r>
              <w:rPr>
                <w:noProof/>
              </w:rPr>
              <w:t> </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0975F704" w14:textId="77777777" w:rsidR="00553430" w:rsidRDefault="00212577">
            <w:pPr>
              <w:pStyle w:val="P68B1DB1-Normal66"/>
              <w:spacing w:after="200" w:line="276" w:lineRule="auto"/>
              <w:jc w:val="center"/>
              <w:rPr>
                <w:noProof/>
              </w:rPr>
            </w:pPr>
            <w:r>
              <w:rPr>
                <w:noProof/>
              </w:rPr>
              <w:t>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0D921771" w14:textId="77777777" w:rsidR="00553430" w:rsidRDefault="00212577">
            <w:pPr>
              <w:pStyle w:val="P68B1DB1-Normal66"/>
              <w:spacing w:after="200" w:line="276" w:lineRule="auto"/>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89A0C5D" w14:textId="77777777" w:rsidR="00553430" w:rsidRDefault="00212577">
            <w:pPr>
              <w:pStyle w:val="P68B1DB1-Normal66"/>
              <w:spacing w:after="200" w:line="276"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8D91C1D" w14:textId="77777777" w:rsidR="00553430" w:rsidRDefault="00212577">
            <w:pPr>
              <w:pStyle w:val="P68B1DB1-Normal66"/>
              <w:spacing w:after="200" w:line="276" w:lineRule="auto"/>
              <w:jc w:val="center"/>
              <w:rPr>
                <w:noProof/>
              </w:rPr>
            </w:pPr>
            <w:r>
              <w:rPr>
                <w:noProof/>
              </w:rPr>
              <w:t>2024</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0C182D3A" w14:textId="77777777" w:rsidR="00553430" w:rsidRDefault="00212577">
            <w:pPr>
              <w:pStyle w:val="P68B1DB1-Normal66"/>
              <w:spacing w:after="200" w:line="276" w:lineRule="auto"/>
              <w:rPr>
                <w:noProof/>
              </w:rPr>
            </w:pPr>
            <w:r>
              <w:rPr>
                <w:noProof/>
              </w:rPr>
              <w:t xml:space="preserve">La nouvelle législation sur la conduite autonome couvre, entre autres, les éléments suivants: </w:t>
            </w:r>
            <w:r>
              <w:rPr>
                <w:noProof/>
              </w:rPr>
              <w:br/>
              <w:t xml:space="preserve">Élaboration </w:t>
            </w:r>
            <w:r>
              <w:rPr>
                <w:noProof/>
              </w:rPr>
              <w:t>d'une procédure nationale d'essai pour la conduite autonome;</w:t>
            </w:r>
            <w:r>
              <w:rPr>
                <w:noProof/>
              </w:rPr>
              <w:br/>
              <w:t>Adaptation de la législation nationale en matière de sécurité routière pour permettre la circulation des véhicules autonomes;</w:t>
            </w:r>
            <w:r>
              <w:rPr>
                <w:noProof/>
              </w:rPr>
              <w:br/>
              <w:t>adaptation des règles nationales en matière de réception par type des</w:t>
            </w:r>
            <w:r>
              <w:rPr>
                <w:noProof/>
              </w:rPr>
              <w:t xml:space="preserve"> véhicules;</w:t>
            </w:r>
            <w:r>
              <w:rPr>
                <w:noProof/>
              </w:rPr>
              <w:br/>
              <w:t>Adaptation des règles de sécurité routière des voyageurs pour permettre le transport de voyageurs par des véhicules autonomes;</w:t>
            </w:r>
            <w:r>
              <w:rPr>
                <w:noProof/>
              </w:rPr>
              <w:br/>
              <w:t>Adaptation de la législation nationale en matière d'assurance pour permettre l'assurance des véhicules et services au</w:t>
            </w:r>
            <w:r>
              <w:rPr>
                <w:noProof/>
              </w:rPr>
              <w:t>tonomes.</w:t>
            </w:r>
          </w:p>
        </w:tc>
      </w:tr>
      <w:tr w:rsidR="00553430" w14:paraId="67EB6ED9"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07D42DFA" w14:textId="77777777" w:rsidR="00553430" w:rsidRDefault="00212577">
            <w:pPr>
              <w:pStyle w:val="P68B1DB1-Normal66"/>
              <w:spacing w:after="200" w:line="276" w:lineRule="auto"/>
              <w:jc w:val="center"/>
              <w:rPr>
                <w:noProof/>
              </w:rPr>
            </w:pPr>
            <w:r>
              <w:rPr>
                <w:noProof/>
              </w:rPr>
              <w:t>122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F48E75" w14:textId="77777777" w:rsidR="00553430" w:rsidRDefault="00212577">
            <w:pPr>
              <w:pStyle w:val="P68B1DB1-Normal66"/>
              <w:spacing w:after="200" w:line="276" w:lineRule="auto"/>
              <w:jc w:val="center"/>
              <w:rPr>
                <w:noProof/>
              </w:rPr>
            </w:pPr>
            <w:r>
              <w:rPr>
                <w:noProof/>
              </w:rPr>
              <w:t>C1.4. R5-I2</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4E0A1903" w14:textId="77777777" w:rsidR="00553430" w:rsidRDefault="00212577">
            <w:pPr>
              <w:pStyle w:val="P68B1DB1-Normal66"/>
              <w:spacing w:after="200" w:line="276" w:lineRule="auto"/>
              <w:jc w:val="center"/>
              <w:rPr>
                <w:noProof/>
              </w:rPr>
            </w:pPr>
            <w:r>
              <w:rPr>
                <w:noProof/>
              </w:rPr>
              <w:t>M</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746E6154" w14:textId="77777777" w:rsidR="00553430" w:rsidRDefault="00212577">
            <w:pPr>
              <w:pStyle w:val="P68B1DB1-Normal66"/>
              <w:spacing w:after="200" w:line="276" w:lineRule="auto"/>
              <w:rPr>
                <w:noProof/>
              </w:rPr>
            </w:pPr>
            <w:r>
              <w:rPr>
                <w:noProof/>
              </w:rPr>
              <w:t xml:space="preserve">Nouveau service de transport urbain de véhicules entièrement autonomes et électriques adaptés aux besoins des passagers handicapés et d'une infrastructure spécialisée </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4998BA2B" w14:textId="77777777" w:rsidR="00553430" w:rsidRDefault="00212577">
            <w:pPr>
              <w:pStyle w:val="P68B1DB1-Normal66"/>
              <w:spacing w:after="200" w:line="276" w:lineRule="auto"/>
              <w:rPr>
                <w:noProof/>
              </w:rPr>
            </w:pPr>
            <w:r>
              <w:rPr>
                <w:noProof/>
              </w:rPr>
              <w:t>Des véhicules entièrement autonomes et électriques adaptés aux besoins des passagers handicapés produits, et une infrastructure spécialisée fonctionnant avec toutes les fonctionnalités installées</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032AD7C5" w14:textId="77777777" w:rsidR="00553430" w:rsidRDefault="00212577">
            <w:pPr>
              <w:pStyle w:val="P68B1DB1-Normal66"/>
              <w:spacing w:after="200" w:line="276" w:lineRule="auto"/>
              <w:jc w:val="center"/>
              <w:rPr>
                <w:noProof/>
              </w:rPr>
            </w:pPr>
            <w:r>
              <w:rPr>
                <w:noProof/>
              </w:rPr>
              <w:t> </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1DA4535F" w14:textId="77777777" w:rsidR="00553430" w:rsidRDefault="00212577">
            <w:pPr>
              <w:pStyle w:val="P68B1DB1-Normal66"/>
              <w:spacing w:after="200" w:line="276" w:lineRule="auto"/>
              <w:jc w:val="center"/>
              <w:rPr>
                <w:noProof/>
              </w:rPr>
            </w:pPr>
            <w:r>
              <w:rPr>
                <w:noProof/>
              </w:rPr>
              <w:t>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41F1CD6" w14:textId="77777777" w:rsidR="00553430" w:rsidRDefault="00212577">
            <w:pPr>
              <w:pStyle w:val="P68B1DB1-Normal66"/>
              <w:spacing w:after="200" w:line="276" w:lineRule="auto"/>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8A2067F" w14:textId="77777777" w:rsidR="00553430" w:rsidRDefault="00212577">
            <w:pPr>
              <w:pStyle w:val="P68B1DB1-Normal66"/>
              <w:spacing w:after="200" w:line="276"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AE01E49" w14:textId="77777777" w:rsidR="00553430" w:rsidRDefault="00212577">
            <w:pPr>
              <w:pStyle w:val="P68B1DB1-Normal66"/>
              <w:spacing w:after="200" w:line="276" w:lineRule="auto"/>
              <w:jc w:val="center"/>
              <w:rPr>
                <w:noProof/>
              </w:rPr>
            </w:pPr>
            <w:r>
              <w:rPr>
                <w:noProof/>
              </w:rPr>
              <w:t>2025</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02F6C2F2" w14:textId="77777777" w:rsidR="00553430" w:rsidRDefault="00212577">
            <w:pPr>
              <w:pStyle w:val="P68B1DB1-Normal66"/>
              <w:spacing w:after="0" w:line="276" w:lineRule="auto"/>
              <w:rPr>
                <w:noProof/>
              </w:rPr>
            </w:pPr>
            <w:r>
              <w:rPr>
                <w:noProof/>
              </w:rPr>
              <w:t>Nouveau service de transport urbain comprenant</w:t>
            </w:r>
            <w:r>
              <w:rPr>
                <w:noProof/>
              </w:rPr>
              <w:t xml:space="preserve">: </w:t>
            </w:r>
          </w:p>
          <w:p w14:paraId="4FA16B18" w14:textId="77777777" w:rsidR="00553430" w:rsidRDefault="00212577">
            <w:pPr>
              <w:pStyle w:val="P68B1DB1-ListParagraph78"/>
              <w:numPr>
                <w:ilvl w:val="0"/>
                <w:numId w:val="52"/>
              </w:numPr>
              <w:spacing w:before="120" w:after="0" w:line="276" w:lineRule="auto"/>
              <w:rPr>
                <w:noProof/>
              </w:rPr>
            </w:pPr>
            <w:r>
              <w:rPr>
                <w:noProof/>
              </w:rPr>
              <w:t xml:space="preserve">une flotte de véhicules électriques entièrement autonomes capables d’exécuter toutes les fonctions de conduite dynamique sans aucune assistance du conducteur à l’aide de l’intelligence artificielle, </w:t>
            </w:r>
          </w:p>
          <w:p w14:paraId="7E9665DD" w14:textId="3229D8C9" w:rsidR="00553430" w:rsidRDefault="00212577">
            <w:pPr>
              <w:pStyle w:val="P68B1DB1-ListParagraph78"/>
              <w:numPr>
                <w:ilvl w:val="0"/>
                <w:numId w:val="52"/>
              </w:numPr>
              <w:spacing w:before="120" w:after="0" w:line="276" w:lineRule="auto"/>
              <w:rPr>
                <w:noProof/>
              </w:rPr>
            </w:pPr>
            <w:r>
              <w:rPr>
                <w:noProof/>
              </w:rPr>
              <w:t>le développement et la construction d'une infrastruct</w:t>
            </w:r>
            <w:r>
              <w:rPr>
                <w:noProof/>
              </w:rPr>
              <w:t>ure spécialisée pour la flotte de véhicules autonomes et électriques intégrés aux transports publics urbains, et</w:t>
            </w:r>
          </w:p>
          <w:p w14:paraId="6ACEC093" w14:textId="77777777" w:rsidR="00553430" w:rsidRDefault="00212577">
            <w:pPr>
              <w:pStyle w:val="P68B1DB1-ListParagraph78"/>
              <w:numPr>
                <w:ilvl w:val="0"/>
                <w:numId w:val="52"/>
              </w:numPr>
              <w:spacing w:before="120" w:after="0" w:line="276" w:lineRule="auto"/>
              <w:rPr>
                <w:noProof/>
              </w:rPr>
            </w:pPr>
            <w:r>
              <w:rPr>
                <w:noProof/>
              </w:rPr>
              <w:t>le développement d'une plate-forme logicielle pour faire fonctionner l'ensemble du système;</w:t>
            </w:r>
          </w:p>
          <w:p w14:paraId="18BEB9D2" w14:textId="77777777" w:rsidR="00553430" w:rsidRDefault="00212577">
            <w:pPr>
              <w:pStyle w:val="P68B1DB1-Normal66"/>
              <w:spacing w:after="0" w:line="276" w:lineRule="auto"/>
              <w:rPr>
                <w:noProof/>
              </w:rPr>
            </w:pPr>
            <w:r>
              <w:rPr>
                <w:noProof/>
              </w:rPr>
              <w:t>doivent être fonctionnels, permettant le fonctionne</w:t>
            </w:r>
            <w:r>
              <w:rPr>
                <w:noProof/>
              </w:rPr>
              <w:t>ment de véhicules électriques neufs entièrement autonomes. Le nouveau véhicule électrique entièrement autonome doit être adapté aux besoins des passagers handicapés en disposant de grandes portes coulissantes permettant une entrée plus facile dans le véhic</w:t>
            </w:r>
            <w:r>
              <w:rPr>
                <w:noProof/>
              </w:rPr>
              <w:t>ule et d’un compartiment à bagages pouvant accueillir des fauteuils roulants.</w:t>
            </w:r>
          </w:p>
        </w:tc>
      </w:tr>
      <w:tr w:rsidR="00553430" w14:paraId="09D7FB2F"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4E087890" w14:textId="77777777" w:rsidR="00553430" w:rsidRDefault="00212577">
            <w:pPr>
              <w:pStyle w:val="P68B1DB1-Normal66"/>
              <w:spacing w:after="200" w:line="276" w:lineRule="auto"/>
              <w:jc w:val="center"/>
              <w:rPr>
                <w:noProof/>
              </w:rPr>
            </w:pPr>
            <w:r>
              <w:rPr>
                <w:noProof/>
              </w:rPr>
              <w:t>123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605FE36" w14:textId="77777777" w:rsidR="00553430" w:rsidRDefault="00212577">
            <w:pPr>
              <w:pStyle w:val="P68B1DB1-Normal66"/>
              <w:spacing w:after="200" w:line="276" w:lineRule="auto"/>
              <w:jc w:val="center"/>
              <w:rPr>
                <w:noProof/>
              </w:rPr>
            </w:pPr>
            <w:r>
              <w:rPr>
                <w:noProof/>
              </w:rPr>
              <w:t>C1.4. R5-I2</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1EF6258D" w14:textId="77777777" w:rsidR="00553430" w:rsidRDefault="00212577">
            <w:pPr>
              <w:pStyle w:val="P68B1DB1-Normal66"/>
              <w:spacing w:after="200" w:line="276" w:lineRule="auto"/>
              <w:jc w:val="center"/>
              <w:rPr>
                <w:noProof/>
              </w:rPr>
            </w:pPr>
            <w:r>
              <w:rPr>
                <w:noProof/>
              </w:rPr>
              <w:t>M</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640B5415" w14:textId="77777777" w:rsidR="00553430" w:rsidRDefault="00212577">
            <w:pPr>
              <w:pStyle w:val="P68B1DB1-Normal66"/>
              <w:spacing w:after="200" w:line="276" w:lineRule="auto"/>
              <w:rPr>
                <w:noProof/>
              </w:rPr>
            </w:pPr>
            <w:r>
              <w:rPr>
                <w:noProof/>
              </w:rPr>
              <w:t xml:space="preserve">50 000 bons gratuits pour les trajets en véhicule entièrement autonome pour les personnes handicapées et/ou ayant des difficultés à utiliser d’autres moyens de transport public </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21A59CDF" w14:textId="52E43DEC" w:rsidR="00553430" w:rsidRDefault="00212577">
            <w:pPr>
              <w:pStyle w:val="P68B1DB1-Normal102"/>
              <w:spacing w:after="200" w:line="276" w:lineRule="auto"/>
              <w:rPr>
                <w:rFonts w:eastAsia="Calibri"/>
                <w:noProof/>
              </w:rPr>
            </w:pPr>
            <w:r>
              <w:rPr>
                <w:noProof/>
              </w:rPr>
              <w:t xml:space="preserve">Signature d'un accord avec la ville de Zagreb et l'opérateur de transport </w:t>
            </w:r>
            <w:r>
              <w:rPr>
                <w:noProof/>
              </w:rPr>
              <w:t>public pour l'émission de 50 000 bons de conduite gratuits</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697FD86C" w14:textId="77777777" w:rsidR="00553430" w:rsidRDefault="00553430">
            <w:pPr>
              <w:spacing w:after="200" w:line="276" w:lineRule="auto"/>
              <w:jc w:val="center"/>
              <w:rPr>
                <w:rFonts w:ascii="Times New Roman" w:eastAsia="Calibri" w:hAnsi="Times New Roman" w:cs="Times New Roman"/>
                <w:noProof/>
                <w:sz w:val="20"/>
                <w:szCs w:val="20"/>
              </w:rPr>
            </w:pP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689E9706" w14:textId="77777777" w:rsidR="00553430" w:rsidRDefault="00553430">
            <w:pPr>
              <w:spacing w:after="200" w:line="276" w:lineRule="auto"/>
              <w:jc w:val="center"/>
              <w:rPr>
                <w:rFonts w:ascii="Times New Roman" w:eastAsia="Calibri" w:hAnsi="Times New Roman" w:cs="Times New Roman"/>
                <w:noProof/>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2714C1AF" w14:textId="77777777" w:rsidR="00553430" w:rsidRDefault="00553430">
            <w:pPr>
              <w:spacing w:after="200" w:line="276" w:lineRule="auto"/>
              <w:jc w:val="center"/>
              <w:rPr>
                <w:rFonts w:ascii="Times New Roman" w:eastAsia="Calibri" w:hAnsi="Times New Roman" w:cs="Times New Roman"/>
                <w:noProof/>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2571DC1" w14:textId="77777777" w:rsidR="00553430" w:rsidRDefault="00212577">
            <w:pPr>
              <w:pStyle w:val="P68B1DB1-Normal66"/>
              <w:spacing w:after="200" w:line="276" w:lineRule="auto"/>
              <w:jc w:val="center"/>
              <w:rPr>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31D6462" w14:textId="77777777" w:rsidR="00553430" w:rsidRDefault="00212577">
            <w:pPr>
              <w:pStyle w:val="P68B1DB1-Normal66"/>
              <w:spacing w:after="200" w:line="276" w:lineRule="auto"/>
              <w:jc w:val="center"/>
              <w:rPr>
                <w:noProof/>
              </w:rPr>
            </w:pPr>
            <w:r>
              <w:rPr>
                <w:noProof/>
              </w:rPr>
              <w:t>2026</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59A0D353" w14:textId="77777777" w:rsidR="00553430" w:rsidRDefault="00212577">
            <w:pPr>
              <w:pStyle w:val="P68B1DB1-Normal66"/>
              <w:spacing w:after="200" w:line="276" w:lineRule="auto"/>
              <w:rPr>
                <w:noProof/>
              </w:rPr>
            </w:pPr>
            <w:r>
              <w:rPr>
                <w:noProof/>
              </w:rPr>
              <w:t>Un accord signé avec la ville de Zagreb et l’opérateur de transport public pour la délivrance de 50 000 bons de conduite gratuits, valables pendant au moins cinq ans après leur délivranc</w:t>
            </w:r>
            <w:r>
              <w:rPr>
                <w:noProof/>
              </w:rPr>
              <w:t xml:space="preserve">e, pour les personnes handicapées et/ou confrontées à des difficultés d’utilisation d’autres moyens de transport public est délivré. </w:t>
            </w:r>
          </w:p>
        </w:tc>
      </w:tr>
      <w:tr w:rsidR="00553430" w14:paraId="2F30AA8B"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3DCC005B" w14:textId="77777777" w:rsidR="00553430" w:rsidRDefault="00212577">
            <w:pPr>
              <w:pStyle w:val="P68B1DB1-Normal66"/>
              <w:spacing w:after="200" w:line="276" w:lineRule="auto"/>
              <w:jc w:val="center"/>
              <w:rPr>
                <w:noProof/>
              </w:rPr>
            </w:pPr>
            <w:r>
              <w:rPr>
                <w:noProof/>
              </w:rPr>
              <w:t>124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6368B6F" w14:textId="77777777" w:rsidR="00553430" w:rsidRDefault="00212577">
            <w:pPr>
              <w:pStyle w:val="P68B1DB1-Normal66"/>
              <w:spacing w:after="200" w:line="276" w:lineRule="auto"/>
              <w:jc w:val="center"/>
              <w:rPr>
                <w:noProof/>
              </w:rPr>
            </w:pPr>
            <w:r>
              <w:rPr>
                <w:noProof/>
              </w:rPr>
              <w:t>C1.4. R5-I3</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058FFC24" w14:textId="77777777" w:rsidR="00553430" w:rsidRDefault="00212577">
            <w:pPr>
              <w:pStyle w:val="P68B1DB1-Normal66"/>
              <w:spacing w:after="200" w:line="276" w:lineRule="auto"/>
              <w:jc w:val="center"/>
              <w:rPr>
                <w:noProof/>
              </w:rPr>
            </w:pPr>
            <w:r>
              <w:rPr>
                <w:noProof/>
              </w:rPr>
              <w:t>M</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7FC8AA3F" w14:textId="77777777" w:rsidR="00553430" w:rsidRDefault="00212577">
            <w:pPr>
              <w:pStyle w:val="P68B1DB1-Normal66"/>
              <w:spacing w:after="200" w:line="276" w:lineRule="auto"/>
              <w:rPr>
                <w:noProof/>
              </w:rPr>
            </w:pPr>
            <w:r>
              <w:rPr>
                <w:noProof/>
              </w:rPr>
              <w:t>2 000 véhicules routiers à propulsion alternative (électrique et/ou à hydrogène)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5038236E" w14:textId="0B6B6D8A" w:rsidR="00553430" w:rsidRDefault="00212577">
            <w:pPr>
              <w:pStyle w:val="P68B1DB1-Normal66"/>
              <w:spacing w:after="200" w:line="276" w:lineRule="auto"/>
              <w:rPr>
                <w:noProof/>
              </w:rPr>
            </w:pPr>
            <w:r>
              <w:rPr>
                <w:noProof/>
              </w:rPr>
              <w:t xml:space="preserve">2 000 véhicules </w:t>
            </w:r>
            <w:r>
              <w:rPr>
                <w:noProof/>
              </w:rPr>
              <w:t>routiers à propulsion alternative achetés</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14B40636" w14:textId="77777777" w:rsidR="00553430" w:rsidRDefault="00553430">
            <w:pPr>
              <w:spacing w:after="200" w:line="276" w:lineRule="auto"/>
              <w:jc w:val="center"/>
              <w:rPr>
                <w:rFonts w:ascii="Times New Roman" w:eastAsia="Calibri" w:hAnsi="Times New Roman" w:cs="Times New Roman"/>
                <w:noProof/>
                <w:sz w:val="20"/>
                <w:szCs w:val="20"/>
              </w:rPr>
            </w:pP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595EF186" w14:textId="77777777" w:rsidR="00553430" w:rsidRDefault="00553430">
            <w:pPr>
              <w:spacing w:after="200" w:line="276" w:lineRule="auto"/>
              <w:jc w:val="center"/>
              <w:rPr>
                <w:rFonts w:ascii="Times New Roman" w:eastAsia="Calibri" w:hAnsi="Times New Roman" w:cs="Times New Roman"/>
                <w:noProof/>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2A648C74" w14:textId="77777777" w:rsidR="00553430" w:rsidRDefault="00553430">
            <w:pPr>
              <w:spacing w:after="200" w:line="276" w:lineRule="auto"/>
              <w:jc w:val="center"/>
              <w:rPr>
                <w:rFonts w:ascii="Times New Roman" w:eastAsia="Calibri" w:hAnsi="Times New Roman" w:cs="Times New Roman"/>
                <w:noProof/>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E6D11C2" w14:textId="77777777" w:rsidR="00553430" w:rsidRDefault="00212577">
            <w:pPr>
              <w:pStyle w:val="P68B1DB1-Normal66"/>
              <w:spacing w:after="200" w:line="276"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94F3496" w14:textId="77777777" w:rsidR="00553430" w:rsidRDefault="00212577">
            <w:pPr>
              <w:pStyle w:val="P68B1DB1-Normal66"/>
              <w:spacing w:after="200" w:line="276" w:lineRule="auto"/>
              <w:jc w:val="center"/>
              <w:rPr>
                <w:noProof/>
              </w:rPr>
            </w:pPr>
            <w:r>
              <w:rPr>
                <w:noProof/>
              </w:rPr>
              <w:t>2026</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1EA15B1A" w14:textId="0411A922" w:rsidR="00553430" w:rsidRDefault="00212577">
            <w:pPr>
              <w:pStyle w:val="P68B1DB1-Normal66"/>
              <w:spacing w:after="200" w:line="276" w:lineRule="auto"/>
              <w:rPr>
                <w:noProof/>
              </w:rPr>
            </w:pPr>
            <w:r>
              <w:rPr>
                <w:noProof/>
              </w:rPr>
              <w:t>La preuve d’achat de 2 000 véhicules routiers neufs à propulsion alternative (électrique et/ou à hydrogène) doit être fournie.</w:t>
            </w:r>
          </w:p>
        </w:tc>
      </w:tr>
    </w:tbl>
    <w:p w14:paraId="790B75E0" w14:textId="77777777" w:rsidR="00553430" w:rsidRDefault="00553430">
      <w:pPr>
        <w:spacing w:line="240" w:lineRule="auto"/>
        <w:ind w:left="709"/>
        <w:jc w:val="both"/>
        <w:rPr>
          <w:rFonts w:eastAsia="Calibri"/>
          <w:noProof/>
          <w:szCs w:val="24"/>
        </w:rPr>
      </w:pPr>
    </w:p>
    <w:p w14:paraId="47B61B58" w14:textId="77777777" w:rsidR="00553430" w:rsidRDefault="00553430">
      <w:pPr>
        <w:rPr>
          <w:noProof/>
        </w:rPr>
      </w:pPr>
    </w:p>
    <w:p w14:paraId="3043DA4F" w14:textId="77777777" w:rsidR="00553430" w:rsidRDefault="00553430">
      <w:pPr>
        <w:rPr>
          <w:noProof/>
        </w:rPr>
        <w:sectPr w:rsidR="00553430" w:rsidSect="00FA29B2">
          <w:headerReference w:type="even" r:id="rId81"/>
          <w:headerReference w:type="default" r:id="rId82"/>
          <w:footerReference w:type="even" r:id="rId83"/>
          <w:footerReference w:type="default" r:id="rId84"/>
          <w:headerReference w:type="first" r:id="rId85"/>
          <w:footerReference w:type="first" r:id="rId86"/>
          <w:pgSz w:w="16839" w:h="11907" w:orient="landscape"/>
          <w:pgMar w:top="1134" w:right="1134" w:bottom="1134" w:left="1134" w:header="567" w:footer="567" w:gutter="0"/>
          <w:cols w:space="708"/>
          <w:docGrid w:linePitch="360"/>
        </w:sectPr>
      </w:pPr>
    </w:p>
    <w:p w14:paraId="361ACC49" w14:textId="493D217B" w:rsidR="00553430" w:rsidRDefault="00212577">
      <w:pPr>
        <w:pStyle w:val="paragraph"/>
        <w:spacing w:before="0" w:beforeAutospacing="0" w:after="0" w:afterAutospacing="0"/>
        <w:ind w:left="840"/>
        <w:jc w:val="both"/>
        <w:textAlignment w:val="baseline"/>
        <w:rPr>
          <w:noProof/>
          <w:szCs w:val="24"/>
          <w:u w:val="single"/>
        </w:rPr>
      </w:pPr>
      <w:r>
        <w:rPr>
          <w:rStyle w:val="normaltextrun"/>
          <w:b/>
          <w:noProof/>
          <w:szCs w:val="24"/>
          <w:u w:val="single"/>
        </w:rPr>
        <w:t xml:space="preserve">D.3. </w:t>
      </w:r>
      <w:r>
        <w:rPr>
          <w:rStyle w:val="tabchar"/>
          <w:noProof/>
          <w:szCs w:val="24"/>
          <w:u w:val="single"/>
        </w:rPr>
        <w:t xml:space="preserve"> </w:t>
      </w:r>
      <w:r>
        <w:rPr>
          <w:rStyle w:val="normaltextrun"/>
          <w:b/>
          <w:noProof/>
          <w:szCs w:val="24"/>
          <w:u w:val="single"/>
        </w:rPr>
        <w:t xml:space="preserve">Description des réformes et des investissements pour le prêt </w:t>
      </w:r>
    </w:p>
    <w:p w14:paraId="3D1BE037" w14:textId="77777777" w:rsidR="00553430" w:rsidRDefault="00553430">
      <w:pPr>
        <w:pStyle w:val="paragraph"/>
        <w:spacing w:before="0" w:beforeAutospacing="0" w:after="0" w:afterAutospacing="0"/>
        <w:ind w:left="840"/>
        <w:jc w:val="both"/>
        <w:textAlignment w:val="baseline"/>
        <w:rPr>
          <w:rStyle w:val="normaltextrun"/>
          <w:noProof/>
          <w:szCs w:val="24"/>
        </w:rPr>
      </w:pPr>
    </w:p>
    <w:p w14:paraId="717573B2" w14:textId="77777777" w:rsidR="00553430" w:rsidRDefault="00212577">
      <w:pPr>
        <w:pStyle w:val="P68B1DB1-Normal96"/>
        <w:keepNext/>
        <w:tabs>
          <w:tab w:val="num" w:pos="850"/>
        </w:tabs>
        <w:spacing w:after="200" w:line="240" w:lineRule="auto"/>
        <w:ind w:left="851"/>
        <w:jc w:val="both"/>
        <w:outlineLvl w:val="2"/>
        <w:rPr>
          <w:rFonts w:eastAsia="Calibri"/>
          <w:noProof/>
        </w:rPr>
      </w:pPr>
      <w:r>
        <w:rPr>
          <w:noProof/>
        </w:rPr>
        <w:t>Investissement C1.4 R1-I1 – Système de télépéage</w:t>
      </w:r>
    </w:p>
    <w:p w14:paraId="41E46C13" w14:textId="77777777" w:rsidR="00553430" w:rsidRDefault="00212577">
      <w:pPr>
        <w:pStyle w:val="P68B1DB1-Normal83"/>
        <w:spacing w:line="240" w:lineRule="auto"/>
        <w:jc w:val="both"/>
        <w:rPr>
          <w:noProof/>
        </w:rPr>
      </w:pPr>
      <w:r>
        <w:rPr>
          <w:noProof/>
        </w:rPr>
        <w:t>L’objectif de l’investissement est de réduire la congestion routière et d’accroître la protection de l’environnement et la sécurité routière.</w:t>
      </w:r>
    </w:p>
    <w:p w14:paraId="7312EAD8" w14:textId="77777777" w:rsidR="00553430" w:rsidRDefault="00212577">
      <w:pPr>
        <w:pStyle w:val="P68B1DB1-Normal83"/>
        <w:spacing w:line="240" w:lineRule="auto"/>
        <w:jc w:val="both"/>
        <w:rPr>
          <w:noProof/>
        </w:rPr>
      </w:pPr>
      <w:r>
        <w:rPr>
          <w:noProof/>
        </w:rPr>
        <w:t>L'</w:t>
      </w:r>
      <w:r>
        <w:rPr>
          <w:noProof/>
        </w:rPr>
        <w:t>investissement consiste en la livraison d'un nouveau système de télépéage.</w:t>
      </w:r>
    </w:p>
    <w:p w14:paraId="37C8476C" w14:textId="77777777" w:rsidR="00553430" w:rsidRDefault="00553430">
      <w:pPr>
        <w:spacing w:line="240" w:lineRule="auto"/>
        <w:jc w:val="both"/>
        <w:rPr>
          <w:rFonts w:ascii="Times New Roman" w:eastAsia="Times New Roman" w:hAnsi="Times New Roman" w:cs="Times New Roman"/>
          <w:noProof/>
          <w:sz w:val="24"/>
          <w:szCs w:val="24"/>
        </w:rPr>
        <w:sectPr w:rsidR="00553430" w:rsidSect="00FA29B2">
          <w:headerReference w:type="even" r:id="rId87"/>
          <w:headerReference w:type="default" r:id="rId88"/>
          <w:footerReference w:type="even" r:id="rId89"/>
          <w:footerReference w:type="default" r:id="rId90"/>
          <w:headerReference w:type="first" r:id="rId91"/>
          <w:footerReference w:type="first" r:id="rId92"/>
          <w:pgSz w:w="11906" w:h="16838"/>
          <w:pgMar w:top="1134" w:right="1134" w:bottom="1134" w:left="1134" w:header="567" w:footer="567" w:gutter="0"/>
          <w:cols w:space="708"/>
          <w:docGrid w:linePitch="360"/>
        </w:sectPr>
      </w:pPr>
    </w:p>
    <w:p w14:paraId="1968C3E4" w14:textId="5EA63387" w:rsidR="00553430" w:rsidRDefault="00212577">
      <w:pPr>
        <w:pStyle w:val="paragraph"/>
        <w:spacing w:before="0" w:beforeAutospacing="0" w:after="0" w:afterAutospacing="0"/>
        <w:ind w:left="840"/>
        <w:jc w:val="both"/>
        <w:textAlignment w:val="baseline"/>
        <w:rPr>
          <w:rFonts w:ascii="Segoe UI" w:hAnsi="Segoe UI" w:cs="Segoe UI"/>
          <w:noProof/>
          <w:sz w:val="18"/>
          <w:szCs w:val="18"/>
          <w:u w:val="single"/>
        </w:rPr>
      </w:pPr>
      <w:r>
        <w:rPr>
          <w:rStyle w:val="normaltextrun"/>
          <w:b/>
          <w:noProof/>
          <w:u w:val="single"/>
        </w:rPr>
        <w:t xml:space="preserve">D.4. Étapes, objectifs, indicateurs et calendrier du suivi et de la mise en œuvre du prêt </w:t>
      </w:r>
    </w:p>
    <w:p w14:paraId="632FCA82" w14:textId="77777777" w:rsidR="00553430" w:rsidRDefault="00553430">
      <w:pPr>
        <w:pStyle w:val="paragraph"/>
        <w:spacing w:before="0" w:beforeAutospacing="0" w:after="0" w:afterAutospacing="0"/>
        <w:ind w:left="840"/>
        <w:jc w:val="both"/>
        <w:textAlignment w:val="baseline"/>
        <w:rPr>
          <w:rStyle w:val="normaltextrun"/>
          <w:i/>
          <w:iCs/>
          <w:noProof/>
          <w:color w:val="4F81BD"/>
        </w:rPr>
      </w:pPr>
    </w:p>
    <w:tbl>
      <w:tblPr>
        <w:tblW w:w="15525" w:type="dxa"/>
        <w:jc w:val="center"/>
        <w:tblCellMar>
          <w:top w:w="28" w:type="dxa"/>
          <w:left w:w="28" w:type="dxa"/>
          <w:bottom w:w="28" w:type="dxa"/>
          <w:right w:w="28" w:type="dxa"/>
        </w:tblCellMar>
        <w:tblLook w:val="04A0" w:firstRow="1" w:lastRow="0" w:firstColumn="1" w:lastColumn="0" w:noHBand="0" w:noVBand="1"/>
      </w:tblPr>
      <w:tblGrid>
        <w:gridCol w:w="1241"/>
        <w:gridCol w:w="850"/>
        <w:gridCol w:w="1024"/>
        <w:gridCol w:w="2125"/>
        <w:gridCol w:w="1717"/>
        <w:gridCol w:w="1168"/>
        <w:gridCol w:w="852"/>
        <w:gridCol w:w="1059"/>
        <w:gridCol w:w="893"/>
        <w:gridCol w:w="709"/>
        <w:gridCol w:w="4381"/>
      </w:tblGrid>
      <w:tr w:rsidR="00553430" w14:paraId="36E5364E" w14:textId="77777777">
        <w:trPr>
          <w:tblHeader/>
          <w:jc w:val="center"/>
        </w:trPr>
        <w:tc>
          <w:tcPr>
            <w:tcW w:w="12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B78BE69" w14:textId="77777777" w:rsidR="00553430" w:rsidRDefault="00212577">
            <w:pPr>
              <w:pStyle w:val="P68B1DB1-Normal58"/>
              <w:spacing w:after="0" w:line="276" w:lineRule="auto"/>
              <w:jc w:val="center"/>
              <w:rPr>
                <w:bCs/>
                <w:noProof/>
              </w:rPr>
            </w:pPr>
            <w:bookmarkStart w:id="6" w:name="_Hlk198760047"/>
            <w:r>
              <w:rPr>
                <w:noProof/>
              </w:rPr>
              <w:t>Numéro</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22D8C2D" w14:textId="77777777" w:rsidR="00553430" w:rsidRDefault="00212577">
            <w:pPr>
              <w:pStyle w:val="P68B1DB1-Normal58"/>
              <w:spacing w:after="0" w:line="276" w:lineRule="auto"/>
              <w:jc w:val="center"/>
              <w:rPr>
                <w:bCs/>
                <w:noProof/>
              </w:rPr>
            </w:pPr>
            <w:r>
              <w:rPr>
                <w:noProof/>
              </w:rPr>
              <w:t>Mesure</w:t>
            </w:r>
          </w:p>
        </w:tc>
        <w:tc>
          <w:tcPr>
            <w:tcW w:w="10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675F82" w14:textId="77777777" w:rsidR="00553430" w:rsidRDefault="00212577">
            <w:pPr>
              <w:pStyle w:val="P68B1DB1-Normal58"/>
              <w:spacing w:after="0" w:line="276" w:lineRule="auto"/>
              <w:jc w:val="center"/>
              <w:rPr>
                <w:bCs/>
                <w:noProof/>
              </w:rPr>
            </w:pPr>
            <w:r>
              <w:rPr>
                <w:noProof/>
              </w:rPr>
              <w:t>Étape/cible</w:t>
            </w:r>
          </w:p>
        </w:tc>
        <w:tc>
          <w:tcPr>
            <w:tcW w:w="21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0C7CACE" w14:textId="77777777" w:rsidR="00553430" w:rsidRDefault="00212577">
            <w:pPr>
              <w:pStyle w:val="P68B1DB1-Normal58"/>
              <w:spacing w:after="0" w:line="276" w:lineRule="auto"/>
              <w:jc w:val="center"/>
              <w:rPr>
                <w:bCs/>
                <w:noProof/>
              </w:rPr>
            </w:pPr>
            <w:r>
              <w:rPr>
                <w:noProof/>
              </w:rPr>
              <w:t>Nom</w:t>
            </w:r>
          </w:p>
        </w:tc>
        <w:tc>
          <w:tcPr>
            <w:tcW w:w="17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BC0CBD"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qualitatifs</w:t>
            </w:r>
            <w:r>
              <w:rPr>
                <w:rFonts w:ascii="Times New Roman" w:eastAsia="Calibri" w:hAnsi="Times New Roman" w:cs="Times New Roman"/>
                <w:noProof/>
              </w:rPr>
              <w:br/>
            </w:r>
            <w:r>
              <w:rPr>
                <w:rFonts w:ascii="Times New Roman" w:eastAsia="Times New Roman" w:hAnsi="Times New Roman" w:cs="Times New Roman"/>
                <w:b/>
                <w:noProof/>
              </w:rPr>
              <w:t>(pour les jalons)</w:t>
            </w:r>
          </w:p>
        </w:tc>
        <w:tc>
          <w:tcPr>
            <w:tcW w:w="305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8418894"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eastAsia="Calibri" w:hAnsi="Times New Roman" w:cs="Times New Roman"/>
                <w:noProof/>
              </w:rPr>
              <w:br/>
            </w:r>
            <w:r>
              <w:rPr>
                <w:rFonts w:ascii="Times New Roman" w:eastAsia="Times New Roman" w:hAnsi="Times New Roman" w:cs="Times New Roman"/>
                <w:b/>
                <w:noProof/>
              </w:rPr>
              <w:t>(pour les objectifs)</w:t>
            </w:r>
          </w:p>
        </w:tc>
        <w:tc>
          <w:tcPr>
            <w:tcW w:w="1134" w:type="dxa"/>
            <w:gridSpan w:val="2"/>
            <w:tcBorders>
              <w:top w:val="single" w:sz="4" w:space="0" w:color="auto"/>
              <w:left w:val="nil"/>
              <w:bottom w:val="single" w:sz="4" w:space="0" w:color="auto"/>
              <w:right w:val="single" w:sz="4" w:space="0" w:color="auto"/>
            </w:tcBorders>
            <w:shd w:val="clear" w:color="auto" w:fill="BDD7EE"/>
            <w:vAlign w:val="center"/>
            <w:hideMark/>
          </w:tcPr>
          <w:p w14:paraId="5521480B" w14:textId="77777777" w:rsidR="00553430" w:rsidRDefault="00212577">
            <w:pPr>
              <w:pStyle w:val="P68B1DB1-Normal58"/>
              <w:spacing w:after="0" w:line="276" w:lineRule="auto"/>
              <w:jc w:val="center"/>
              <w:rPr>
                <w:bCs/>
                <w:noProof/>
              </w:rPr>
            </w:pPr>
            <w:r>
              <w:rPr>
                <w:noProof/>
              </w:rPr>
              <w:t>Temps</w:t>
            </w:r>
          </w:p>
        </w:tc>
        <w:tc>
          <w:tcPr>
            <w:tcW w:w="438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8D5A343" w14:textId="77777777" w:rsidR="00553430" w:rsidRDefault="00212577">
            <w:pPr>
              <w:pStyle w:val="P68B1DB1-Normal58"/>
              <w:spacing w:after="0" w:line="276" w:lineRule="auto"/>
              <w:jc w:val="center"/>
              <w:rPr>
                <w:bCs/>
                <w:noProof/>
              </w:rPr>
            </w:pPr>
            <w:r>
              <w:rPr>
                <w:noProof/>
              </w:rPr>
              <w:t>Description de chaque jalon et cible</w:t>
            </w:r>
          </w:p>
        </w:tc>
      </w:tr>
      <w:tr w:rsidR="00553430" w14:paraId="45C154B0" w14:textId="77777777">
        <w:trPr>
          <w:tblHeader/>
          <w:jc w:val="center"/>
        </w:trPr>
        <w:tc>
          <w:tcPr>
            <w:tcW w:w="0" w:type="auto"/>
            <w:vMerge/>
            <w:tcBorders>
              <w:left w:val="single" w:sz="4" w:space="0" w:color="auto"/>
              <w:right w:val="single" w:sz="4" w:space="0" w:color="auto"/>
            </w:tcBorders>
            <w:hideMark/>
          </w:tcPr>
          <w:p w14:paraId="126116A5"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0" w:type="auto"/>
            <w:vMerge/>
            <w:tcBorders>
              <w:left w:val="single" w:sz="4" w:space="0" w:color="auto"/>
              <w:right w:val="single" w:sz="4" w:space="0" w:color="auto"/>
            </w:tcBorders>
            <w:hideMark/>
          </w:tcPr>
          <w:p w14:paraId="31AE7648"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24" w:type="dxa"/>
            <w:vMerge/>
            <w:tcBorders>
              <w:left w:val="single" w:sz="4" w:space="0" w:color="auto"/>
              <w:right w:val="single" w:sz="4" w:space="0" w:color="auto"/>
            </w:tcBorders>
            <w:hideMark/>
          </w:tcPr>
          <w:p w14:paraId="0CFC86CB"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2125" w:type="dxa"/>
            <w:vMerge/>
            <w:tcBorders>
              <w:left w:val="single" w:sz="4" w:space="0" w:color="auto"/>
              <w:right w:val="single" w:sz="4" w:space="0" w:color="auto"/>
            </w:tcBorders>
            <w:hideMark/>
          </w:tcPr>
          <w:p w14:paraId="4ECBDD08" w14:textId="77777777" w:rsidR="00553430" w:rsidRDefault="00553430">
            <w:pPr>
              <w:spacing w:after="0" w:line="276" w:lineRule="auto"/>
              <w:rPr>
                <w:rFonts w:ascii="Times New Roman" w:eastAsia="Times New Roman" w:hAnsi="Times New Roman" w:cs="Times New Roman"/>
                <w:b/>
                <w:noProof/>
                <w:sz w:val="20"/>
                <w:szCs w:val="20"/>
              </w:rPr>
            </w:pPr>
          </w:p>
        </w:tc>
        <w:tc>
          <w:tcPr>
            <w:tcW w:w="0" w:type="auto"/>
            <w:vMerge/>
            <w:tcBorders>
              <w:left w:val="single" w:sz="4" w:space="0" w:color="auto"/>
            </w:tcBorders>
            <w:hideMark/>
          </w:tcPr>
          <w:p w14:paraId="7DEB5A16" w14:textId="77777777" w:rsidR="00553430" w:rsidRDefault="00553430">
            <w:pPr>
              <w:spacing w:after="0" w:line="276" w:lineRule="auto"/>
              <w:rPr>
                <w:rFonts w:ascii="Times New Roman" w:eastAsia="Times New Roman" w:hAnsi="Times New Roman" w:cs="Times New Roman"/>
                <w:b/>
                <w:noProof/>
                <w:sz w:val="20"/>
                <w:szCs w:val="20"/>
              </w:rPr>
            </w:pPr>
          </w:p>
        </w:tc>
        <w:tc>
          <w:tcPr>
            <w:tcW w:w="1168" w:type="dxa"/>
            <w:tcBorders>
              <w:top w:val="nil"/>
              <w:left w:val="single" w:sz="4" w:space="0" w:color="auto"/>
              <w:bottom w:val="single" w:sz="4" w:space="0" w:color="auto"/>
              <w:right w:val="single" w:sz="4" w:space="0" w:color="auto"/>
            </w:tcBorders>
            <w:shd w:val="clear" w:color="auto" w:fill="BDD7EE"/>
            <w:hideMark/>
          </w:tcPr>
          <w:p w14:paraId="48EC0A8F" w14:textId="77777777" w:rsidR="00553430" w:rsidRDefault="00212577">
            <w:pPr>
              <w:pStyle w:val="P68B1DB1-Normal58"/>
              <w:spacing w:after="0" w:line="276" w:lineRule="auto"/>
              <w:jc w:val="center"/>
              <w:rPr>
                <w:bCs/>
                <w:noProof/>
              </w:rPr>
            </w:pPr>
            <w:r>
              <w:rPr>
                <w:noProof/>
              </w:rPr>
              <w:t>Unité</w:t>
            </w:r>
          </w:p>
        </w:tc>
        <w:tc>
          <w:tcPr>
            <w:tcW w:w="826" w:type="dxa"/>
            <w:tcBorders>
              <w:top w:val="nil"/>
              <w:left w:val="nil"/>
              <w:bottom w:val="single" w:sz="4" w:space="0" w:color="auto"/>
              <w:right w:val="single" w:sz="4" w:space="0" w:color="auto"/>
            </w:tcBorders>
            <w:shd w:val="clear" w:color="auto" w:fill="BDD7EE"/>
            <w:hideMark/>
          </w:tcPr>
          <w:p w14:paraId="225DE080" w14:textId="77777777" w:rsidR="00553430" w:rsidRDefault="00212577">
            <w:pPr>
              <w:pStyle w:val="P68B1DB1-Normal58"/>
              <w:spacing w:after="0" w:line="276" w:lineRule="auto"/>
              <w:jc w:val="center"/>
              <w:rPr>
                <w:bCs/>
                <w:noProof/>
              </w:rPr>
            </w:pPr>
            <w:r>
              <w:rPr>
                <w:noProof/>
              </w:rPr>
              <w:t>Données de référence</w:t>
            </w:r>
          </w:p>
        </w:tc>
        <w:tc>
          <w:tcPr>
            <w:tcW w:w="1059" w:type="dxa"/>
            <w:tcBorders>
              <w:top w:val="nil"/>
              <w:left w:val="nil"/>
              <w:bottom w:val="single" w:sz="4" w:space="0" w:color="auto"/>
              <w:right w:val="single" w:sz="4" w:space="0" w:color="auto"/>
            </w:tcBorders>
            <w:shd w:val="clear" w:color="auto" w:fill="BDD7EE"/>
            <w:hideMark/>
          </w:tcPr>
          <w:p w14:paraId="067A4C18" w14:textId="77777777" w:rsidR="00553430" w:rsidRDefault="00212577">
            <w:pPr>
              <w:pStyle w:val="P68B1DB1-Normal58"/>
              <w:spacing w:after="0" w:line="276" w:lineRule="auto"/>
              <w:jc w:val="center"/>
              <w:rPr>
                <w:bCs/>
                <w:noProof/>
              </w:rPr>
            </w:pPr>
            <w:r>
              <w:rPr>
                <w:noProof/>
              </w:rPr>
              <w:t>Objectif</w:t>
            </w:r>
          </w:p>
        </w:tc>
        <w:tc>
          <w:tcPr>
            <w:tcW w:w="425" w:type="dxa"/>
            <w:tcBorders>
              <w:top w:val="nil"/>
              <w:left w:val="nil"/>
              <w:bottom w:val="single" w:sz="4" w:space="0" w:color="auto"/>
              <w:right w:val="single" w:sz="4" w:space="0" w:color="auto"/>
            </w:tcBorders>
            <w:shd w:val="clear" w:color="auto" w:fill="BDD7EE"/>
            <w:hideMark/>
          </w:tcPr>
          <w:p w14:paraId="1CC5F409" w14:textId="77777777" w:rsidR="00553430" w:rsidRDefault="00212577">
            <w:pPr>
              <w:pStyle w:val="P68B1DB1-Normal58"/>
              <w:spacing w:after="0" w:line="276" w:lineRule="auto"/>
              <w:jc w:val="center"/>
              <w:rPr>
                <w:bCs/>
                <w:noProof/>
              </w:rPr>
            </w:pPr>
            <w:r>
              <w:rPr>
                <w:noProof/>
              </w:rPr>
              <w:t>Trimestre</w:t>
            </w:r>
          </w:p>
        </w:tc>
        <w:tc>
          <w:tcPr>
            <w:tcW w:w="709" w:type="dxa"/>
            <w:tcBorders>
              <w:top w:val="nil"/>
              <w:left w:val="nil"/>
              <w:bottom w:val="single" w:sz="4" w:space="0" w:color="auto"/>
              <w:right w:val="single" w:sz="4" w:space="0" w:color="auto"/>
            </w:tcBorders>
            <w:shd w:val="clear" w:color="auto" w:fill="BDD7EE"/>
            <w:hideMark/>
          </w:tcPr>
          <w:p w14:paraId="712FC366" w14:textId="77777777" w:rsidR="00553430" w:rsidRDefault="00212577">
            <w:pPr>
              <w:pStyle w:val="P68B1DB1-Normal58"/>
              <w:spacing w:after="0" w:line="276" w:lineRule="auto"/>
              <w:jc w:val="center"/>
              <w:rPr>
                <w:bCs/>
                <w:noProof/>
              </w:rPr>
            </w:pPr>
            <w:r>
              <w:rPr>
                <w:noProof/>
              </w:rPr>
              <w:t>Année</w:t>
            </w:r>
          </w:p>
        </w:tc>
        <w:tc>
          <w:tcPr>
            <w:tcW w:w="4381" w:type="dxa"/>
            <w:vMerge/>
            <w:tcBorders>
              <w:right w:val="single" w:sz="4" w:space="0" w:color="auto"/>
            </w:tcBorders>
            <w:hideMark/>
          </w:tcPr>
          <w:p w14:paraId="506820DB"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4F4CD78F" w14:textId="77777777">
        <w:trPr>
          <w:jc w:val="center"/>
        </w:trPr>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24DAC9B1" w14:textId="77777777" w:rsidR="00553430" w:rsidRDefault="00212577">
            <w:pPr>
              <w:pStyle w:val="P68B1DB1-Normal66"/>
              <w:spacing w:after="200" w:line="276" w:lineRule="auto"/>
              <w:jc w:val="center"/>
              <w:rPr>
                <w:noProof/>
              </w:rPr>
            </w:pPr>
            <w:r>
              <w:rPr>
                <w:noProof/>
              </w:rPr>
              <w:t>93</w:t>
            </w:r>
          </w:p>
        </w:tc>
        <w:tc>
          <w:tcPr>
            <w:tcW w:w="850" w:type="dxa"/>
            <w:tcBorders>
              <w:top w:val="single" w:sz="4" w:space="0" w:color="auto"/>
              <w:left w:val="nil"/>
              <w:bottom w:val="single" w:sz="4" w:space="0" w:color="auto"/>
              <w:right w:val="single" w:sz="4" w:space="0" w:color="auto"/>
            </w:tcBorders>
            <w:shd w:val="clear" w:color="auto" w:fill="C6EFCE"/>
            <w:noWrap/>
          </w:tcPr>
          <w:p w14:paraId="78785866" w14:textId="77777777" w:rsidR="00553430" w:rsidRDefault="00212577">
            <w:pPr>
              <w:pStyle w:val="P68B1DB1-Normal66"/>
              <w:spacing w:after="200" w:line="276" w:lineRule="auto"/>
              <w:jc w:val="center"/>
              <w:rPr>
                <w:noProof/>
              </w:rPr>
            </w:pPr>
            <w:r>
              <w:rPr>
                <w:noProof/>
              </w:rPr>
              <w:t>C1.4. R1-I1</w:t>
            </w:r>
          </w:p>
        </w:tc>
        <w:tc>
          <w:tcPr>
            <w:tcW w:w="1024" w:type="dxa"/>
            <w:tcBorders>
              <w:top w:val="single" w:sz="4" w:space="0" w:color="auto"/>
              <w:left w:val="nil"/>
              <w:bottom w:val="single" w:sz="4" w:space="0" w:color="auto"/>
              <w:right w:val="single" w:sz="4" w:space="0" w:color="auto"/>
            </w:tcBorders>
            <w:shd w:val="clear" w:color="auto" w:fill="C6EFCE"/>
            <w:noWrap/>
          </w:tcPr>
          <w:p w14:paraId="3BE43DBC" w14:textId="77777777" w:rsidR="00553430" w:rsidRDefault="00212577">
            <w:pPr>
              <w:pStyle w:val="P68B1DB1-Normal66"/>
              <w:spacing w:after="200" w:line="276" w:lineRule="auto"/>
              <w:jc w:val="center"/>
              <w:rPr>
                <w:noProof/>
              </w:rPr>
            </w:pPr>
            <w:r>
              <w:rPr>
                <w:noProof/>
              </w:rPr>
              <w:t>M</w:t>
            </w:r>
          </w:p>
        </w:tc>
        <w:tc>
          <w:tcPr>
            <w:tcW w:w="2125" w:type="dxa"/>
            <w:tcBorders>
              <w:top w:val="single" w:sz="4" w:space="0" w:color="auto"/>
              <w:left w:val="nil"/>
              <w:bottom w:val="single" w:sz="4" w:space="0" w:color="auto"/>
              <w:right w:val="single" w:sz="4" w:space="0" w:color="auto"/>
            </w:tcBorders>
            <w:shd w:val="clear" w:color="auto" w:fill="C6EFCE"/>
            <w:noWrap/>
          </w:tcPr>
          <w:p w14:paraId="3E2138BA" w14:textId="77777777" w:rsidR="00553430" w:rsidRDefault="00212577">
            <w:pPr>
              <w:pStyle w:val="P68B1DB1-Normal66"/>
              <w:spacing w:after="200" w:line="276" w:lineRule="auto"/>
              <w:rPr>
                <w:noProof/>
              </w:rPr>
            </w:pPr>
            <w:r>
              <w:rPr>
                <w:noProof/>
              </w:rPr>
              <w:t>Nouveau système de télépéage</w:t>
            </w:r>
          </w:p>
        </w:tc>
        <w:tc>
          <w:tcPr>
            <w:tcW w:w="1717" w:type="dxa"/>
            <w:tcBorders>
              <w:top w:val="single" w:sz="4" w:space="0" w:color="auto"/>
              <w:left w:val="nil"/>
              <w:bottom w:val="single" w:sz="4" w:space="0" w:color="auto"/>
              <w:right w:val="single" w:sz="4" w:space="0" w:color="auto"/>
            </w:tcBorders>
            <w:shd w:val="clear" w:color="auto" w:fill="C6EFCE"/>
            <w:noWrap/>
          </w:tcPr>
          <w:p w14:paraId="1B8A12D6" w14:textId="77777777" w:rsidR="00553430" w:rsidRDefault="00212577">
            <w:pPr>
              <w:pStyle w:val="P68B1DB1-Normal66"/>
              <w:spacing w:after="200" w:line="276" w:lineRule="auto"/>
              <w:rPr>
                <w:noProof/>
              </w:rPr>
            </w:pPr>
            <w:r>
              <w:rPr>
                <w:noProof/>
              </w:rPr>
              <w:t xml:space="preserve">Nouveau système de télépéage mis en place </w:t>
            </w:r>
          </w:p>
        </w:tc>
        <w:tc>
          <w:tcPr>
            <w:tcW w:w="1168" w:type="dxa"/>
            <w:tcBorders>
              <w:top w:val="single" w:sz="4" w:space="0" w:color="auto"/>
              <w:left w:val="nil"/>
              <w:bottom w:val="single" w:sz="4" w:space="0" w:color="auto"/>
              <w:right w:val="single" w:sz="4" w:space="0" w:color="auto"/>
            </w:tcBorders>
            <w:shd w:val="clear" w:color="auto" w:fill="C6EFCE"/>
            <w:noWrap/>
          </w:tcPr>
          <w:p w14:paraId="1B01585D" w14:textId="77777777" w:rsidR="00553430" w:rsidRDefault="00553430">
            <w:pPr>
              <w:spacing w:after="200" w:line="276" w:lineRule="auto"/>
              <w:jc w:val="center"/>
              <w:rPr>
                <w:rFonts w:ascii="Times New Roman" w:eastAsia="Calibri" w:hAnsi="Times New Roman" w:cs="Times New Roman"/>
                <w:noProof/>
                <w:sz w:val="20"/>
                <w:szCs w:val="20"/>
              </w:rPr>
            </w:pPr>
          </w:p>
        </w:tc>
        <w:tc>
          <w:tcPr>
            <w:tcW w:w="826" w:type="dxa"/>
            <w:tcBorders>
              <w:top w:val="single" w:sz="4" w:space="0" w:color="auto"/>
              <w:left w:val="nil"/>
              <w:bottom w:val="single" w:sz="4" w:space="0" w:color="auto"/>
              <w:right w:val="single" w:sz="4" w:space="0" w:color="auto"/>
            </w:tcBorders>
            <w:shd w:val="clear" w:color="auto" w:fill="C6EFCE"/>
            <w:noWrap/>
          </w:tcPr>
          <w:p w14:paraId="1DA7993E" w14:textId="77777777" w:rsidR="00553430" w:rsidRDefault="00553430">
            <w:pPr>
              <w:spacing w:after="200" w:line="276" w:lineRule="auto"/>
              <w:jc w:val="center"/>
              <w:rPr>
                <w:rFonts w:ascii="Times New Roman" w:eastAsia="Calibri" w:hAnsi="Times New Roman" w:cs="Times New Roman"/>
                <w:noProof/>
                <w:sz w:val="20"/>
                <w:szCs w:val="20"/>
              </w:rPr>
            </w:pPr>
          </w:p>
        </w:tc>
        <w:tc>
          <w:tcPr>
            <w:tcW w:w="1059" w:type="dxa"/>
            <w:tcBorders>
              <w:top w:val="single" w:sz="4" w:space="0" w:color="auto"/>
              <w:left w:val="nil"/>
              <w:bottom w:val="single" w:sz="4" w:space="0" w:color="auto"/>
              <w:right w:val="single" w:sz="4" w:space="0" w:color="auto"/>
            </w:tcBorders>
            <w:shd w:val="clear" w:color="auto" w:fill="C6EFCE"/>
            <w:noWrap/>
          </w:tcPr>
          <w:p w14:paraId="41AE8E81" w14:textId="77777777" w:rsidR="00553430" w:rsidRDefault="00553430">
            <w:pPr>
              <w:spacing w:after="200" w:line="276" w:lineRule="auto"/>
              <w:jc w:val="center"/>
              <w:rPr>
                <w:rFonts w:ascii="Times New Roman" w:eastAsia="Calibri" w:hAnsi="Times New Roman" w:cs="Times New Roman"/>
                <w:noProof/>
                <w:sz w:val="20"/>
                <w:szCs w:val="20"/>
              </w:rPr>
            </w:pPr>
          </w:p>
        </w:tc>
        <w:tc>
          <w:tcPr>
            <w:tcW w:w="425" w:type="dxa"/>
            <w:tcBorders>
              <w:top w:val="single" w:sz="4" w:space="0" w:color="auto"/>
              <w:left w:val="nil"/>
              <w:bottom w:val="single" w:sz="4" w:space="0" w:color="auto"/>
              <w:right w:val="single" w:sz="4" w:space="0" w:color="auto"/>
            </w:tcBorders>
            <w:shd w:val="clear" w:color="auto" w:fill="C6EFCE"/>
            <w:noWrap/>
          </w:tcPr>
          <w:p w14:paraId="609DC06E" w14:textId="77777777" w:rsidR="00553430" w:rsidRDefault="00212577">
            <w:pPr>
              <w:pStyle w:val="P68B1DB1-Normal66"/>
              <w:spacing w:after="200" w:line="276" w:lineRule="auto"/>
              <w:jc w:val="center"/>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Pr>
          <w:p w14:paraId="1EEC2670" w14:textId="77777777" w:rsidR="00553430" w:rsidRDefault="00212577">
            <w:pPr>
              <w:pStyle w:val="P68B1DB1-Normal66"/>
              <w:spacing w:after="200" w:line="276" w:lineRule="auto"/>
              <w:jc w:val="center"/>
              <w:rPr>
                <w:noProof/>
              </w:rPr>
            </w:pPr>
            <w:r>
              <w:rPr>
                <w:noProof/>
              </w:rPr>
              <w:t>2026</w:t>
            </w:r>
          </w:p>
        </w:tc>
        <w:tc>
          <w:tcPr>
            <w:tcW w:w="4381" w:type="dxa"/>
            <w:tcBorders>
              <w:top w:val="single" w:sz="4" w:space="0" w:color="auto"/>
              <w:left w:val="nil"/>
              <w:bottom w:val="single" w:sz="4" w:space="0" w:color="auto"/>
              <w:right w:val="single" w:sz="4" w:space="0" w:color="auto"/>
            </w:tcBorders>
            <w:shd w:val="clear" w:color="auto" w:fill="C6EFCE"/>
            <w:noWrap/>
          </w:tcPr>
          <w:p w14:paraId="648B4E6F" w14:textId="77777777" w:rsidR="00553430" w:rsidRDefault="00212577">
            <w:pPr>
              <w:pStyle w:val="P68B1DB1-Normal66"/>
              <w:spacing w:after="200" w:line="276" w:lineRule="auto"/>
              <w:rPr>
                <w:noProof/>
              </w:rPr>
            </w:pPr>
            <w:r>
              <w:rPr>
                <w:noProof/>
              </w:rPr>
              <w:t>Les logiciels (tels que le système informatique central) et le matériel (tels que les nouveaux portails de péage équipés de caméras) d’un nouveau système de péage électronique basé sur une solution de l</w:t>
            </w:r>
            <w:r>
              <w:rPr>
                <w:noProof/>
              </w:rPr>
              <w:t>ibre circulation à plusieurs voies (MLFF) sans arrêt des véhicules utilisant des méthodes de paiement sans contact pour les autoroutes exploitées par Croatia Motorways Ltd, Highway Zagreb-Macelj (AZM) et BINA Istra seront livrés. Le premier essai d'install</w:t>
            </w:r>
            <w:r>
              <w:rPr>
                <w:noProof/>
              </w:rPr>
              <w:t xml:space="preserve">ation sur site d'un nouveau système de télépéage doit être effectué. </w:t>
            </w:r>
          </w:p>
        </w:tc>
      </w:tr>
      <w:bookmarkEnd w:id="6"/>
    </w:tbl>
    <w:p w14:paraId="51F65D9E" w14:textId="77777777" w:rsidR="00553430" w:rsidRDefault="00553430">
      <w:pPr>
        <w:pStyle w:val="paragraph"/>
        <w:spacing w:before="0" w:beforeAutospacing="0" w:after="0" w:afterAutospacing="0"/>
        <w:ind w:left="840"/>
        <w:jc w:val="both"/>
        <w:textAlignment w:val="baseline"/>
        <w:rPr>
          <w:rStyle w:val="normaltextrun"/>
          <w:i/>
          <w:iCs/>
          <w:noProof/>
          <w:color w:val="4F81BD"/>
        </w:rPr>
      </w:pPr>
    </w:p>
    <w:p w14:paraId="737259FA" w14:textId="77777777" w:rsidR="00553430" w:rsidRDefault="00553430">
      <w:pPr>
        <w:pStyle w:val="paragraph"/>
        <w:spacing w:before="0" w:beforeAutospacing="0" w:after="0" w:afterAutospacing="0"/>
        <w:ind w:left="840"/>
        <w:jc w:val="both"/>
        <w:textAlignment w:val="baseline"/>
        <w:rPr>
          <w:rFonts w:ascii="Segoe UI" w:hAnsi="Segoe UI" w:cs="Segoe UI"/>
          <w:noProof/>
          <w:sz w:val="18"/>
          <w:szCs w:val="18"/>
        </w:rPr>
      </w:pPr>
    </w:p>
    <w:p w14:paraId="04F2B506" w14:textId="77777777" w:rsidR="00553430" w:rsidRDefault="00553430">
      <w:pPr>
        <w:spacing w:after="200" w:line="240" w:lineRule="auto"/>
        <w:jc w:val="both"/>
        <w:rPr>
          <w:rFonts w:ascii="Calibri" w:eastAsia="Calibri" w:hAnsi="Calibri" w:cs="Arial"/>
          <w:noProof/>
        </w:rPr>
      </w:pPr>
    </w:p>
    <w:p w14:paraId="6E175B8D" w14:textId="77777777" w:rsidR="00553430" w:rsidRDefault="00553430">
      <w:pPr>
        <w:spacing w:line="240" w:lineRule="auto"/>
        <w:ind w:left="709"/>
        <w:jc w:val="both"/>
        <w:rPr>
          <w:rFonts w:ascii="Times New Roman" w:eastAsia="Calibri" w:hAnsi="Times New Roman" w:cs="Times New Roman"/>
          <w:b/>
          <w:bCs/>
          <w:smallCaps/>
          <w:noProof/>
          <w:szCs w:val="24"/>
        </w:rPr>
        <w:sectPr w:rsidR="00553430" w:rsidSect="00FA29B2">
          <w:headerReference w:type="even" r:id="rId93"/>
          <w:headerReference w:type="default" r:id="rId94"/>
          <w:footerReference w:type="even" r:id="rId95"/>
          <w:footerReference w:type="default" r:id="rId96"/>
          <w:headerReference w:type="first" r:id="rId97"/>
          <w:footerReference w:type="first" r:id="rId98"/>
          <w:pgSz w:w="16838" w:h="11906" w:orient="landscape"/>
          <w:pgMar w:top="1134" w:right="1134" w:bottom="1134" w:left="1134" w:header="567" w:footer="567" w:gutter="0"/>
          <w:cols w:space="708"/>
          <w:docGrid w:linePitch="360"/>
        </w:sectPr>
      </w:pPr>
    </w:p>
    <w:p w14:paraId="11202F28" w14:textId="77777777" w:rsidR="00553430" w:rsidRDefault="00212577">
      <w:pPr>
        <w:pStyle w:val="P68B1DB1-Normal32"/>
        <w:spacing w:line="240" w:lineRule="auto"/>
        <w:ind w:left="709"/>
        <w:jc w:val="both"/>
        <w:rPr>
          <w:bCs/>
          <w:noProof/>
        </w:rPr>
      </w:pPr>
      <w:r>
        <w:rPr>
          <w:noProof/>
        </w:rPr>
        <w:t>E. Élément 1.5: AMÉLIORATION DE L'UTILISATION DES RESSOURCES NATURELLES ET RENFORCEMENT DE LA CHAÎNE D'ALIMENTATION</w:t>
      </w:r>
    </w:p>
    <w:p w14:paraId="1ABDB99F" w14:textId="77777777" w:rsidR="00553430" w:rsidRDefault="00212577">
      <w:pPr>
        <w:pStyle w:val="P68B1DB1-Normal83"/>
        <w:spacing w:line="240" w:lineRule="auto"/>
        <w:jc w:val="both"/>
        <w:rPr>
          <w:noProof/>
        </w:rPr>
      </w:pPr>
      <w:r>
        <w:rPr>
          <w:noProof/>
        </w:rPr>
        <w:t>Ce</w:t>
      </w:r>
      <w:r>
        <w:rPr>
          <w:noProof/>
        </w:rPr>
        <w:t xml:space="preserve"> volet du plan croate pour la reprise et la résilience vise à accroître la sécurité alimentaire et la compétitivité du secteur agroalimentaire croate.</w:t>
      </w:r>
    </w:p>
    <w:p w14:paraId="7B86C30D" w14:textId="77777777" w:rsidR="00553430" w:rsidRDefault="00212577">
      <w:pPr>
        <w:pStyle w:val="P68B1DB1-Normal83"/>
        <w:spacing w:line="240" w:lineRule="auto"/>
        <w:jc w:val="both"/>
        <w:rPr>
          <w:noProof/>
        </w:rPr>
      </w:pPr>
      <w:r>
        <w:rPr>
          <w:noProof/>
        </w:rPr>
        <w:t>L'élément comprend: i) la mise en place d’un réseau d’infrastructures logistiques pour renforcer la chaîn</w:t>
      </w:r>
      <w:r>
        <w:rPr>
          <w:noProof/>
        </w:rPr>
        <w:t>e de production du marché dans le secteur des fruits et légumes; ii) la mise en place d'un système de restructuration et de remembrement des terres agricoles; iii) développer des solutions numériques dans le secteur agricole; et iv) l’amélioration des syst</w:t>
      </w:r>
      <w:r>
        <w:rPr>
          <w:noProof/>
        </w:rPr>
        <w:t xml:space="preserve">èmes de dons alimentaires. </w:t>
      </w:r>
    </w:p>
    <w:p w14:paraId="7BF5D60F" w14:textId="77777777" w:rsidR="00553430" w:rsidRDefault="00212577">
      <w:pPr>
        <w:pStyle w:val="P68B1DB1-Normal46"/>
        <w:spacing w:line="240" w:lineRule="auto"/>
        <w:jc w:val="both"/>
        <w:rPr>
          <w:rFonts w:eastAsia="Calibri"/>
          <w:noProof/>
        </w:rPr>
      </w:pPr>
      <w:r>
        <w:rPr>
          <w:noProof/>
        </w:rPr>
        <w:t>Ce volet contribue à donner suite à la recommandation par pays sur la «nécessité de prendre toutes les mesures nécessaires et de réagir efficacement à la pandémie, de soutenir l’économie et de soutenir la reprise» (recommandatio</w:t>
      </w:r>
      <w:r>
        <w:rPr>
          <w:noProof/>
        </w:rPr>
        <w:t>n par pays 1, 2020); «sur la nécessité d’améliorer l’accès aux services numériques» (recommandation par pays no 2, 2020) et sur «la priorité accordée à la mise en œuvre et au financement de projets d’investissement publics et potentiellement publics-privés</w:t>
      </w:r>
      <w:r>
        <w:rPr>
          <w:noProof/>
        </w:rPr>
        <w:t xml:space="preserve"> pour soutenir la reprise de l’économie» (recommandation par pays no 3, 2020).</w:t>
      </w:r>
    </w:p>
    <w:p w14:paraId="212205E5" w14:textId="77777777" w:rsidR="00553430" w:rsidRDefault="00212577">
      <w:pPr>
        <w:pStyle w:val="P68B1DB1-Normal57"/>
        <w:keepNext/>
        <w:spacing w:after="200" w:line="276" w:lineRule="auto"/>
        <w:ind w:left="851"/>
        <w:jc w:val="both"/>
        <w:outlineLvl w:val="1"/>
        <w:rPr>
          <w:rFonts w:eastAsia="Calibri"/>
          <w:noProof/>
        </w:rPr>
      </w:pPr>
      <w:r>
        <w:rPr>
          <w:noProof/>
        </w:rPr>
        <w:t xml:space="preserve">E.1. </w:t>
      </w:r>
      <w:r>
        <w:rPr>
          <w:noProof/>
        </w:rPr>
        <w:tab/>
        <w:t>Description des réformes et des investissements pour le soutien financier non remboursable</w:t>
      </w:r>
    </w:p>
    <w:p w14:paraId="3148F331" w14:textId="77777777" w:rsidR="00553430" w:rsidRDefault="00212577">
      <w:pPr>
        <w:pStyle w:val="P68B1DB1-Normal82"/>
        <w:keepNext/>
        <w:numPr>
          <w:ilvl w:val="2"/>
          <w:numId w:val="0"/>
        </w:numPr>
        <w:spacing w:line="240" w:lineRule="auto"/>
        <w:ind w:left="851"/>
        <w:jc w:val="both"/>
        <w:outlineLvl w:val="2"/>
        <w:rPr>
          <w:rFonts w:eastAsia="SimSun"/>
          <w:bCs/>
          <w:i/>
          <w:noProof/>
        </w:rPr>
      </w:pPr>
      <w:r>
        <w:rPr>
          <w:noProof/>
        </w:rPr>
        <w:t>Réforme C1.5 R1 – Mise en place d’un réseau d’infrastructures logistiques pour r</w:t>
      </w:r>
      <w:r>
        <w:rPr>
          <w:noProof/>
        </w:rPr>
        <w:t>enforcer la chaîne du marché de la production dans le secteur des fruits et légumes</w:t>
      </w:r>
    </w:p>
    <w:p w14:paraId="56A65FD6" w14:textId="77777777" w:rsidR="00553430" w:rsidRDefault="00212577">
      <w:pPr>
        <w:pStyle w:val="P68B1DB1-Normal33"/>
        <w:spacing w:line="240" w:lineRule="auto"/>
        <w:jc w:val="both"/>
        <w:rPr>
          <w:noProof/>
        </w:rPr>
      </w:pPr>
      <w:r>
        <w:rPr>
          <w:noProof/>
        </w:rPr>
        <w:t>L’objectif de la réforme est d’organiser et de relier l’offre de petites exploitations par l’intermédiaire d’organisations de producteurs afin d’encourager la mise en commu</w:t>
      </w:r>
      <w:r>
        <w:rPr>
          <w:noProof/>
        </w:rPr>
        <w:t>n, la coopération, l’échange d’expériences et de connaissances. La réforme devrait améliorer la position des agriculteurs dans les chaînes d’approvisionnement, en particulier dans le secteur des fruits et légumes, et contribuer au développement de produits</w:t>
      </w:r>
      <w:r>
        <w:rPr>
          <w:noProof/>
        </w:rPr>
        <w:t xml:space="preserve"> à plus forte valeur ajoutée. La réforme comprend l’adoption par le gouvernement croate du programme opérationnel visant à renforcer la capacité de marché du secteur des fruits et légumes pour la période 2021-2026.</w:t>
      </w:r>
    </w:p>
    <w:p w14:paraId="47B7880F" w14:textId="77777777" w:rsidR="00553430" w:rsidRDefault="00212577">
      <w:pPr>
        <w:pStyle w:val="P68B1DB1-Normal33"/>
        <w:spacing w:line="240" w:lineRule="auto"/>
        <w:jc w:val="both"/>
        <w:rPr>
          <w:noProof/>
        </w:rPr>
      </w:pPr>
      <w:r>
        <w:rPr>
          <w:noProof/>
        </w:rPr>
        <w:t>La réforme est achevée au plus tard le 30</w:t>
      </w:r>
      <w:r>
        <w:rPr>
          <w:noProof/>
        </w:rPr>
        <w:t xml:space="preserve"> juin 2026.</w:t>
      </w:r>
    </w:p>
    <w:p w14:paraId="66EB6FD4" w14:textId="6D9B8B67" w:rsidR="00553430" w:rsidRDefault="00212577">
      <w:pPr>
        <w:pStyle w:val="P68B1DB1-Normal82"/>
        <w:keepNext/>
        <w:numPr>
          <w:ilvl w:val="2"/>
          <w:numId w:val="0"/>
        </w:numPr>
        <w:spacing w:line="240" w:lineRule="auto"/>
        <w:ind w:left="851"/>
        <w:jc w:val="both"/>
        <w:outlineLvl w:val="2"/>
        <w:rPr>
          <w:rFonts w:eastAsia="SimSun"/>
          <w:bCs/>
          <w:i/>
          <w:noProof/>
        </w:rPr>
      </w:pPr>
      <w:r>
        <w:rPr>
          <w:noProof/>
        </w:rPr>
        <w:t>Investissement C1.5 R1-I1 – Construction de centres logistiques et de distribution de fruits et légumes</w:t>
      </w:r>
    </w:p>
    <w:p w14:paraId="712E03AF" w14:textId="77777777" w:rsidR="00553430" w:rsidRDefault="00212577">
      <w:pPr>
        <w:pStyle w:val="P68B1DB1-Normal33"/>
        <w:spacing w:line="240" w:lineRule="auto"/>
        <w:jc w:val="both"/>
        <w:rPr>
          <w:noProof/>
        </w:rPr>
      </w:pPr>
      <w:r>
        <w:rPr>
          <w:noProof/>
        </w:rPr>
        <w:t>L'objectif de l'investissement est d'améliorer la concurrence dans le secteur des fruits et légumes.</w:t>
      </w:r>
    </w:p>
    <w:p w14:paraId="0D505174" w14:textId="43E37BD7" w:rsidR="00553430" w:rsidRDefault="00212577">
      <w:pPr>
        <w:pStyle w:val="P68B1DB1-Normal33"/>
        <w:spacing w:line="240" w:lineRule="auto"/>
        <w:jc w:val="both"/>
        <w:rPr>
          <w:noProof/>
        </w:rPr>
      </w:pPr>
      <w:r>
        <w:rPr>
          <w:noProof/>
        </w:rPr>
        <w:t xml:space="preserve">Cette mesure consiste en la </w:t>
      </w:r>
      <w:r>
        <w:rPr>
          <w:noProof/>
        </w:rPr>
        <w:t>construction de centres logistiques de distribution de fruits et/ou légumes.</w:t>
      </w:r>
    </w:p>
    <w:p w14:paraId="5D5192CD" w14:textId="77777777" w:rsidR="00553430" w:rsidRDefault="00212577">
      <w:pPr>
        <w:pStyle w:val="P68B1DB1-Normal82"/>
        <w:keepNext/>
        <w:numPr>
          <w:ilvl w:val="2"/>
          <w:numId w:val="0"/>
        </w:numPr>
        <w:spacing w:line="240" w:lineRule="auto"/>
        <w:ind w:left="850"/>
        <w:jc w:val="both"/>
        <w:outlineLvl w:val="2"/>
        <w:rPr>
          <w:rFonts w:eastAsia="SimSun"/>
          <w:bCs/>
          <w:i/>
          <w:noProof/>
        </w:rPr>
      </w:pPr>
      <w:r>
        <w:rPr>
          <w:noProof/>
        </w:rPr>
        <w:t>Investissement C1.5 R1-I2 Renforcer la position et la visibilité des producteurs dans la chaîne d'approvisionnement alimentaire</w:t>
      </w:r>
    </w:p>
    <w:p w14:paraId="1D799D23" w14:textId="77777777" w:rsidR="00553430" w:rsidRDefault="00212577">
      <w:pPr>
        <w:pStyle w:val="P68B1DB1-Normal33"/>
        <w:spacing w:line="240" w:lineRule="auto"/>
        <w:jc w:val="both"/>
        <w:rPr>
          <w:noProof/>
        </w:rPr>
      </w:pPr>
      <w:r>
        <w:rPr>
          <w:noProof/>
        </w:rPr>
        <w:t>L'investissement vise à permettre aux producteurs d</w:t>
      </w:r>
      <w:r>
        <w:rPr>
          <w:noProof/>
        </w:rPr>
        <w:t xml:space="preserve">e jouer un rôle plus important dans la gouvernance et la structure de propriété des centres logistiques et de distribution. </w:t>
      </w:r>
    </w:p>
    <w:p w14:paraId="5D8E194F" w14:textId="77777777" w:rsidR="00553430" w:rsidRDefault="00212577">
      <w:pPr>
        <w:pStyle w:val="P68B1DB1-Normal33"/>
        <w:spacing w:line="240" w:lineRule="auto"/>
        <w:jc w:val="both"/>
        <w:rPr>
          <w:noProof/>
        </w:rPr>
      </w:pPr>
      <w:r>
        <w:rPr>
          <w:noProof/>
        </w:rPr>
        <w:t>Cette mesure consiste en des formations destinées aux organisations de producteurs et en la mise en place d'un système reconnu d'ét</w:t>
      </w:r>
      <w:r>
        <w:rPr>
          <w:noProof/>
        </w:rPr>
        <w:t>iquetage des fruits et légumes.</w:t>
      </w:r>
    </w:p>
    <w:p w14:paraId="2F6DE47C" w14:textId="77777777" w:rsidR="00553430" w:rsidRDefault="00212577">
      <w:pPr>
        <w:pStyle w:val="P68B1DB1-Normal82"/>
        <w:keepNext/>
        <w:numPr>
          <w:ilvl w:val="2"/>
          <w:numId w:val="0"/>
        </w:numPr>
        <w:spacing w:line="240" w:lineRule="auto"/>
        <w:ind w:left="851"/>
        <w:jc w:val="both"/>
        <w:outlineLvl w:val="2"/>
        <w:rPr>
          <w:rFonts w:eastAsia="SimSun"/>
          <w:bCs/>
          <w:i/>
          <w:noProof/>
        </w:rPr>
      </w:pPr>
      <w:r>
        <w:rPr>
          <w:noProof/>
        </w:rPr>
        <w:t>Réforme C1.5 R2 – Améliorer les systèmes de restructuration et de remembrement des terres agricoles</w:t>
      </w:r>
    </w:p>
    <w:p w14:paraId="25E33B65" w14:textId="77777777" w:rsidR="00553430" w:rsidRDefault="00212577">
      <w:pPr>
        <w:pStyle w:val="P68B1DB1-Normal33"/>
        <w:spacing w:line="240" w:lineRule="auto"/>
        <w:jc w:val="both"/>
        <w:rPr>
          <w:noProof/>
        </w:rPr>
      </w:pPr>
      <w:r>
        <w:rPr>
          <w:noProof/>
        </w:rPr>
        <w:t>L'objectif de la réforme est de faciliter les procédures de consolidation et le suivi continu des terres agricoles, ce qui c</w:t>
      </w:r>
      <w:r>
        <w:rPr>
          <w:noProof/>
        </w:rPr>
        <w:t>réera des conditions préalables à l'application de méthodes agricoles modernes, à la construction d'infrastructures (telles que le réseau de routes de campagne et de canaux d'amélioration) et au traitement des relations juridiques en matière de propriété s</w:t>
      </w:r>
      <w:r>
        <w:rPr>
          <w:noProof/>
        </w:rPr>
        <w:t>ur les terres agricoles. La réforme contribue à une utilisation plus efficace des terres agricoles dans l’agriculture, en augmentant la productivité et la durabilité de la production agricole, en mettant l’accent sur la préservation de l’environnement et l</w:t>
      </w:r>
      <w:r>
        <w:rPr>
          <w:noProof/>
        </w:rPr>
        <w:t xml:space="preserve">’amélioration de la vie dans les zones rurales. Dans le cadre de la réforme, la nouvelle loi sur la consolidation des terres agricoles entre en vigueur. </w:t>
      </w:r>
    </w:p>
    <w:p w14:paraId="196A5D12" w14:textId="77777777" w:rsidR="00553430" w:rsidRDefault="00212577">
      <w:pPr>
        <w:pStyle w:val="P68B1DB1-Normal33"/>
        <w:spacing w:line="240" w:lineRule="auto"/>
        <w:jc w:val="both"/>
        <w:rPr>
          <w:noProof/>
        </w:rPr>
      </w:pPr>
      <w:r>
        <w:rPr>
          <w:noProof/>
        </w:rPr>
        <w:t>La réforme est achevée au plus tard le 31 mars 2026.</w:t>
      </w:r>
    </w:p>
    <w:p w14:paraId="20814B0A" w14:textId="77777777" w:rsidR="00553430" w:rsidRDefault="00212577">
      <w:pPr>
        <w:pStyle w:val="P68B1DB1-Normal82"/>
        <w:keepNext/>
        <w:numPr>
          <w:ilvl w:val="2"/>
          <w:numId w:val="0"/>
        </w:numPr>
        <w:spacing w:line="240" w:lineRule="auto"/>
        <w:ind w:left="851"/>
        <w:jc w:val="both"/>
        <w:outlineLvl w:val="2"/>
        <w:rPr>
          <w:rFonts w:eastAsia="SimSun"/>
          <w:bCs/>
          <w:i/>
          <w:noProof/>
        </w:rPr>
      </w:pPr>
      <w:r>
        <w:rPr>
          <w:noProof/>
        </w:rPr>
        <w:t>Investissement C1.5 R2-I2 – Programme de surveill</w:t>
      </w:r>
      <w:r>
        <w:rPr>
          <w:noProof/>
        </w:rPr>
        <w:t>ance des terres agricoles</w:t>
      </w:r>
    </w:p>
    <w:p w14:paraId="1B288DC2" w14:textId="77777777" w:rsidR="00553430" w:rsidRDefault="00212577">
      <w:pPr>
        <w:pStyle w:val="P68B1DB1-Normal33"/>
        <w:spacing w:line="240" w:lineRule="auto"/>
        <w:jc w:val="both"/>
        <w:rPr>
          <w:noProof/>
        </w:rPr>
      </w:pPr>
      <w:r>
        <w:rPr>
          <w:noProof/>
        </w:rPr>
        <w:t>L’objectif de cet investissement est de garantir les conditions d’une protection efficace des terres agricoles, la disponibilité continue des données nécessaires à l’évaluation de l’état des sols et la mise en œuvre de la politiqu</w:t>
      </w:r>
      <w:r>
        <w:rPr>
          <w:noProof/>
        </w:rPr>
        <w:t xml:space="preserve">e de gestion durable. </w:t>
      </w:r>
    </w:p>
    <w:p w14:paraId="7DD31E1E" w14:textId="77777777" w:rsidR="00553430" w:rsidRDefault="00212577">
      <w:pPr>
        <w:pStyle w:val="P68B1DB1-Normal46"/>
        <w:spacing w:line="240" w:lineRule="auto"/>
        <w:jc w:val="both"/>
        <w:rPr>
          <w:rFonts w:eastAsia="Calibri"/>
          <w:noProof/>
        </w:rPr>
      </w:pPr>
      <w:r>
        <w:rPr>
          <w:noProof/>
        </w:rPr>
        <w:t xml:space="preserve">Cette mesure consiste à moderniser le système d'information opérationnel pour la surveillance des terres agricoles et à mettre en place 90 stations permanentes de surveillance des terres. </w:t>
      </w:r>
    </w:p>
    <w:p w14:paraId="27377284" w14:textId="77777777" w:rsidR="00553430" w:rsidRDefault="00212577">
      <w:pPr>
        <w:pStyle w:val="P68B1DB1-Normal82"/>
        <w:keepNext/>
        <w:numPr>
          <w:ilvl w:val="2"/>
          <w:numId w:val="0"/>
        </w:numPr>
        <w:spacing w:line="240" w:lineRule="auto"/>
        <w:ind w:left="851"/>
        <w:jc w:val="both"/>
        <w:outlineLvl w:val="2"/>
        <w:rPr>
          <w:rFonts w:eastAsia="SimSun"/>
          <w:bCs/>
          <w:i/>
          <w:noProof/>
        </w:rPr>
      </w:pPr>
      <w:r>
        <w:rPr>
          <w:noProof/>
        </w:rPr>
        <w:t>Réforme C1.5 R3 – La transformation numériqu</w:t>
      </w:r>
      <w:r>
        <w:rPr>
          <w:noProof/>
        </w:rPr>
        <w:t>e de l’agriculture</w:t>
      </w:r>
    </w:p>
    <w:p w14:paraId="1530F11F" w14:textId="77777777" w:rsidR="00553430" w:rsidRDefault="00212577">
      <w:pPr>
        <w:pStyle w:val="P68B1DB1-Normal33"/>
        <w:spacing w:line="240" w:lineRule="auto"/>
        <w:jc w:val="both"/>
        <w:rPr>
          <w:noProof/>
        </w:rPr>
      </w:pPr>
      <w:r>
        <w:rPr>
          <w:noProof/>
        </w:rPr>
        <w:t>L’objectif de la réforme est de rendre les services publics dans le secteur agricole plus accessibles aux agriculteurs en numérisant ces services, tout en réduisant la charge administrative. La réforme comprend la mise en place d’une uni</w:t>
      </w:r>
      <w:r>
        <w:rPr>
          <w:noProof/>
        </w:rPr>
        <w:t>té de coordination qui planifie et surveille la mise en œuvre de tous les investissements et veille à la réalisation des objectifs définis: des services publics numérisés, une plateforme opérationnelle pour une agriculture intelligente et un système d’info</w:t>
      </w:r>
      <w:r>
        <w:rPr>
          <w:noProof/>
        </w:rPr>
        <w:t>rmation sur la traçabilité accessible au public.</w:t>
      </w:r>
    </w:p>
    <w:p w14:paraId="119EEA76" w14:textId="77777777" w:rsidR="00553430" w:rsidRDefault="00212577">
      <w:pPr>
        <w:pStyle w:val="P68B1DB1-Normal33"/>
        <w:spacing w:line="240" w:lineRule="auto"/>
        <w:jc w:val="both"/>
        <w:rPr>
          <w:noProof/>
        </w:rPr>
      </w:pPr>
      <w:r>
        <w:rPr>
          <w:noProof/>
        </w:rPr>
        <w:t>La réforme devrait contribuer à accroître la production agricole, à garantir la qualité et la traçabilité des produits agricoles et à garantir l’application de pratiques agronomiques durables à long terme po</w:t>
      </w:r>
      <w:r>
        <w:rPr>
          <w:noProof/>
        </w:rPr>
        <w:t>ur le climat et l’environnement.</w:t>
      </w:r>
    </w:p>
    <w:p w14:paraId="18956D30" w14:textId="77777777" w:rsidR="00553430" w:rsidRDefault="00212577">
      <w:pPr>
        <w:pStyle w:val="P68B1DB1-Normal33"/>
        <w:spacing w:line="240" w:lineRule="auto"/>
        <w:jc w:val="both"/>
        <w:rPr>
          <w:noProof/>
        </w:rPr>
      </w:pPr>
      <w:r>
        <w:rPr>
          <w:noProof/>
        </w:rPr>
        <w:t>La réforme est achevée au plus tard le 31 décembre 2025.</w:t>
      </w:r>
    </w:p>
    <w:p w14:paraId="378A8662" w14:textId="77777777" w:rsidR="00553430" w:rsidRDefault="00212577">
      <w:pPr>
        <w:pStyle w:val="P68B1DB1-Normal82"/>
        <w:keepNext/>
        <w:numPr>
          <w:ilvl w:val="2"/>
          <w:numId w:val="0"/>
        </w:numPr>
        <w:spacing w:line="240" w:lineRule="auto"/>
        <w:ind w:left="851"/>
        <w:jc w:val="both"/>
        <w:outlineLvl w:val="2"/>
        <w:rPr>
          <w:rFonts w:eastAsia="SimSun"/>
          <w:bCs/>
          <w:i/>
          <w:noProof/>
        </w:rPr>
      </w:pPr>
      <w:r>
        <w:rPr>
          <w:noProof/>
        </w:rPr>
        <w:t>Investissement C1.5 R3-I1 – Déploiement de services publics numériques</w:t>
      </w:r>
    </w:p>
    <w:p w14:paraId="58521D11" w14:textId="77777777" w:rsidR="00553430" w:rsidRDefault="00212577">
      <w:pPr>
        <w:pStyle w:val="P68B1DB1-Normal33"/>
        <w:spacing w:line="240" w:lineRule="auto"/>
        <w:jc w:val="both"/>
        <w:rPr>
          <w:noProof/>
        </w:rPr>
      </w:pPr>
      <w:r>
        <w:rPr>
          <w:noProof/>
        </w:rPr>
        <w:t>L’objectif de cet investissement est la transformation numérique d’au moins 30 services publics</w:t>
      </w:r>
      <w:r>
        <w:rPr>
          <w:noProof/>
        </w:rPr>
        <w:t xml:space="preserve"> agricoles. L’investissement comprend, entre autres, la préparation du plan d’action pour la transformation numérique, qui servira de base à l’enregistrement de tous les services agricoles à numériser. Au moins 30 services publics qui sont enregistrés dans</w:t>
      </w:r>
      <w:r>
        <w:rPr>
          <w:noProof/>
        </w:rPr>
        <w:t xml:space="preserve"> le plan d’action sont numérisés et mis à la disposition des bénéficiaires. L’investissement réduit le besoin de services en personne et contribue à la création de services publics numériques pour les agriculteurs.</w:t>
      </w:r>
    </w:p>
    <w:p w14:paraId="6131E93E" w14:textId="77777777" w:rsidR="00553430" w:rsidRDefault="00212577">
      <w:pPr>
        <w:pStyle w:val="P68B1DB1-Normal33"/>
        <w:spacing w:line="240" w:lineRule="auto"/>
        <w:jc w:val="both"/>
        <w:rPr>
          <w:noProof/>
        </w:rPr>
      </w:pPr>
      <w:r>
        <w:rPr>
          <w:noProof/>
        </w:rPr>
        <w:t xml:space="preserve">L’investissement est achevé au plus tard </w:t>
      </w:r>
      <w:r>
        <w:rPr>
          <w:noProof/>
        </w:rPr>
        <w:t>le 31 décembre 2024.</w:t>
      </w:r>
    </w:p>
    <w:p w14:paraId="52CDE815" w14:textId="77777777" w:rsidR="00553430" w:rsidRDefault="00212577">
      <w:pPr>
        <w:pStyle w:val="P68B1DB1-Normal82"/>
        <w:keepNext/>
        <w:numPr>
          <w:ilvl w:val="2"/>
          <w:numId w:val="0"/>
        </w:numPr>
        <w:spacing w:line="240" w:lineRule="auto"/>
        <w:ind w:left="851"/>
        <w:jc w:val="both"/>
        <w:outlineLvl w:val="2"/>
        <w:rPr>
          <w:rFonts w:eastAsia="SimSun"/>
          <w:bCs/>
          <w:i/>
          <w:noProof/>
        </w:rPr>
      </w:pPr>
      <w:r>
        <w:rPr>
          <w:noProof/>
        </w:rPr>
        <w:t>Investissement C1.5 R3-I2 – Agriculture intelligente</w:t>
      </w:r>
    </w:p>
    <w:p w14:paraId="404D516F" w14:textId="77777777" w:rsidR="00553430" w:rsidRDefault="00212577">
      <w:pPr>
        <w:pStyle w:val="P68B1DB1-Normal33"/>
        <w:spacing w:line="240" w:lineRule="auto"/>
        <w:jc w:val="both"/>
        <w:rPr>
          <w:noProof/>
        </w:rPr>
      </w:pPr>
      <w:r>
        <w:rPr>
          <w:noProof/>
        </w:rPr>
        <w:t xml:space="preserve">L’objectif de cet investissement est de soutenir la transformation numérique du secteur agricole croate. </w:t>
      </w:r>
    </w:p>
    <w:p w14:paraId="7139E710" w14:textId="77777777" w:rsidR="00553430" w:rsidRDefault="00212577">
      <w:pPr>
        <w:pStyle w:val="P68B1DB1-Normal33"/>
        <w:spacing w:line="240" w:lineRule="auto"/>
        <w:jc w:val="both"/>
        <w:rPr>
          <w:noProof/>
        </w:rPr>
      </w:pPr>
      <w:r>
        <w:rPr>
          <w:noProof/>
        </w:rPr>
        <w:t>Cette mesure consiste à créer une plateforme d'agriculture intelligente.</w:t>
      </w:r>
    </w:p>
    <w:p w14:paraId="5562458D" w14:textId="77777777" w:rsidR="00553430" w:rsidRDefault="00212577">
      <w:pPr>
        <w:pStyle w:val="P68B1DB1-Normal82"/>
        <w:keepNext/>
        <w:numPr>
          <w:ilvl w:val="2"/>
          <w:numId w:val="0"/>
        </w:numPr>
        <w:spacing w:line="240" w:lineRule="auto"/>
        <w:ind w:left="851"/>
        <w:jc w:val="both"/>
        <w:outlineLvl w:val="2"/>
        <w:rPr>
          <w:rFonts w:eastAsia="SimSun"/>
          <w:bCs/>
          <w:i/>
          <w:noProof/>
        </w:rPr>
      </w:pPr>
      <w:r>
        <w:rPr>
          <w:noProof/>
        </w:rPr>
        <w:t>Inv</w:t>
      </w:r>
      <w:r>
        <w:rPr>
          <w:noProof/>
        </w:rPr>
        <w:t>estissement C1.5 R3-I3 – Système de traçabilité</w:t>
      </w:r>
    </w:p>
    <w:p w14:paraId="36130C10" w14:textId="77777777" w:rsidR="00553430" w:rsidRDefault="00212577">
      <w:pPr>
        <w:pStyle w:val="P68B1DB1-Normal33"/>
        <w:spacing w:line="240" w:lineRule="auto"/>
        <w:jc w:val="both"/>
        <w:rPr>
          <w:noProof/>
        </w:rPr>
      </w:pPr>
      <w:r>
        <w:rPr>
          <w:noProof/>
        </w:rPr>
        <w:t>Les objectifs de l’investissement sont de promouvoir davantage l’agriculture durable, en particulier par les petits producteurs locaux, et d’informer davantage les consommateurs de l’importance et de la dispo</w:t>
      </w:r>
      <w:r>
        <w:rPr>
          <w:noProof/>
        </w:rPr>
        <w:t>nibilité des produits obtenus de manière durable, au niveau local dans toute la Croatie. L'investissement devrait avoir un impact positif sur le développement rural dans un certain nombre de communautés locales et contribuer à accroître la confiance des co</w:t>
      </w:r>
      <w:r>
        <w:rPr>
          <w:noProof/>
        </w:rPr>
        <w:t xml:space="preserve">nsommateurs dans les produits alimentaires produits localement et durables. L'investissement comprend la mise en place d'un système national d'information sur la traçabilité accessible au public. </w:t>
      </w:r>
    </w:p>
    <w:p w14:paraId="13C2937D" w14:textId="77777777" w:rsidR="00553430" w:rsidRDefault="00212577">
      <w:pPr>
        <w:pStyle w:val="P68B1DB1-Normal33"/>
        <w:spacing w:line="240" w:lineRule="auto"/>
        <w:jc w:val="both"/>
        <w:rPr>
          <w:noProof/>
        </w:rPr>
      </w:pPr>
      <w:r>
        <w:rPr>
          <w:noProof/>
        </w:rPr>
        <w:t>L’investissement est achevé au plus tard le 31 décembre 202</w:t>
      </w:r>
      <w:r>
        <w:rPr>
          <w:noProof/>
        </w:rPr>
        <w:t>4.</w:t>
      </w:r>
    </w:p>
    <w:p w14:paraId="2AA0D570" w14:textId="77777777" w:rsidR="00553430" w:rsidRDefault="00212577">
      <w:pPr>
        <w:pStyle w:val="P68B1DB1-Normal82"/>
        <w:keepNext/>
        <w:numPr>
          <w:ilvl w:val="2"/>
          <w:numId w:val="0"/>
        </w:numPr>
        <w:spacing w:line="240" w:lineRule="auto"/>
        <w:ind w:left="851"/>
        <w:jc w:val="both"/>
        <w:outlineLvl w:val="2"/>
        <w:rPr>
          <w:rFonts w:eastAsia="SimSun"/>
          <w:bCs/>
          <w:i/>
          <w:noProof/>
        </w:rPr>
      </w:pPr>
      <w:r>
        <w:rPr>
          <w:noProof/>
        </w:rPr>
        <w:t>Réforme C1.5 R4 – Améliorer les systèmes de dons alimentaires</w:t>
      </w:r>
    </w:p>
    <w:p w14:paraId="7728F7E9" w14:textId="77777777" w:rsidR="00553430" w:rsidRDefault="00212577">
      <w:pPr>
        <w:pStyle w:val="P68B1DB1-Normal33"/>
        <w:spacing w:line="240" w:lineRule="auto"/>
        <w:jc w:val="both"/>
        <w:rPr>
          <w:noProof/>
        </w:rPr>
      </w:pPr>
      <w:r>
        <w:rPr>
          <w:noProof/>
        </w:rPr>
        <w:t xml:space="preserve">L’objectif de la réforme est de promouvoir l’économie circulaire dans le secteur agroalimentaire, de réduire le gaspillage alimentaire et d’accroître la sécurité alimentaire pour les plus </w:t>
      </w:r>
      <w:r>
        <w:rPr>
          <w:noProof/>
        </w:rPr>
        <w:t xml:space="preserve">pauvres en améliorant le système de dons alimentaires. La réforme comprend la création d’une banque alimentaire, le renforcement des capacités d’infrastructure des intermédiaires dans la chaîne des dons alimentaires, le lancement d’une plateforme en ligne </w:t>
      </w:r>
      <w:r>
        <w:rPr>
          <w:noProof/>
        </w:rPr>
        <w:t>pour la prévention du gaspillage alimentaire, la mise à niveau du système informatique relatif aux dons alimentaires, la conclusion d’accords volontaires de prévention du gaspillage alimentaire entre les autorités compétentes et les parties prenantes de la</w:t>
      </w:r>
      <w:r>
        <w:rPr>
          <w:noProof/>
        </w:rPr>
        <w:t xml:space="preserve"> chaîne d’approvisionnement alimentaire, le monde universitaire, la communauté scientifique et les organisations de la société civile, ainsi que la mise en œuvre d’une campagne d’information et d’éducation sur la prévention du gaspillage alimentaire et les</w:t>
      </w:r>
      <w:r>
        <w:rPr>
          <w:noProof/>
        </w:rPr>
        <w:t xml:space="preserve"> dons alimentaires.</w:t>
      </w:r>
    </w:p>
    <w:p w14:paraId="79BB97C2" w14:textId="77777777" w:rsidR="00553430" w:rsidRDefault="00212577">
      <w:pPr>
        <w:pStyle w:val="P68B1DB1-Normal33"/>
        <w:spacing w:line="240" w:lineRule="auto"/>
        <w:jc w:val="both"/>
        <w:rPr>
          <w:noProof/>
        </w:rPr>
      </w:pPr>
      <w:r>
        <w:rPr>
          <w:noProof/>
        </w:rPr>
        <w:t>La réforme est achevée au plus tard le 31 décembre 2023.</w:t>
      </w:r>
    </w:p>
    <w:p w14:paraId="2CB9DFE5" w14:textId="77777777" w:rsidR="00553430" w:rsidRDefault="00212577">
      <w:pPr>
        <w:pStyle w:val="P68B1DB1-Normal82"/>
        <w:keepNext/>
        <w:numPr>
          <w:ilvl w:val="2"/>
          <w:numId w:val="0"/>
        </w:numPr>
        <w:spacing w:line="240" w:lineRule="auto"/>
        <w:ind w:left="851"/>
        <w:jc w:val="both"/>
        <w:outlineLvl w:val="2"/>
        <w:rPr>
          <w:rFonts w:eastAsia="SimSun"/>
          <w:bCs/>
          <w:i/>
          <w:noProof/>
        </w:rPr>
      </w:pPr>
      <w:r>
        <w:rPr>
          <w:noProof/>
        </w:rPr>
        <w:t>Investissement C1.5 R4-I1 – Équipement infrastructurel de la banque alimentaire et des intermédiaires dans la chaîne des dons alimentaires</w:t>
      </w:r>
    </w:p>
    <w:p w14:paraId="71CF15C0" w14:textId="77777777" w:rsidR="00553430" w:rsidRDefault="00212577">
      <w:pPr>
        <w:pStyle w:val="P68B1DB1-Normal33"/>
        <w:spacing w:line="240" w:lineRule="auto"/>
        <w:jc w:val="both"/>
        <w:rPr>
          <w:noProof/>
        </w:rPr>
      </w:pPr>
      <w:r>
        <w:rPr>
          <w:noProof/>
        </w:rPr>
        <w:t>L’objectif de l’investissement est de re</w:t>
      </w:r>
      <w:r>
        <w:rPr>
          <w:noProof/>
        </w:rPr>
        <w:t>nforcer les capacités d’infrastructure des intermédiaires de la chaîne des dons alimentaires et de la banque alimentaire afin de créer les conditions préalables de base pour augmenter les quantités de denrées alimentaires données, contribuant ainsi à rédui</w:t>
      </w:r>
      <w:r>
        <w:rPr>
          <w:noProof/>
        </w:rPr>
        <w:t>re le gaspillage alimentaire et à accroître la sécurité alimentaire des groupes de population les plus pauvres. L’investissement comprend la mise en œuvre de programmes de soutien à l’équipement des infrastructures des banques alimentaires et des intermédi</w:t>
      </w:r>
      <w:r>
        <w:rPr>
          <w:noProof/>
        </w:rPr>
        <w:t>aires dans la chaîne des dons alimentaires, élaborés par le ministère de l’agriculture et adoptés par le gouvernement croate.</w:t>
      </w:r>
    </w:p>
    <w:p w14:paraId="3082647B" w14:textId="77777777" w:rsidR="00553430" w:rsidRDefault="00212577">
      <w:pPr>
        <w:pStyle w:val="P68B1DB1-Normal33"/>
        <w:spacing w:line="240" w:lineRule="auto"/>
        <w:jc w:val="both"/>
        <w:rPr>
          <w:noProof/>
        </w:rPr>
      </w:pPr>
      <w:r>
        <w:rPr>
          <w:noProof/>
        </w:rPr>
        <w:t>L’investissement est achevé au plus tard le 31 décembre 2023.</w:t>
      </w:r>
    </w:p>
    <w:p w14:paraId="155594BC" w14:textId="77777777" w:rsidR="00553430" w:rsidRDefault="00553430">
      <w:pPr>
        <w:rPr>
          <w:noProof/>
        </w:rPr>
        <w:sectPr w:rsidR="00553430" w:rsidSect="00FA29B2">
          <w:headerReference w:type="even" r:id="rId99"/>
          <w:headerReference w:type="default" r:id="rId100"/>
          <w:footerReference w:type="even" r:id="rId101"/>
          <w:footerReference w:type="default" r:id="rId102"/>
          <w:headerReference w:type="first" r:id="rId103"/>
          <w:footerReference w:type="first" r:id="rId104"/>
          <w:pgSz w:w="11906" w:h="16838"/>
          <w:pgMar w:top="1134" w:right="1134" w:bottom="1134" w:left="1134" w:header="567" w:footer="567" w:gutter="0"/>
          <w:cols w:space="708"/>
          <w:docGrid w:linePitch="360"/>
        </w:sectPr>
      </w:pPr>
    </w:p>
    <w:p w14:paraId="0F379FCE" w14:textId="77777777" w:rsidR="00553430" w:rsidRDefault="00212577">
      <w:pPr>
        <w:pStyle w:val="P68B1DB1-Normal92"/>
        <w:keepNext/>
        <w:tabs>
          <w:tab w:val="num" w:pos="850"/>
        </w:tabs>
        <w:spacing w:after="200" w:line="276" w:lineRule="auto"/>
        <w:ind w:left="851"/>
        <w:jc w:val="both"/>
        <w:outlineLvl w:val="1"/>
        <w:rPr>
          <w:rFonts w:eastAsia="Calibri"/>
          <w:noProof/>
          <w:szCs w:val="24"/>
        </w:rPr>
      </w:pPr>
      <w:r>
        <w:rPr>
          <w:noProof/>
        </w:rPr>
        <w:t xml:space="preserve">E.2. </w:t>
      </w:r>
      <w:r>
        <w:rPr>
          <w:noProof/>
        </w:rPr>
        <w:tab/>
      </w:r>
      <w:r>
        <w:rPr>
          <w:noProof/>
        </w:rPr>
        <w:t>Étapes, cibles, indicateurs et calendrier pour le suivi et la mise en œuvre du soutien financier non remboursable</w:t>
      </w:r>
    </w:p>
    <w:tbl>
      <w:tblPr>
        <w:tblW w:w="16190" w:type="dxa"/>
        <w:tblInd w:w="-823" w:type="dxa"/>
        <w:tblCellMar>
          <w:top w:w="28" w:type="dxa"/>
          <w:left w:w="28" w:type="dxa"/>
          <w:bottom w:w="28" w:type="dxa"/>
          <w:right w:w="28" w:type="dxa"/>
        </w:tblCellMar>
        <w:tblLook w:val="04A0" w:firstRow="1" w:lastRow="0" w:firstColumn="1" w:lastColumn="0" w:noHBand="0" w:noVBand="1"/>
      </w:tblPr>
      <w:tblGrid>
        <w:gridCol w:w="872"/>
        <w:gridCol w:w="1080"/>
        <w:gridCol w:w="1026"/>
        <w:gridCol w:w="2289"/>
        <w:gridCol w:w="1942"/>
        <w:gridCol w:w="712"/>
        <w:gridCol w:w="852"/>
        <w:gridCol w:w="756"/>
        <w:gridCol w:w="893"/>
        <w:gridCol w:w="797"/>
        <w:gridCol w:w="5172"/>
      </w:tblGrid>
      <w:tr w:rsidR="00553430" w14:paraId="3053D75D" w14:textId="77777777">
        <w:trPr>
          <w:tblHeader/>
        </w:trPr>
        <w:tc>
          <w:tcPr>
            <w:tcW w:w="8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3FA5B74" w14:textId="77777777" w:rsidR="00553430" w:rsidRDefault="00212577">
            <w:pPr>
              <w:pStyle w:val="P68B1DB1-Normal58"/>
              <w:spacing w:after="0" w:line="276" w:lineRule="auto"/>
              <w:jc w:val="center"/>
              <w:rPr>
                <w:bCs/>
                <w:noProof/>
              </w:rPr>
            </w:pPr>
            <w:r>
              <w:rPr>
                <w:noProof/>
              </w:rPr>
              <w:t>Numéro</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6936522" w14:textId="77777777" w:rsidR="00553430" w:rsidRDefault="00212577">
            <w:pPr>
              <w:pStyle w:val="P68B1DB1-Normal58"/>
              <w:spacing w:after="0" w:line="276" w:lineRule="auto"/>
              <w:jc w:val="center"/>
              <w:rPr>
                <w:bCs/>
                <w:noProof/>
              </w:rPr>
            </w:pPr>
            <w:r>
              <w:rPr>
                <w:noProof/>
              </w:rPr>
              <w:t>Mesure</w:t>
            </w:r>
          </w:p>
        </w:tc>
        <w:tc>
          <w:tcPr>
            <w:tcW w:w="10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F9B83B9" w14:textId="77777777" w:rsidR="00553430" w:rsidRDefault="00212577">
            <w:pPr>
              <w:pStyle w:val="P68B1DB1-Normal58"/>
              <w:spacing w:after="0" w:line="276" w:lineRule="auto"/>
              <w:jc w:val="center"/>
              <w:rPr>
                <w:bCs/>
                <w:noProof/>
              </w:rPr>
            </w:pPr>
            <w:r>
              <w:rPr>
                <w:noProof/>
              </w:rPr>
              <w:t>Étape/cible</w:t>
            </w:r>
          </w:p>
        </w:tc>
        <w:tc>
          <w:tcPr>
            <w:tcW w:w="22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1916C9" w14:textId="77777777" w:rsidR="00553430" w:rsidRDefault="00212577">
            <w:pPr>
              <w:pStyle w:val="P68B1DB1-Normal58"/>
              <w:spacing w:after="0" w:line="276" w:lineRule="auto"/>
              <w:jc w:val="center"/>
              <w:rPr>
                <w:bCs/>
                <w:noProof/>
              </w:rPr>
            </w:pPr>
            <w:r>
              <w:rPr>
                <w:noProof/>
              </w:rPr>
              <w:t>Nom</w:t>
            </w:r>
          </w:p>
        </w:tc>
        <w:tc>
          <w:tcPr>
            <w:tcW w:w="19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98C2144"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qualitatifs</w:t>
            </w:r>
            <w:r>
              <w:rPr>
                <w:rFonts w:ascii="Times New Roman" w:eastAsia="Calibri" w:hAnsi="Times New Roman" w:cs="Times New Roman"/>
                <w:noProof/>
              </w:rPr>
              <w:br/>
            </w:r>
            <w:r>
              <w:rPr>
                <w:rFonts w:ascii="Times New Roman" w:eastAsia="Times New Roman" w:hAnsi="Times New Roman" w:cs="Times New Roman"/>
                <w:b/>
                <w:noProof/>
              </w:rPr>
              <w:t>(pour les jalons)</w:t>
            </w:r>
          </w:p>
        </w:tc>
        <w:tc>
          <w:tcPr>
            <w:tcW w:w="225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FE51E78"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eastAsia="Calibri" w:hAnsi="Times New Roman" w:cs="Times New Roman"/>
                <w:noProof/>
              </w:rPr>
              <w:br/>
            </w:r>
            <w:r>
              <w:rPr>
                <w:rFonts w:ascii="Times New Roman" w:eastAsia="Times New Roman" w:hAnsi="Times New Roman" w:cs="Times New Roman"/>
                <w:b/>
                <w:noProof/>
              </w:rPr>
              <w:t>(pour les objectifs)</w:t>
            </w:r>
          </w:p>
        </w:tc>
        <w:tc>
          <w:tcPr>
            <w:tcW w:w="1553" w:type="dxa"/>
            <w:gridSpan w:val="2"/>
            <w:tcBorders>
              <w:top w:val="single" w:sz="4" w:space="0" w:color="auto"/>
              <w:left w:val="nil"/>
              <w:bottom w:val="single" w:sz="4" w:space="0" w:color="auto"/>
              <w:right w:val="single" w:sz="4" w:space="0" w:color="auto"/>
            </w:tcBorders>
            <w:shd w:val="clear" w:color="auto" w:fill="BDD7EE"/>
            <w:vAlign w:val="center"/>
            <w:hideMark/>
          </w:tcPr>
          <w:p w14:paraId="53CEC998" w14:textId="77777777" w:rsidR="00553430" w:rsidRDefault="00212577">
            <w:pPr>
              <w:pStyle w:val="P68B1DB1-Normal58"/>
              <w:spacing w:after="0" w:line="276" w:lineRule="auto"/>
              <w:jc w:val="center"/>
              <w:rPr>
                <w:bCs/>
                <w:noProof/>
              </w:rPr>
            </w:pPr>
            <w:r>
              <w:rPr>
                <w:noProof/>
              </w:rPr>
              <w:t>Temps</w:t>
            </w:r>
          </w:p>
        </w:tc>
        <w:tc>
          <w:tcPr>
            <w:tcW w:w="51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F18AA8E" w14:textId="77777777" w:rsidR="00553430" w:rsidRDefault="00212577">
            <w:pPr>
              <w:pStyle w:val="P68B1DB1-Normal58"/>
              <w:spacing w:after="0" w:line="276" w:lineRule="auto"/>
              <w:jc w:val="center"/>
              <w:rPr>
                <w:bCs/>
                <w:noProof/>
              </w:rPr>
            </w:pPr>
            <w:r>
              <w:rPr>
                <w:noProof/>
              </w:rPr>
              <w:t xml:space="preserve">Description de </w:t>
            </w:r>
            <w:r>
              <w:rPr>
                <w:noProof/>
              </w:rPr>
              <w:t>chaque jalon et cible</w:t>
            </w:r>
          </w:p>
        </w:tc>
      </w:tr>
      <w:tr w:rsidR="00553430" w14:paraId="3A7FEA3C" w14:textId="77777777">
        <w:trPr>
          <w:tblHeader/>
        </w:trPr>
        <w:tc>
          <w:tcPr>
            <w:tcW w:w="872" w:type="dxa"/>
            <w:vMerge/>
            <w:tcBorders>
              <w:top w:val="single" w:sz="4" w:space="0" w:color="auto"/>
              <w:left w:val="single" w:sz="4" w:space="0" w:color="auto"/>
              <w:bottom w:val="single" w:sz="4" w:space="0" w:color="auto"/>
              <w:right w:val="single" w:sz="4" w:space="0" w:color="auto"/>
            </w:tcBorders>
            <w:hideMark/>
          </w:tcPr>
          <w:p w14:paraId="1B79D318"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80" w:type="dxa"/>
            <w:vMerge/>
            <w:tcBorders>
              <w:top w:val="single" w:sz="4" w:space="0" w:color="auto"/>
              <w:left w:val="single" w:sz="4" w:space="0" w:color="auto"/>
              <w:bottom w:val="single" w:sz="4" w:space="0" w:color="auto"/>
              <w:right w:val="single" w:sz="4" w:space="0" w:color="auto"/>
            </w:tcBorders>
            <w:hideMark/>
          </w:tcPr>
          <w:p w14:paraId="2BA3FE10"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26" w:type="dxa"/>
            <w:vMerge/>
            <w:tcBorders>
              <w:top w:val="single" w:sz="4" w:space="0" w:color="auto"/>
              <w:left w:val="single" w:sz="4" w:space="0" w:color="auto"/>
              <w:bottom w:val="single" w:sz="4" w:space="0" w:color="auto"/>
              <w:right w:val="single" w:sz="4" w:space="0" w:color="auto"/>
            </w:tcBorders>
            <w:hideMark/>
          </w:tcPr>
          <w:p w14:paraId="4D566415"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2289" w:type="dxa"/>
            <w:vMerge/>
            <w:tcBorders>
              <w:top w:val="single" w:sz="4" w:space="0" w:color="auto"/>
              <w:left w:val="single" w:sz="4" w:space="0" w:color="auto"/>
              <w:bottom w:val="single" w:sz="4" w:space="0" w:color="auto"/>
              <w:right w:val="single" w:sz="4" w:space="0" w:color="auto"/>
            </w:tcBorders>
            <w:hideMark/>
          </w:tcPr>
          <w:p w14:paraId="064A6348" w14:textId="77777777" w:rsidR="00553430" w:rsidRDefault="00553430">
            <w:pPr>
              <w:spacing w:after="0" w:line="276" w:lineRule="auto"/>
              <w:rPr>
                <w:rFonts w:ascii="Times New Roman" w:eastAsia="Times New Roman" w:hAnsi="Times New Roman" w:cs="Times New Roman"/>
                <w:b/>
                <w:noProof/>
                <w:sz w:val="20"/>
                <w:szCs w:val="20"/>
              </w:rPr>
            </w:pPr>
          </w:p>
        </w:tc>
        <w:tc>
          <w:tcPr>
            <w:tcW w:w="1942" w:type="dxa"/>
            <w:vMerge/>
            <w:tcBorders>
              <w:top w:val="single" w:sz="4" w:space="0" w:color="auto"/>
              <w:left w:val="single" w:sz="4" w:space="0" w:color="auto"/>
              <w:bottom w:val="single" w:sz="4" w:space="0" w:color="auto"/>
            </w:tcBorders>
            <w:hideMark/>
          </w:tcPr>
          <w:p w14:paraId="6ECF78FA" w14:textId="77777777" w:rsidR="00553430" w:rsidRDefault="00553430">
            <w:pPr>
              <w:spacing w:after="0" w:line="276" w:lineRule="auto"/>
              <w:rPr>
                <w:rFonts w:ascii="Times New Roman" w:eastAsia="Times New Roman" w:hAnsi="Times New Roman" w:cs="Times New Roman"/>
                <w:b/>
                <w:noProof/>
                <w:sz w:val="20"/>
                <w:szCs w:val="20"/>
              </w:rPr>
            </w:pPr>
          </w:p>
        </w:tc>
        <w:tc>
          <w:tcPr>
            <w:tcW w:w="712" w:type="dxa"/>
            <w:tcBorders>
              <w:top w:val="single" w:sz="4" w:space="0" w:color="auto"/>
              <w:left w:val="single" w:sz="4" w:space="0" w:color="auto"/>
              <w:bottom w:val="single" w:sz="4" w:space="0" w:color="auto"/>
              <w:right w:val="single" w:sz="4" w:space="0" w:color="auto"/>
            </w:tcBorders>
            <w:shd w:val="clear" w:color="auto" w:fill="BDD7EE"/>
            <w:hideMark/>
          </w:tcPr>
          <w:p w14:paraId="2860F506" w14:textId="77777777" w:rsidR="00553430" w:rsidRDefault="00212577">
            <w:pPr>
              <w:pStyle w:val="P68B1DB1-Normal58"/>
              <w:spacing w:after="0" w:line="276" w:lineRule="auto"/>
              <w:jc w:val="center"/>
              <w:rPr>
                <w:bCs/>
                <w:noProof/>
              </w:rPr>
            </w:pPr>
            <w:r>
              <w:rPr>
                <w:noProof/>
              </w:rPr>
              <w:t>Unité</w:t>
            </w:r>
          </w:p>
        </w:tc>
        <w:tc>
          <w:tcPr>
            <w:tcW w:w="835" w:type="dxa"/>
            <w:tcBorders>
              <w:top w:val="single" w:sz="4" w:space="0" w:color="auto"/>
              <w:left w:val="nil"/>
              <w:bottom w:val="single" w:sz="4" w:space="0" w:color="auto"/>
              <w:right w:val="single" w:sz="4" w:space="0" w:color="auto"/>
            </w:tcBorders>
            <w:shd w:val="clear" w:color="auto" w:fill="BDD7EE"/>
            <w:hideMark/>
          </w:tcPr>
          <w:p w14:paraId="2AA4B7BB" w14:textId="77777777" w:rsidR="00553430" w:rsidRDefault="00212577">
            <w:pPr>
              <w:pStyle w:val="P68B1DB1-Normal58"/>
              <w:spacing w:after="0" w:line="276" w:lineRule="auto"/>
              <w:jc w:val="center"/>
              <w:rPr>
                <w:bCs/>
                <w:noProof/>
              </w:rPr>
            </w:pPr>
            <w:r>
              <w:rPr>
                <w:noProof/>
              </w:rPr>
              <w:t>Données de référence</w:t>
            </w:r>
          </w:p>
        </w:tc>
        <w:tc>
          <w:tcPr>
            <w:tcW w:w="709" w:type="dxa"/>
            <w:tcBorders>
              <w:top w:val="single" w:sz="4" w:space="0" w:color="auto"/>
              <w:left w:val="nil"/>
              <w:bottom w:val="single" w:sz="4" w:space="0" w:color="auto"/>
              <w:right w:val="single" w:sz="4" w:space="0" w:color="auto"/>
            </w:tcBorders>
            <w:shd w:val="clear" w:color="auto" w:fill="BDD7EE"/>
            <w:hideMark/>
          </w:tcPr>
          <w:p w14:paraId="0C293E87" w14:textId="77777777" w:rsidR="00553430" w:rsidRDefault="00212577">
            <w:pPr>
              <w:pStyle w:val="P68B1DB1-Normal58"/>
              <w:spacing w:after="0" w:line="276" w:lineRule="auto"/>
              <w:jc w:val="center"/>
              <w:rPr>
                <w:bCs/>
                <w:noProof/>
              </w:rPr>
            </w:pPr>
            <w:r>
              <w:rPr>
                <w:noProof/>
              </w:rPr>
              <w:t>Objectif</w:t>
            </w:r>
          </w:p>
        </w:tc>
        <w:tc>
          <w:tcPr>
            <w:tcW w:w="756" w:type="dxa"/>
            <w:tcBorders>
              <w:top w:val="single" w:sz="4" w:space="0" w:color="auto"/>
              <w:left w:val="nil"/>
              <w:bottom w:val="single" w:sz="4" w:space="0" w:color="auto"/>
              <w:right w:val="single" w:sz="4" w:space="0" w:color="auto"/>
            </w:tcBorders>
            <w:shd w:val="clear" w:color="auto" w:fill="BDD7EE"/>
            <w:hideMark/>
          </w:tcPr>
          <w:p w14:paraId="2550805C" w14:textId="77777777" w:rsidR="00553430" w:rsidRDefault="00212577">
            <w:pPr>
              <w:pStyle w:val="P68B1DB1-Normal58"/>
              <w:spacing w:after="0" w:line="276" w:lineRule="auto"/>
              <w:jc w:val="center"/>
              <w:rPr>
                <w:bCs/>
                <w:noProof/>
              </w:rPr>
            </w:pPr>
            <w:r>
              <w:rPr>
                <w:noProof/>
              </w:rPr>
              <w:t>Trimestre</w:t>
            </w:r>
          </w:p>
        </w:tc>
        <w:tc>
          <w:tcPr>
            <w:tcW w:w="797" w:type="dxa"/>
            <w:tcBorders>
              <w:top w:val="single" w:sz="4" w:space="0" w:color="auto"/>
              <w:left w:val="nil"/>
              <w:bottom w:val="single" w:sz="4" w:space="0" w:color="auto"/>
              <w:right w:val="single" w:sz="4" w:space="0" w:color="auto"/>
            </w:tcBorders>
            <w:shd w:val="clear" w:color="auto" w:fill="BDD7EE"/>
            <w:hideMark/>
          </w:tcPr>
          <w:p w14:paraId="1C590F8F" w14:textId="77777777" w:rsidR="00553430" w:rsidRDefault="00212577">
            <w:pPr>
              <w:pStyle w:val="P68B1DB1-Normal58"/>
              <w:spacing w:after="0" w:line="276" w:lineRule="auto"/>
              <w:jc w:val="center"/>
              <w:rPr>
                <w:bCs/>
                <w:noProof/>
              </w:rPr>
            </w:pPr>
            <w:r>
              <w:rPr>
                <w:noProof/>
              </w:rPr>
              <w:t>Année</w:t>
            </w:r>
          </w:p>
        </w:tc>
        <w:tc>
          <w:tcPr>
            <w:tcW w:w="5172" w:type="dxa"/>
            <w:vMerge/>
            <w:tcBorders>
              <w:top w:val="single" w:sz="4" w:space="0" w:color="auto"/>
              <w:bottom w:val="single" w:sz="4" w:space="0" w:color="auto"/>
              <w:right w:val="single" w:sz="4" w:space="0" w:color="auto"/>
            </w:tcBorders>
            <w:hideMark/>
          </w:tcPr>
          <w:p w14:paraId="1FB69507"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5CC807FF"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5849DE94" w14:textId="77777777" w:rsidR="00553430" w:rsidRDefault="00212577">
            <w:pPr>
              <w:pStyle w:val="P68B1DB1-Normal66"/>
              <w:spacing w:after="0" w:line="276" w:lineRule="auto"/>
              <w:jc w:val="center"/>
              <w:rPr>
                <w:noProof/>
              </w:rPr>
            </w:pPr>
            <w:r>
              <w:rPr>
                <w:noProof/>
              </w:rPr>
              <w:t>126</w:t>
            </w:r>
          </w:p>
        </w:tc>
        <w:tc>
          <w:tcPr>
            <w:tcW w:w="1080" w:type="dxa"/>
            <w:tcBorders>
              <w:top w:val="single" w:sz="4" w:space="0" w:color="auto"/>
              <w:left w:val="nil"/>
              <w:bottom w:val="single" w:sz="4" w:space="0" w:color="auto"/>
              <w:right w:val="single" w:sz="4" w:space="0" w:color="auto"/>
            </w:tcBorders>
            <w:shd w:val="clear" w:color="auto" w:fill="C6EFCE"/>
            <w:noWrap/>
          </w:tcPr>
          <w:p w14:paraId="24ECCB5A" w14:textId="77777777" w:rsidR="00553430" w:rsidRDefault="00212577">
            <w:pPr>
              <w:pStyle w:val="P68B1DB1-Normal66"/>
              <w:spacing w:after="200" w:line="276" w:lineRule="auto"/>
              <w:jc w:val="center"/>
              <w:rPr>
                <w:noProof/>
              </w:rPr>
            </w:pPr>
            <w:r>
              <w:rPr>
                <w:noProof/>
              </w:rPr>
              <w:t>C1.5. R1</w:t>
            </w:r>
          </w:p>
        </w:tc>
        <w:tc>
          <w:tcPr>
            <w:tcW w:w="1026" w:type="dxa"/>
            <w:tcBorders>
              <w:top w:val="single" w:sz="4" w:space="0" w:color="auto"/>
              <w:left w:val="nil"/>
              <w:bottom w:val="single" w:sz="4" w:space="0" w:color="auto"/>
              <w:right w:val="single" w:sz="4" w:space="0" w:color="auto"/>
            </w:tcBorders>
            <w:shd w:val="clear" w:color="auto" w:fill="C6EFCE"/>
            <w:noWrap/>
          </w:tcPr>
          <w:p w14:paraId="2B4211A4" w14:textId="77777777" w:rsidR="00553430" w:rsidRDefault="00212577">
            <w:pPr>
              <w:pStyle w:val="P68B1DB1-Normal66"/>
              <w:spacing w:after="200" w:line="276" w:lineRule="auto"/>
              <w:jc w:val="center"/>
              <w:rPr>
                <w:noProof/>
              </w:rPr>
            </w:pPr>
            <w:r>
              <w:rPr>
                <w:noProof/>
              </w:rPr>
              <w:t>M</w:t>
            </w:r>
          </w:p>
        </w:tc>
        <w:tc>
          <w:tcPr>
            <w:tcW w:w="2289" w:type="dxa"/>
            <w:tcBorders>
              <w:top w:val="single" w:sz="4" w:space="0" w:color="auto"/>
              <w:left w:val="nil"/>
              <w:bottom w:val="single" w:sz="4" w:space="0" w:color="auto"/>
              <w:right w:val="single" w:sz="4" w:space="0" w:color="auto"/>
            </w:tcBorders>
            <w:shd w:val="clear" w:color="auto" w:fill="C6EFCE"/>
            <w:noWrap/>
          </w:tcPr>
          <w:p w14:paraId="20AB812B" w14:textId="77777777" w:rsidR="00553430" w:rsidRDefault="00212577">
            <w:pPr>
              <w:pStyle w:val="P68B1DB1-Normal66"/>
              <w:spacing w:after="200" w:line="276" w:lineRule="auto"/>
              <w:rPr>
                <w:noProof/>
              </w:rPr>
            </w:pPr>
            <w:r>
              <w:rPr>
                <w:noProof/>
              </w:rPr>
              <w:t>Programme opérationnel visant à renforcer la capacité de marché du secteur des fruits et légumes pour la période 2021-2026</w:t>
            </w:r>
          </w:p>
        </w:tc>
        <w:tc>
          <w:tcPr>
            <w:tcW w:w="1942" w:type="dxa"/>
            <w:tcBorders>
              <w:top w:val="single" w:sz="4" w:space="0" w:color="auto"/>
              <w:left w:val="nil"/>
              <w:bottom w:val="single" w:sz="4" w:space="0" w:color="auto"/>
              <w:right w:val="single" w:sz="4" w:space="0" w:color="auto"/>
            </w:tcBorders>
            <w:shd w:val="clear" w:color="auto" w:fill="C6EFCE"/>
            <w:noWrap/>
          </w:tcPr>
          <w:p w14:paraId="6E871820" w14:textId="77777777" w:rsidR="00553430" w:rsidRDefault="00212577">
            <w:pPr>
              <w:pStyle w:val="P68B1DB1-Normal66"/>
              <w:spacing w:after="200" w:line="276" w:lineRule="auto"/>
              <w:rPr>
                <w:noProof/>
              </w:rPr>
            </w:pPr>
            <w:r>
              <w:rPr>
                <w:noProof/>
              </w:rPr>
              <w:t xml:space="preserve">Entrée en vigueur de la décision du </w:t>
            </w:r>
            <w:r>
              <w:rPr>
                <w:noProof/>
              </w:rPr>
              <w:t>gouvernement croate relative à l’adoption du programme opérationnel visant à renforcer la capacité de marché du secteur des fruits et légumes pour la période 2021-2026</w:t>
            </w:r>
          </w:p>
        </w:tc>
        <w:tc>
          <w:tcPr>
            <w:tcW w:w="712" w:type="dxa"/>
            <w:tcBorders>
              <w:top w:val="single" w:sz="4" w:space="0" w:color="auto"/>
              <w:left w:val="nil"/>
              <w:bottom w:val="single" w:sz="4" w:space="0" w:color="auto"/>
              <w:right w:val="single" w:sz="4" w:space="0" w:color="auto"/>
            </w:tcBorders>
            <w:shd w:val="clear" w:color="auto" w:fill="C6EFCE"/>
            <w:noWrap/>
          </w:tcPr>
          <w:p w14:paraId="4FB564BB" w14:textId="77777777" w:rsidR="00553430" w:rsidRDefault="00212577">
            <w:pPr>
              <w:pStyle w:val="P68B1DB1-Normal66"/>
              <w:spacing w:after="200" w:line="276" w:lineRule="auto"/>
              <w:jc w:val="center"/>
              <w:rPr>
                <w:noProof/>
              </w:rPr>
            </w:pPr>
            <w:r>
              <w:rPr>
                <w:noProof/>
              </w:rPr>
              <w:t> </w:t>
            </w:r>
          </w:p>
        </w:tc>
        <w:tc>
          <w:tcPr>
            <w:tcW w:w="835" w:type="dxa"/>
            <w:tcBorders>
              <w:top w:val="single" w:sz="4" w:space="0" w:color="auto"/>
              <w:left w:val="nil"/>
              <w:bottom w:val="single" w:sz="4" w:space="0" w:color="auto"/>
              <w:right w:val="single" w:sz="4" w:space="0" w:color="auto"/>
            </w:tcBorders>
            <w:shd w:val="clear" w:color="auto" w:fill="C6EFCE"/>
            <w:noWrap/>
          </w:tcPr>
          <w:p w14:paraId="7CE6435B" w14:textId="77777777" w:rsidR="00553430" w:rsidRDefault="00212577">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28B2E9B4" w14:textId="77777777" w:rsidR="00553430" w:rsidRDefault="00212577">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72BC6ABD" w14:textId="77777777" w:rsidR="00553430" w:rsidRDefault="00212577">
            <w:pPr>
              <w:pStyle w:val="P68B1DB1-Normal66"/>
              <w:spacing w:after="200" w:line="276" w:lineRule="auto"/>
              <w:jc w:val="center"/>
              <w:rPr>
                <w:noProof/>
              </w:rPr>
            </w:pPr>
            <w:r>
              <w:rPr>
                <w:noProof/>
              </w:rPr>
              <w:t>T4</w:t>
            </w:r>
          </w:p>
        </w:tc>
        <w:tc>
          <w:tcPr>
            <w:tcW w:w="797" w:type="dxa"/>
            <w:tcBorders>
              <w:top w:val="single" w:sz="4" w:space="0" w:color="auto"/>
              <w:left w:val="nil"/>
              <w:bottom w:val="single" w:sz="4" w:space="0" w:color="auto"/>
              <w:right w:val="single" w:sz="4" w:space="0" w:color="auto"/>
            </w:tcBorders>
            <w:shd w:val="clear" w:color="auto" w:fill="C6EFCE"/>
            <w:noWrap/>
          </w:tcPr>
          <w:p w14:paraId="4157D862" w14:textId="77777777" w:rsidR="00553430" w:rsidRDefault="00212577">
            <w:pPr>
              <w:pStyle w:val="P68B1DB1-Normal66"/>
              <w:spacing w:after="200" w:line="276" w:lineRule="auto"/>
              <w:jc w:val="center"/>
              <w:rPr>
                <w:noProof/>
              </w:rPr>
            </w:pPr>
            <w:r>
              <w:rPr>
                <w:noProof/>
              </w:rPr>
              <w:t>2021</w:t>
            </w:r>
          </w:p>
        </w:tc>
        <w:tc>
          <w:tcPr>
            <w:tcW w:w="5172" w:type="dxa"/>
            <w:tcBorders>
              <w:top w:val="single" w:sz="4" w:space="0" w:color="auto"/>
              <w:left w:val="nil"/>
              <w:bottom w:val="single" w:sz="4" w:space="0" w:color="auto"/>
              <w:right w:val="single" w:sz="4" w:space="0" w:color="auto"/>
            </w:tcBorders>
            <w:shd w:val="clear" w:color="auto" w:fill="C6EFCE"/>
            <w:noWrap/>
          </w:tcPr>
          <w:p w14:paraId="62150E07" w14:textId="77777777" w:rsidR="00553430" w:rsidRDefault="00212577">
            <w:pPr>
              <w:pStyle w:val="P68B1DB1-Normal66"/>
              <w:spacing w:after="200" w:line="276" w:lineRule="auto"/>
              <w:rPr>
                <w:noProof/>
              </w:rPr>
            </w:pPr>
            <w:r>
              <w:rPr>
                <w:noProof/>
              </w:rPr>
              <w:t>Afin de mettre en œuvre la mesure visant principalement à renforcer le rôl</w:t>
            </w:r>
            <w:r>
              <w:rPr>
                <w:noProof/>
              </w:rPr>
              <w:t>e et la capacité de gestion des organisations de producteurs (OP) dans la chaîne de production et de commercialisation des fruits et légumes, le programme opérationnel visant à renforcer la capacité de marché du secteur des fruits et légumes pour la périod</w:t>
            </w:r>
            <w:r>
              <w:rPr>
                <w:noProof/>
              </w:rPr>
              <w:t>e 2021-2026 est adopté par le gouvernement croate. Elle comprend la mise en œuvre des mesures suivantes: i) Construction et équipement de centres logistiques de distribution de fruits et légumes et ii) renforcement de la position et de la reconnaissance de</w:t>
            </w:r>
            <w:r>
              <w:rPr>
                <w:noProof/>
              </w:rPr>
              <w:t>s producteurs dans la chaîne d’approvisionnement en fruits et légumes.</w:t>
            </w:r>
          </w:p>
        </w:tc>
      </w:tr>
      <w:tr w:rsidR="00553430" w14:paraId="0738B676"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00E7993B" w14:textId="77777777" w:rsidR="00553430" w:rsidRDefault="00212577">
            <w:pPr>
              <w:pStyle w:val="P68B1DB1-Normal66"/>
              <w:spacing w:after="200" w:line="276" w:lineRule="auto"/>
              <w:jc w:val="center"/>
              <w:rPr>
                <w:noProof/>
              </w:rPr>
            </w:pPr>
            <w:r>
              <w:rPr>
                <w:noProof/>
              </w:rPr>
              <w:t>127</w:t>
            </w:r>
          </w:p>
        </w:tc>
        <w:tc>
          <w:tcPr>
            <w:tcW w:w="1080" w:type="dxa"/>
            <w:tcBorders>
              <w:top w:val="single" w:sz="4" w:space="0" w:color="auto"/>
              <w:left w:val="nil"/>
              <w:bottom w:val="single" w:sz="4" w:space="0" w:color="auto"/>
              <w:right w:val="single" w:sz="4" w:space="0" w:color="auto"/>
            </w:tcBorders>
            <w:shd w:val="clear" w:color="auto" w:fill="C6EFCE"/>
            <w:noWrap/>
          </w:tcPr>
          <w:p w14:paraId="4FEE2CDF" w14:textId="77777777" w:rsidR="00553430" w:rsidRDefault="00212577">
            <w:pPr>
              <w:pStyle w:val="P68B1DB1-Normal66"/>
              <w:spacing w:after="200" w:line="276" w:lineRule="auto"/>
              <w:jc w:val="center"/>
              <w:rPr>
                <w:noProof/>
              </w:rPr>
            </w:pPr>
            <w:r>
              <w:rPr>
                <w:noProof/>
              </w:rPr>
              <w:t>C1.5. R1-I1</w:t>
            </w:r>
          </w:p>
        </w:tc>
        <w:tc>
          <w:tcPr>
            <w:tcW w:w="1026" w:type="dxa"/>
            <w:tcBorders>
              <w:top w:val="single" w:sz="4" w:space="0" w:color="auto"/>
              <w:left w:val="nil"/>
              <w:bottom w:val="single" w:sz="4" w:space="0" w:color="auto"/>
              <w:right w:val="single" w:sz="4" w:space="0" w:color="auto"/>
            </w:tcBorders>
            <w:shd w:val="clear" w:color="auto" w:fill="C6EFCE"/>
            <w:noWrap/>
          </w:tcPr>
          <w:p w14:paraId="7F3C48F1" w14:textId="77777777" w:rsidR="00553430" w:rsidRDefault="00212577">
            <w:pPr>
              <w:pStyle w:val="P68B1DB1-Normal66"/>
              <w:spacing w:after="200" w:line="276" w:lineRule="auto"/>
              <w:jc w:val="center"/>
              <w:rPr>
                <w:noProof/>
              </w:rPr>
            </w:pPr>
            <w:r>
              <w:rPr>
                <w:noProof/>
              </w:rPr>
              <w:t>T</w:t>
            </w:r>
          </w:p>
        </w:tc>
        <w:tc>
          <w:tcPr>
            <w:tcW w:w="2289" w:type="dxa"/>
            <w:tcBorders>
              <w:top w:val="single" w:sz="4" w:space="0" w:color="auto"/>
              <w:left w:val="nil"/>
              <w:bottom w:val="single" w:sz="4" w:space="0" w:color="auto"/>
              <w:right w:val="single" w:sz="4" w:space="0" w:color="auto"/>
            </w:tcBorders>
            <w:shd w:val="clear" w:color="auto" w:fill="C6EFCE"/>
            <w:noWrap/>
          </w:tcPr>
          <w:p w14:paraId="46C73A5D" w14:textId="71A60F62" w:rsidR="00553430" w:rsidRDefault="00212577">
            <w:pPr>
              <w:pStyle w:val="P68B1DB1-Normal66"/>
              <w:spacing w:after="200" w:line="276" w:lineRule="auto"/>
              <w:rPr>
                <w:noProof/>
              </w:rPr>
            </w:pPr>
            <w:r>
              <w:rPr>
                <w:noProof/>
              </w:rPr>
              <w:t xml:space="preserve">Un centre de distribution logistique (LDC) construit et opérationnel </w:t>
            </w:r>
          </w:p>
        </w:tc>
        <w:tc>
          <w:tcPr>
            <w:tcW w:w="1942" w:type="dxa"/>
            <w:tcBorders>
              <w:top w:val="single" w:sz="4" w:space="0" w:color="auto"/>
              <w:left w:val="nil"/>
              <w:bottom w:val="single" w:sz="4" w:space="0" w:color="auto"/>
              <w:right w:val="single" w:sz="4" w:space="0" w:color="auto"/>
            </w:tcBorders>
            <w:shd w:val="clear" w:color="auto" w:fill="C6EFCE"/>
            <w:noWrap/>
          </w:tcPr>
          <w:p w14:paraId="6416E284" w14:textId="77777777" w:rsidR="00553430" w:rsidRDefault="00212577">
            <w:pPr>
              <w:pStyle w:val="P68B1DB1-Normal66"/>
              <w:spacing w:after="200" w:line="276" w:lineRule="auto"/>
              <w:rPr>
                <w:noProof/>
              </w:rPr>
            </w:pPr>
            <w:r>
              <w:rPr>
                <w:noProof/>
              </w:rPr>
              <w:t xml:space="preserve"> </w:t>
            </w:r>
          </w:p>
        </w:tc>
        <w:tc>
          <w:tcPr>
            <w:tcW w:w="712" w:type="dxa"/>
            <w:tcBorders>
              <w:top w:val="single" w:sz="4" w:space="0" w:color="auto"/>
              <w:left w:val="nil"/>
              <w:bottom w:val="single" w:sz="4" w:space="0" w:color="auto"/>
              <w:right w:val="single" w:sz="4" w:space="0" w:color="auto"/>
            </w:tcBorders>
            <w:shd w:val="clear" w:color="auto" w:fill="C6EFCE"/>
            <w:noWrap/>
          </w:tcPr>
          <w:p w14:paraId="5CFCCEE6" w14:textId="77777777" w:rsidR="00553430" w:rsidRDefault="00212577">
            <w:pPr>
              <w:pStyle w:val="P68B1DB1-Normal66"/>
              <w:spacing w:after="200" w:line="276" w:lineRule="auto"/>
              <w:jc w:val="center"/>
              <w:rPr>
                <w:noProof/>
              </w:rPr>
            </w:pPr>
            <w:r>
              <w:rPr>
                <w:noProof/>
              </w:rPr>
              <w:t>Numéro</w:t>
            </w:r>
          </w:p>
        </w:tc>
        <w:tc>
          <w:tcPr>
            <w:tcW w:w="835" w:type="dxa"/>
            <w:tcBorders>
              <w:top w:val="single" w:sz="4" w:space="0" w:color="auto"/>
              <w:left w:val="nil"/>
              <w:bottom w:val="single" w:sz="4" w:space="0" w:color="auto"/>
              <w:right w:val="single" w:sz="4" w:space="0" w:color="auto"/>
            </w:tcBorders>
            <w:shd w:val="clear" w:color="auto" w:fill="C6EFCE"/>
            <w:noWrap/>
          </w:tcPr>
          <w:p w14:paraId="699A2B70" w14:textId="77777777" w:rsidR="00553430" w:rsidRDefault="00212577">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5A815861" w14:textId="77777777" w:rsidR="00553430" w:rsidRDefault="00212577">
            <w:pPr>
              <w:pStyle w:val="P68B1DB1-Normal66"/>
              <w:spacing w:after="200" w:line="276" w:lineRule="auto"/>
              <w:jc w:val="center"/>
              <w:rPr>
                <w:noProof/>
              </w:rPr>
            </w:pPr>
            <w:r>
              <w:rPr>
                <w:noProof/>
              </w:rPr>
              <w:t>1</w:t>
            </w:r>
          </w:p>
        </w:tc>
        <w:tc>
          <w:tcPr>
            <w:tcW w:w="756" w:type="dxa"/>
            <w:tcBorders>
              <w:top w:val="single" w:sz="4" w:space="0" w:color="auto"/>
              <w:left w:val="nil"/>
              <w:bottom w:val="single" w:sz="4" w:space="0" w:color="auto"/>
              <w:right w:val="single" w:sz="4" w:space="0" w:color="auto"/>
            </w:tcBorders>
            <w:shd w:val="clear" w:color="auto" w:fill="C6EFCE"/>
            <w:noWrap/>
          </w:tcPr>
          <w:p w14:paraId="2F286246" w14:textId="77777777" w:rsidR="00553430" w:rsidRDefault="00212577">
            <w:pPr>
              <w:pStyle w:val="P68B1DB1-Normal66"/>
              <w:spacing w:after="200" w:line="276" w:lineRule="auto"/>
              <w:jc w:val="center"/>
              <w:rPr>
                <w:noProof/>
              </w:rPr>
            </w:pPr>
            <w:r>
              <w:rPr>
                <w:noProof/>
              </w:rPr>
              <w:t>T4</w:t>
            </w:r>
          </w:p>
        </w:tc>
        <w:tc>
          <w:tcPr>
            <w:tcW w:w="797" w:type="dxa"/>
            <w:tcBorders>
              <w:top w:val="single" w:sz="4" w:space="0" w:color="auto"/>
              <w:left w:val="nil"/>
              <w:bottom w:val="single" w:sz="4" w:space="0" w:color="auto"/>
              <w:right w:val="single" w:sz="4" w:space="0" w:color="auto"/>
            </w:tcBorders>
            <w:shd w:val="clear" w:color="auto" w:fill="C6EFCE"/>
            <w:noWrap/>
          </w:tcPr>
          <w:p w14:paraId="3B4ED386" w14:textId="77777777" w:rsidR="00553430" w:rsidRDefault="00212577">
            <w:pPr>
              <w:pStyle w:val="P68B1DB1-Normal66"/>
              <w:spacing w:after="200" w:line="276" w:lineRule="auto"/>
              <w:jc w:val="center"/>
              <w:rPr>
                <w:noProof/>
              </w:rPr>
            </w:pPr>
            <w:r>
              <w:rPr>
                <w:noProof/>
              </w:rPr>
              <w:t>2023</w:t>
            </w:r>
          </w:p>
        </w:tc>
        <w:tc>
          <w:tcPr>
            <w:tcW w:w="5172" w:type="dxa"/>
            <w:tcBorders>
              <w:top w:val="single" w:sz="4" w:space="0" w:color="auto"/>
              <w:left w:val="nil"/>
              <w:bottom w:val="single" w:sz="4" w:space="0" w:color="auto"/>
              <w:right w:val="single" w:sz="4" w:space="0" w:color="auto"/>
            </w:tcBorders>
            <w:shd w:val="clear" w:color="auto" w:fill="C6EFCE"/>
            <w:noWrap/>
          </w:tcPr>
          <w:p w14:paraId="5A158914" w14:textId="77777777" w:rsidR="00553430" w:rsidRDefault="00212577">
            <w:pPr>
              <w:pStyle w:val="P68B1DB1-Normal66"/>
              <w:spacing w:after="200" w:line="276" w:lineRule="auto"/>
              <w:rPr>
                <w:noProof/>
              </w:rPr>
            </w:pPr>
            <w:r>
              <w:rPr>
                <w:noProof/>
              </w:rPr>
              <w:t>Le centre de distribution logistique (CDL) construit comprend une partie de</w:t>
            </w:r>
            <w:r>
              <w:rPr>
                <w:noProof/>
              </w:rPr>
              <w:t xml:space="preserve"> rénovation destinée à la réception du produit, au nettoyage, au lavage, au tri et à l’emballage, ainsi qu’une partie de stockage d’une capacité de réception et de stockage appropriée sous refroidissement et stockage à long terme et un certain niveau de tr</w:t>
            </w:r>
            <w:r>
              <w:rPr>
                <w:noProof/>
              </w:rPr>
              <w:t>ansformation du produit. La transformation primaire des fruits et légumes est prévue pour utiliser des produits de qualité non normalisée et éviter ainsi le gaspillage alimentaire (déchets). La capacité de stockage du PMA est d'au moins 3 000 tonnes jusqu'</w:t>
            </w:r>
            <w:r>
              <w:rPr>
                <w:noProof/>
              </w:rPr>
              <w:t>à un maximum de 12 000 tonnes. La mesure concerne la construction d’un nouveau bâtiment dont la demande d’énergie primaire (DEP) est inférieure d’au moins 20 % à celle du bâtiment dont la consommation d’énergie est quasi nulle (NZEB).</w:t>
            </w:r>
          </w:p>
        </w:tc>
      </w:tr>
      <w:tr w:rsidR="00553430" w14:paraId="16CA2EE3" w14:textId="77777777">
        <w:tc>
          <w:tcPr>
            <w:tcW w:w="872" w:type="dxa"/>
            <w:tcBorders>
              <w:top w:val="nil"/>
              <w:left w:val="single" w:sz="4" w:space="0" w:color="auto"/>
              <w:bottom w:val="single" w:sz="4" w:space="0" w:color="auto"/>
              <w:right w:val="single" w:sz="4" w:space="0" w:color="auto"/>
            </w:tcBorders>
            <w:shd w:val="clear" w:color="auto" w:fill="C6EFCE"/>
            <w:noWrap/>
          </w:tcPr>
          <w:p w14:paraId="25BC7974" w14:textId="77777777" w:rsidR="00553430" w:rsidRDefault="00212577">
            <w:pPr>
              <w:pStyle w:val="P68B1DB1-Normal66"/>
              <w:spacing w:after="200" w:line="276" w:lineRule="auto"/>
              <w:jc w:val="center"/>
              <w:rPr>
                <w:noProof/>
              </w:rPr>
            </w:pPr>
            <w:r>
              <w:rPr>
                <w:noProof/>
              </w:rPr>
              <w:t>128</w:t>
            </w:r>
          </w:p>
        </w:tc>
        <w:tc>
          <w:tcPr>
            <w:tcW w:w="1080" w:type="dxa"/>
            <w:tcBorders>
              <w:top w:val="nil"/>
              <w:left w:val="nil"/>
              <w:bottom w:val="single" w:sz="4" w:space="0" w:color="auto"/>
              <w:right w:val="single" w:sz="4" w:space="0" w:color="auto"/>
            </w:tcBorders>
            <w:shd w:val="clear" w:color="auto" w:fill="C6EFCE"/>
            <w:noWrap/>
          </w:tcPr>
          <w:p w14:paraId="4A8C0D8A" w14:textId="77777777" w:rsidR="00553430" w:rsidRDefault="00212577">
            <w:pPr>
              <w:pStyle w:val="P68B1DB1-Normal66"/>
              <w:spacing w:after="200" w:line="276" w:lineRule="auto"/>
              <w:jc w:val="center"/>
              <w:rPr>
                <w:noProof/>
              </w:rPr>
            </w:pPr>
            <w:r>
              <w:rPr>
                <w:noProof/>
              </w:rPr>
              <w:t>C1.5. R1-I1</w:t>
            </w:r>
          </w:p>
        </w:tc>
        <w:tc>
          <w:tcPr>
            <w:tcW w:w="1026" w:type="dxa"/>
            <w:tcBorders>
              <w:top w:val="nil"/>
              <w:left w:val="nil"/>
              <w:bottom w:val="single" w:sz="4" w:space="0" w:color="auto"/>
              <w:right w:val="single" w:sz="4" w:space="0" w:color="auto"/>
            </w:tcBorders>
            <w:shd w:val="clear" w:color="auto" w:fill="C6EFCE"/>
            <w:noWrap/>
          </w:tcPr>
          <w:p w14:paraId="79F03C06" w14:textId="77777777" w:rsidR="00553430" w:rsidRDefault="00212577">
            <w:pPr>
              <w:pStyle w:val="P68B1DB1-Normal66"/>
              <w:spacing w:after="200" w:line="276" w:lineRule="auto"/>
              <w:jc w:val="center"/>
              <w:rPr>
                <w:noProof/>
              </w:rPr>
            </w:pPr>
            <w:r>
              <w:rPr>
                <w:noProof/>
              </w:rPr>
              <w:t>T</w:t>
            </w:r>
          </w:p>
        </w:tc>
        <w:tc>
          <w:tcPr>
            <w:tcW w:w="2289" w:type="dxa"/>
            <w:tcBorders>
              <w:top w:val="nil"/>
              <w:left w:val="nil"/>
              <w:bottom w:val="single" w:sz="4" w:space="0" w:color="auto"/>
              <w:right w:val="single" w:sz="4" w:space="0" w:color="auto"/>
            </w:tcBorders>
            <w:shd w:val="clear" w:color="auto" w:fill="C6EFCE"/>
            <w:noWrap/>
          </w:tcPr>
          <w:p w14:paraId="103BAAAB" w14:textId="3327BF0D" w:rsidR="00553430" w:rsidRDefault="00212577">
            <w:pPr>
              <w:pStyle w:val="P68B1DB1-Normal66"/>
              <w:spacing w:after="200" w:line="276" w:lineRule="auto"/>
              <w:rPr>
                <w:noProof/>
              </w:rPr>
            </w:pPr>
            <w:r>
              <w:rPr>
                <w:noProof/>
              </w:rPr>
              <w:t xml:space="preserve">Construction d'au moins deux centres de distribution logistique </w:t>
            </w:r>
          </w:p>
        </w:tc>
        <w:tc>
          <w:tcPr>
            <w:tcW w:w="1942" w:type="dxa"/>
            <w:tcBorders>
              <w:top w:val="nil"/>
              <w:left w:val="nil"/>
              <w:bottom w:val="single" w:sz="4" w:space="0" w:color="auto"/>
              <w:right w:val="single" w:sz="4" w:space="0" w:color="auto"/>
            </w:tcBorders>
            <w:shd w:val="clear" w:color="auto" w:fill="C6EFCE"/>
            <w:noWrap/>
          </w:tcPr>
          <w:p w14:paraId="5C0F1898" w14:textId="77777777" w:rsidR="00553430" w:rsidRDefault="00212577">
            <w:pPr>
              <w:pStyle w:val="P68B1DB1-Normal66"/>
              <w:spacing w:after="200" w:line="276" w:lineRule="auto"/>
              <w:rPr>
                <w:noProof/>
              </w:rPr>
            </w:pPr>
            <w:r>
              <w:rPr>
                <w:noProof/>
              </w:rPr>
              <w:t xml:space="preserve"> </w:t>
            </w:r>
          </w:p>
        </w:tc>
        <w:tc>
          <w:tcPr>
            <w:tcW w:w="712" w:type="dxa"/>
            <w:tcBorders>
              <w:top w:val="nil"/>
              <w:left w:val="nil"/>
              <w:bottom w:val="single" w:sz="4" w:space="0" w:color="auto"/>
              <w:right w:val="single" w:sz="4" w:space="0" w:color="auto"/>
            </w:tcBorders>
            <w:shd w:val="clear" w:color="auto" w:fill="C6EFCE"/>
            <w:noWrap/>
          </w:tcPr>
          <w:p w14:paraId="4A2F5B15" w14:textId="77777777" w:rsidR="00553430" w:rsidRDefault="00212577">
            <w:pPr>
              <w:pStyle w:val="P68B1DB1-Normal66"/>
              <w:spacing w:after="200" w:line="276" w:lineRule="auto"/>
              <w:jc w:val="center"/>
              <w:rPr>
                <w:noProof/>
              </w:rPr>
            </w:pPr>
            <w:r>
              <w:rPr>
                <w:noProof/>
              </w:rPr>
              <w:t>Numéro</w:t>
            </w:r>
          </w:p>
        </w:tc>
        <w:tc>
          <w:tcPr>
            <w:tcW w:w="835" w:type="dxa"/>
            <w:tcBorders>
              <w:top w:val="nil"/>
              <w:left w:val="nil"/>
              <w:bottom w:val="single" w:sz="4" w:space="0" w:color="auto"/>
              <w:right w:val="single" w:sz="4" w:space="0" w:color="auto"/>
            </w:tcBorders>
            <w:shd w:val="clear" w:color="auto" w:fill="C6EFCE"/>
            <w:noWrap/>
          </w:tcPr>
          <w:p w14:paraId="15C602A2" w14:textId="77777777" w:rsidR="00553430" w:rsidRDefault="00212577">
            <w:pPr>
              <w:pStyle w:val="P68B1DB1-Normal66"/>
              <w:spacing w:after="200" w:line="276" w:lineRule="auto"/>
              <w:jc w:val="center"/>
              <w:rPr>
                <w:noProof/>
              </w:rPr>
            </w:pPr>
            <w:r>
              <w:rPr>
                <w:noProof/>
              </w:rPr>
              <w:t>1</w:t>
            </w:r>
          </w:p>
        </w:tc>
        <w:tc>
          <w:tcPr>
            <w:tcW w:w="709" w:type="dxa"/>
            <w:tcBorders>
              <w:top w:val="nil"/>
              <w:left w:val="nil"/>
              <w:bottom w:val="single" w:sz="4" w:space="0" w:color="auto"/>
              <w:right w:val="single" w:sz="4" w:space="0" w:color="auto"/>
            </w:tcBorders>
            <w:shd w:val="clear" w:color="auto" w:fill="C6EFCE"/>
            <w:noWrap/>
          </w:tcPr>
          <w:p w14:paraId="685FB7B2" w14:textId="77777777" w:rsidR="00553430" w:rsidRDefault="00212577">
            <w:pPr>
              <w:pStyle w:val="P68B1DB1-Normal66"/>
              <w:spacing w:after="200" w:line="276" w:lineRule="auto"/>
              <w:jc w:val="center"/>
              <w:rPr>
                <w:noProof/>
              </w:rPr>
            </w:pPr>
            <w:r>
              <w:rPr>
                <w:noProof/>
              </w:rPr>
              <w:t>3</w:t>
            </w:r>
          </w:p>
        </w:tc>
        <w:tc>
          <w:tcPr>
            <w:tcW w:w="756" w:type="dxa"/>
            <w:tcBorders>
              <w:top w:val="nil"/>
              <w:left w:val="nil"/>
              <w:bottom w:val="single" w:sz="4" w:space="0" w:color="auto"/>
              <w:right w:val="single" w:sz="4" w:space="0" w:color="auto"/>
            </w:tcBorders>
            <w:shd w:val="clear" w:color="auto" w:fill="C6EFCE"/>
            <w:noWrap/>
          </w:tcPr>
          <w:p w14:paraId="3B17265E" w14:textId="77777777" w:rsidR="00553430" w:rsidRDefault="00212577">
            <w:pPr>
              <w:pStyle w:val="P68B1DB1-Normal66"/>
              <w:spacing w:after="200" w:line="276" w:lineRule="auto"/>
              <w:jc w:val="center"/>
              <w:rPr>
                <w:noProof/>
              </w:rPr>
            </w:pPr>
            <w:r>
              <w:rPr>
                <w:noProof/>
              </w:rPr>
              <w:t>T1</w:t>
            </w:r>
          </w:p>
        </w:tc>
        <w:tc>
          <w:tcPr>
            <w:tcW w:w="797" w:type="dxa"/>
            <w:tcBorders>
              <w:top w:val="nil"/>
              <w:left w:val="nil"/>
              <w:bottom w:val="single" w:sz="4" w:space="0" w:color="auto"/>
              <w:right w:val="single" w:sz="4" w:space="0" w:color="auto"/>
            </w:tcBorders>
            <w:shd w:val="clear" w:color="auto" w:fill="C6EFCE"/>
            <w:noWrap/>
          </w:tcPr>
          <w:p w14:paraId="0227C3E9" w14:textId="77777777" w:rsidR="00553430" w:rsidRDefault="00212577">
            <w:pPr>
              <w:pStyle w:val="P68B1DB1-Normal66"/>
              <w:spacing w:after="200" w:line="276" w:lineRule="auto"/>
              <w:jc w:val="center"/>
              <w:rPr>
                <w:noProof/>
              </w:rPr>
            </w:pPr>
            <w:r>
              <w:rPr>
                <w:noProof/>
              </w:rPr>
              <w:t>2026</w:t>
            </w:r>
          </w:p>
        </w:tc>
        <w:tc>
          <w:tcPr>
            <w:tcW w:w="5172" w:type="dxa"/>
            <w:tcBorders>
              <w:top w:val="nil"/>
              <w:left w:val="nil"/>
              <w:bottom w:val="single" w:sz="4" w:space="0" w:color="auto"/>
              <w:right w:val="single" w:sz="4" w:space="0" w:color="auto"/>
            </w:tcBorders>
            <w:shd w:val="clear" w:color="auto" w:fill="C6EFCE"/>
            <w:noWrap/>
          </w:tcPr>
          <w:p w14:paraId="4A937A5D" w14:textId="4CF016CB" w:rsidR="00553430" w:rsidRDefault="00212577">
            <w:pPr>
              <w:spacing w:after="200" w:line="276" w:lineRule="auto"/>
              <w:rPr>
                <w:rFonts w:ascii="Times New Roman" w:eastAsia="Calibri" w:hAnsi="Times New Roman" w:cs="Times New Roman"/>
                <w:noProof/>
                <w:sz w:val="20"/>
                <w:szCs w:val="20"/>
              </w:rPr>
            </w:pPr>
            <w:r>
              <w:rPr>
                <w:rFonts w:ascii="Times New Roman" w:eastAsia="Calibri" w:hAnsi="Times New Roman" w:cs="Times New Roman"/>
                <w:noProof/>
                <w:color w:val="000000"/>
                <w:sz w:val="20"/>
                <w:szCs w:val="20"/>
              </w:rPr>
              <w:t>Au moins deux centres de distribution logistique (CDL) doivent être construits, chacun ayant une capacité de stockage d'au moins 3 000 tonnes.</w:t>
            </w:r>
            <w:r>
              <w:rPr>
                <w:rFonts w:ascii="Times New Roman" w:hAnsi="Times New Roman" w:cs="Times New Roman"/>
                <w:noProof/>
              </w:rPr>
              <w:t xml:space="preserve"> </w:t>
            </w:r>
            <w:r>
              <w:rPr>
                <w:rFonts w:ascii="Times New Roman" w:eastAsia="Calibri" w:hAnsi="Times New Roman" w:cs="Times New Roman"/>
                <w:noProof/>
                <w:color w:val="000000"/>
                <w:sz w:val="20"/>
                <w:szCs w:val="20"/>
              </w:rPr>
              <w:t>La mesure concerne la const</w:t>
            </w:r>
            <w:r>
              <w:rPr>
                <w:rFonts w:ascii="Times New Roman" w:eastAsia="Calibri" w:hAnsi="Times New Roman" w:cs="Times New Roman"/>
                <w:noProof/>
                <w:color w:val="000000"/>
                <w:sz w:val="20"/>
                <w:szCs w:val="20"/>
              </w:rPr>
              <w:t>ruction de nouveaux bâtiments dont la demande d’énergie primaire est inférieure d’au moins 20 % à la moyenne des seuils de consommation d’énergie quasi nulle des bâtiments non résidentiels et utilisant des sources d’énergie renouvelables.</w:t>
            </w:r>
          </w:p>
        </w:tc>
      </w:tr>
      <w:tr w:rsidR="00553430" w14:paraId="0D1AA321"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65757090" w14:textId="77777777" w:rsidR="00553430" w:rsidRDefault="00212577">
            <w:pPr>
              <w:pStyle w:val="P68B1DB1-Normal66"/>
              <w:spacing w:after="200" w:line="276" w:lineRule="auto"/>
              <w:jc w:val="center"/>
              <w:rPr>
                <w:noProof/>
              </w:rPr>
            </w:pPr>
            <w:r>
              <w:rPr>
                <w:noProof/>
              </w:rPr>
              <w:t>129</w:t>
            </w:r>
          </w:p>
        </w:tc>
        <w:tc>
          <w:tcPr>
            <w:tcW w:w="1080" w:type="dxa"/>
            <w:tcBorders>
              <w:top w:val="single" w:sz="4" w:space="0" w:color="auto"/>
              <w:left w:val="nil"/>
              <w:bottom w:val="single" w:sz="4" w:space="0" w:color="auto"/>
              <w:right w:val="single" w:sz="4" w:space="0" w:color="auto"/>
            </w:tcBorders>
            <w:shd w:val="clear" w:color="auto" w:fill="C6EFCE"/>
            <w:noWrap/>
          </w:tcPr>
          <w:p w14:paraId="656C23B2" w14:textId="77777777" w:rsidR="00553430" w:rsidRDefault="00212577">
            <w:pPr>
              <w:pStyle w:val="P68B1DB1-Normal66"/>
              <w:spacing w:after="200" w:line="276" w:lineRule="auto"/>
              <w:jc w:val="center"/>
              <w:rPr>
                <w:noProof/>
              </w:rPr>
            </w:pPr>
            <w:r>
              <w:rPr>
                <w:noProof/>
              </w:rPr>
              <w:t>C1.5. R1-I2</w:t>
            </w:r>
          </w:p>
        </w:tc>
        <w:tc>
          <w:tcPr>
            <w:tcW w:w="1026" w:type="dxa"/>
            <w:tcBorders>
              <w:top w:val="single" w:sz="4" w:space="0" w:color="auto"/>
              <w:left w:val="nil"/>
              <w:bottom w:val="single" w:sz="4" w:space="0" w:color="auto"/>
              <w:right w:val="single" w:sz="4" w:space="0" w:color="auto"/>
            </w:tcBorders>
            <w:shd w:val="clear" w:color="auto" w:fill="C6EFCE"/>
            <w:noWrap/>
          </w:tcPr>
          <w:p w14:paraId="00A24646" w14:textId="77777777" w:rsidR="00553430" w:rsidRDefault="00212577">
            <w:pPr>
              <w:pStyle w:val="P68B1DB1-Normal66"/>
              <w:spacing w:after="200" w:line="276" w:lineRule="auto"/>
              <w:jc w:val="center"/>
              <w:rPr>
                <w:noProof/>
              </w:rPr>
            </w:pPr>
            <w:r>
              <w:rPr>
                <w:noProof/>
              </w:rPr>
              <w:t>T</w:t>
            </w:r>
          </w:p>
        </w:tc>
        <w:tc>
          <w:tcPr>
            <w:tcW w:w="2289" w:type="dxa"/>
            <w:tcBorders>
              <w:top w:val="single" w:sz="4" w:space="0" w:color="auto"/>
              <w:left w:val="nil"/>
              <w:bottom w:val="single" w:sz="4" w:space="0" w:color="auto"/>
              <w:right w:val="single" w:sz="4" w:space="0" w:color="auto"/>
            </w:tcBorders>
            <w:shd w:val="clear" w:color="auto" w:fill="C6EFCE"/>
            <w:noWrap/>
          </w:tcPr>
          <w:p w14:paraId="6C6EA067" w14:textId="77777777" w:rsidR="00553430" w:rsidRDefault="00212577">
            <w:pPr>
              <w:pStyle w:val="P68B1DB1-Normal66"/>
              <w:spacing w:after="200" w:line="276" w:lineRule="auto"/>
              <w:rPr>
                <w:noProof/>
              </w:rPr>
            </w:pPr>
            <w:r>
              <w:rPr>
                <w:noProof/>
              </w:rPr>
              <w:t>Formation des organisations de producteurs</w:t>
            </w:r>
          </w:p>
        </w:tc>
        <w:tc>
          <w:tcPr>
            <w:tcW w:w="1942" w:type="dxa"/>
            <w:tcBorders>
              <w:top w:val="single" w:sz="4" w:space="0" w:color="auto"/>
              <w:left w:val="nil"/>
              <w:bottom w:val="single" w:sz="4" w:space="0" w:color="auto"/>
              <w:right w:val="single" w:sz="4" w:space="0" w:color="auto"/>
            </w:tcBorders>
            <w:shd w:val="clear" w:color="auto" w:fill="C6EFCE"/>
            <w:noWrap/>
          </w:tcPr>
          <w:p w14:paraId="6B0C795E" w14:textId="77777777" w:rsidR="00553430" w:rsidRDefault="00212577">
            <w:pPr>
              <w:pStyle w:val="P68B1DB1-Normal66"/>
              <w:spacing w:after="200" w:line="276" w:lineRule="auto"/>
              <w:rPr>
                <w:noProof/>
              </w:rPr>
            </w:pPr>
            <w:r>
              <w:rPr>
                <w:noProof/>
              </w:rPr>
              <w:t xml:space="preserve"> </w:t>
            </w:r>
          </w:p>
        </w:tc>
        <w:tc>
          <w:tcPr>
            <w:tcW w:w="712" w:type="dxa"/>
            <w:tcBorders>
              <w:top w:val="single" w:sz="4" w:space="0" w:color="auto"/>
              <w:left w:val="nil"/>
              <w:bottom w:val="single" w:sz="4" w:space="0" w:color="auto"/>
              <w:right w:val="single" w:sz="4" w:space="0" w:color="auto"/>
            </w:tcBorders>
            <w:shd w:val="clear" w:color="auto" w:fill="C6EFCE"/>
            <w:noWrap/>
          </w:tcPr>
          <w:p w14:paraId="5898EA62" w14:textId="77777777" w:rsidR="00553430" w:rsidRDefault="00212577">
            <w:pPr>
              <w:pStyle w:val="P68B1DB1-Normal66"/>
              <w:spacing w:after="200" w:line="276" w:lineRule="auto"/>
              <w:jc w:val="center"/>
              <w:rPr>
                <w:noProof/>
              </w:rPr>
            </w:pPr>
            <w:r>
              <w:rPr>
                <w:noProof/>
              </w:rPr>
              <w:t>Numéro</w:t>
            </w:r>
          </w:p>
        </w:tc>
        <w:tc>
          <w:tcPr>
            <w:tcW w:w="835" w:type="dxa"/>
            <w:tcBorders>
              <w:top w:val="single" w:sz="4" w:space="0" w:color="auto"/>
              <w:left w:val="nil"/>
              <w:bottom w:val="single" w:sz="4" w:space="0" w:color="auto"/>
              <w:right w:val="single" w:sz="4" w:space="0" w:color="auto"/>
            </w:tcBorders>
            <w:shd w:val="clear" w:color="auto" w:fill="C6EFCE"/>
            <w:noWrap/>
          </w:tcPr>
          <w:p w14:paraId="7D648658" w14:textId="77777777" w:rsidR="00553430" w:rsidRDefault="00212577">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1482C885" w14:textId="77777777" w:rsidR="00553430" w:rsidRDefault="00212577">
            <w:pPr>
              <w:pStyle w:val="P68B1DB1-Normal66"/>
              <w:spacing w:after="200" w:line="276" w:lineRule="auto"/>
              <w:jc w:val="center"/>
              <w:rPr>
                <w:noProof/>
              </w:rPr>
            </w:pPr>
            <w:r>
              <w:rPr>
                <w:noProof/>
              </w:rPr>
              <w:t>3</w:t>
            </w:r>
          </w:p>
        </w:tc>
        <w:tc>
          <w:tcPr>
            <w:tcW w:w="756" w:type="dxa"/>
            <w:tcBorders>
              <w:top w:val="single" w:sz="4" w:space="0" w:color="auto"/>
              <w:left w:val="nil"/>
              <w:bottom w:val="single" w:sz="4" w:space="0" w:color="auto"/>
              <w:right w:val="single" w:sz="4" w:space="0" w:color="auto"/>
            </w:tcBorders>
            <w:shd w:val="clear" w:color="auto" w:fill="C6EFCE"/>
            <w:noWrap/>
          </w:tcPr>
          <w:p w14:paraId="7853552E" w14:textId="77777777" w:rsidR="00553430" w:rsidRDefault="00212577">
            <w:pPr>
              <w:pStyle w:val="P68B1DB1-Normal66"/>
              <w:spacing w:after="200" w:line="276" w:lineRule="auto"/>
              <w:jc w:val="center"/>
              <w:rPr>
                <w:noProof/>
              </w:rPr>
            </w:pPr>
            <w:r>
              <w:rPr>
                <w:noProof/>
              </w:rPr>
              <w:t>T2</w:t>
            </w:r>
          </w:p>
        </w:tc>
        <w:tc>
          <w:tcPr>
            <w:tcW w:w="797" w:type="dxa"/>
            <w:tcBorders>
              <w:top w:val="single" w:sz="4" w:space="0" w:color="auto"/>
              <w:left w:val="nil"/>
              <w:bottom w:val="single" w:sz="4" w:space="0" w:color="auto"/>
              <w:right w:val="single" w:sz="4" w:space="0" w:color="auto"/>
            </w:tcBorders>
            <w:shd w:val="clear" w:color="auto" w:fill="C6EFCE"/>
            <w:noWrap/>
          </w:tcPr>
          <w:p w14:paraId="2FF7AEC3" w14:textId="77777777" w:rsidR="00553430" w:rsidRDefault="00212577">
            <w:pPr>
              <w:pStyle w:val="P68B1DB1-Normal66"/>
              <w:spacing w:after="200" w:line="276" w:lineRule="auto"/>
              <w:jc w:val="center"/>
              <w:rPr>
                <w:noProof/>
              </w:rPr>
            </w:pPr>
            <w:r>
              <w:rPr>
                <w:noProof/>
              </w:rPr>
              <w:t>2026</w:t>
            </w:r>
          </w:p>
        </w:tc>
        <w:tc>
          <w:tcPr>
            <w:tcW w:w="5172" w:type="dxa"/>
            <w:tcBorders>
              <w:top w:val="single" w:sz="4" w:space="0" w:color="auto"/>
              <w:left w:val="nil"/>
              <w:bottom w:val="single" w:sz="4" w:space="0" w:color="auto"/>
              <w:right w:val="single" w:sz="4" w:space="0" w:color="auto"/>
            </w:tcBorders>
            <w:shd w:val="clear" w:color="auto" w:fill="C6EFCE"/>
            <w:noWrap/>
          </w:tcPr>
          <w:p w14:paraId="4BF83BCA" w14:textId="29B1070F" w:rsidR="00553430" w:rsidRDefault="00212577">
            <w:pPr>
              <w:pStyle w:val="P68B1DB1-Normal66"/>
              <w:spacing w:after="200" w:line="276" w:lineRule="auto"/>
              <w:rPr>
                <w:noProof/>
              </w:rPr>
            </w:pPr>
            <w:r>
              <w:rPr>
                <w:noProof/>
              </w:rPr>
              <w:t xml:space="preserve">Au moins trois organisations de producteurs (OP) liées aux centres de distribution logistique ont participé à des formations dans le domaine de la gestion et du financement des organisations de producteurs, auxquelles ont participé au moins 15 personnes. </w:t>
            </w:r>
          </w:p>
        </w:tc>
      </w:tr>
      <w:tr w:rsidR="00553430" w14:paraId="2FAFEF37" w14:textId="77777777">
        <w:tc>
          <w:tcPr>
            <w:tcW w:w="872" w:type="dxa"/>
            <w:tcBorders>
              <w:top w:val="nil"/>
              <w:left w:val="single" w:sz="4" w:space="0" w:color="auto"/>
              <w:bottom w:val="single" w:sz="4" w:space="0" w:color="auto"/>
              <w:right w:val="single" w:sz="4" w:space="0" w:color="auto"/>
            </w:tcBorders>
            <w:shd w:val="clear" w:color="auto" w:fill="C6EFCE"/>
            <w:noWrap/>
          </w:tcPr>
          <w:p w14:paraId="51F0EE4C" w14:textId="77777777" w:rsidR="00553430" w:rsidRDefault="00212577">
            <w:pPr>
              <w:pStyle w:val="P68B1DB1-Normal66"/>
              <w:spacing w:after="200" w:line="276" w:lineRule="auto"/>
              <w:jc w:val="center"/>
              <w:rPr>
                <w:noProof/>
              </w:rPr>
            </w:pPr>
            <w:r>
              <w:rPr>
                <w:noProof/>
              </w:rPr>
              <w:t>130</w:t>
            </w:r>
          </w:p>
        </w:tc>
        <w:tc>
          <w:tcPr>
            <w:tcW w:w="1080" w:type="dxa"/>
            <w:tcBorders>
              <w:top w:val="nil"/>
              <w:left w:val="nil"/>
              <w:bottom w:val="single" w:sz="4" w:space="0" w:color="auto"/>
              <w:right w:val="single" w:sz="4" w:space="0" w:color="auto"/>
            </w:tcBorders>
            <w:shd w:val="clear" w:color="auto" w:fill="C6EFCE"/>
            <w:noWrap/>
          </w:tcPr>
          <w:p w14:paraId="22F2B420" w14:textId="77777777" w:rsidR="00553430" w:rsidRDefault="00212577">
            <w:pPr>
              <w:pStyle w:val="P68B1DB1-Normal66"/>
              <w:spacing w:after="200" w:line="276" w:lineRule="auto"/>
              <w:jc w:val="center"/>
              <w:rPr>
                <w:noProof/>
              </w:rPr>
            </w:pPr>
            <w:r>
              <w:rPr>
                <w:noProof/>
              </w:rPr>
              <w:t>C1.5. R1-I2</w:t>
            </w:r>
          </w:p>
        </w:tc>
        <w:tc>
          <w:tcPr>
            <w:tcW w:w="1026" w:type="dxa"/>
            <w:tcBorders>
              <w:top w:val="nil"/>
              <w:left w:val="nil"/>
              <w:bottom w:val="single" w:sz="4" w:space="0" w:color="auto"/>
              <w:right w:val="single" w:sz="4" w:space="0" w:color="auto"/>
            </w:tcBorders>
            <w:shd w:val="clear" w:color="auto" w:fill="C6EFCE"/>
            <w:noWrap/>
          </w:tcPr>
          <w:p w14:paraId="53F4F349" w14:textId="77777777" w:rsidR="00553430" w:rsidRDefault="00212577">
            <w:pPr>
              <w:pStyle w:val="P68B1DB1-Normal66"/>
              <w:spacing w:after="200" w:line="276" w:lineRule="auto"/>
              <w:jc w:val="center"/>
              <w:rPr>
                <w:noProof/>
              </w:rPr>
            </w:pPr>
            <w:r>
              <w:rPr>
                <w:noProof/>
              </w:rPr>
              <w:t>M</w:t>
            </w:r>
          </w:p>
        </w:tc>
        <w:tc>
          <w:tcPr>
            <w:tcW w:w="2289" w:type="dxa"/>
            <w:tcBorders>
              <w:top w:val="nil"/>
              <w:left w:val="nil"/>
              <w:bottom w:val="single" w:sz="4" w:space="0" w:color="auto"/>
              <w:right w:val="single" w:sz="4" w:space="0" w:color="auto"/>
            </w:tcBorders>
            <w:shd w:val="clear" w:color="auto" w:fill="C6EFCE"/>
            <w:noWrap/>
          </w:tcPr>
          <w:p w14:paraId="7726122E" w14:textId="77777777" w:rsidR="00553430" w:rsidRDefault="00212577">
            <w:pPr>
              <w:pStyle w:val="P68B1DB1-Normal66"/>
              <w:spacing w:after="200" w:line="276" w:lineRule="auto"/>
              <w:rPr>
                <w:noProof/>
              </w:rPr>
            </w:pPr>
            <w:r>
              <w:rPr>
                <w:noProof/>
              </w:rPr>
              <w:t>Système d'étiquetage des fruits et légumes</w:t>
            </w:r>
          </w:p>
        </w:tc>
        <w:tc>
          <w:tcPr>
            <w:tcW w:w="1942" w:type="dxa"/>
            <w:tcBorders>
              <w:top w:val="nil"/>
              <w:left w:val="nil"/>
              <w:bottom w:val="single" w:sz="4" w:space="0" w:color="auto"/>
              <w:right w:val="single" w:sz="4" w:space="0" w:color="auto"/>
            </w:tcBorders>
            <w:shd w:val="clear" w:color="auto" w:fill="C6EFCE"/>
            <w:noWrap/>
          </w:tcPr>
          <w:p w14:paraId="0A9466AD" w14:textId="7AA1AE99" w:rsidR="00553430" w:rsidRDefault="00212577">
            <w:pPr>
              <w:pStyle w:val="P68B1DB1-Normal66"/>
              <w:spacing w:after="200" w:line="276" w:lineRule="auto"/>
              <w:rPr>
                <w:noProof/>
              </w:rPr>
            </w:pPr>
            <w:r>
              <w:rPr>
                <w:noProof/>
              </w:rPr>
              <w:t>Document délivré confirmant la conformité de la nouvelle lable avec les exigences d'étiquetage des systèmes de qualité</w:t>
            </w:r>
          </w:p>
        </w:tc>
        <w:tc>
          <w:tcPr>
            <w:tcW w:w="712" w:type="dxa"/>
            <w:tcBorders>
              <w:top w:val="nil"/>
              <w:left w:val="nil"/>
              <w:bottom w:val="single" w:sz="4" w:space="0" w:color="auto"/>
              <w:right w:val="single" w:sz="4" w:space="0" w:color="auto"/>
            </w:tcBorders>
            <w:shd w:val="clear" w:color="auto" w:fill="C6EFCE"/>
            <w:noWrap/>
          </w:tcPr>
          <w:p w14:paraId="7A33A6FA" w14:textId="07688A11" w:rsidR="00553430" w:rsidRDefault="00553430">
            <w:pPr>
              <w:spacing w:after="200" w:line="276" w:lineRule="auto"/>
              <w:jc w:val="center"/>
              <w:rPr>
                <w:rFonts w:ascii="Times New Roman" w:eastAsia="Calibri" w:hAnsi="Times New Roman" w:cs="Times New Roman"/>
                <w:noProof/>
                <w:sz w:val="20"/>
                <w:szCs w:val="20"/>
              </w:rPr>
            </w:pPr>
          </w:p>
        </w:tc>
        <w:tc>
          <w:tcPr>
            <w:tcW w:w="835" w:type="dxa"/>
            <w:tcBorders>
              <w:top w:val="nil"/>
              <w:left w:val="nil"/>
              <w:bottom w:val="single" w:sz="4" w:space="0" w:color="auto"/>
              <w:right w:val="single" w:sz="4" w:space="0" w:color="auto"/>
            </w:tcBorders>
            <w:shd w:val="clear" w:color="auto" w:fill="C6EFCE"/>
            <w:noWrap/>
          </w:tcPr>
          <w:p w14:paraId="2A99C480" w14:textId="508569D1" w:rsidR="00553430" w:rsidRDefault="00553430">
            <w:pPr>
              <w:spacing w:after="200" w:line="276" w:lineRule="auto"/>
              <w:jc w:val="center"/>
              <w:rPr>
                <w:rFonts w:ascii="Times New Roman" w:eastAsia="Calibri" w:hAnsi="Times New Roman" w:cs="Times New Roman"/>
                <w:noProof/>
                <w:sz w:val="20"/>
                <w:szCs w:val="20"/>
              </w:rPr>
            </w:pPr>
          </w:p>
        </w:tc>
        <w:tc>
          <w:tcPr>
            <w:tcW w:w="709" w:type="dxa"/>
            <w:tcBorders>
              <w:top w:val="nil"/>
              <w:left w:val="nil"/>
              <w:bottom w:val="single" w:sz="4" w:space="0" w:color="auto"/>
              <w:right w:val="single" w:sz="4" w:space="0" w:color="auto"/>
            </w:tcBorders>
            <w:shd w:val="clear" w:color="auto" w:fill="C6EFCE"/>
            <w:noWrap/>
          </w:tcPr>
          <w:p w14:paraId="681429C1" w14:textId="2939673F" w:rsidR="00553430" w:rsidRDefault="00553430">
            <w:pPr>
              <w:spacing w:after="200" w:line="276" w:lineRule="auto"/>
              <w:jc w:val="center"/>
              <w:rPr>
                <w:rFonts w:ascii="Times New Roman" w:eastAsia="Calibri" w:hAnsi="Times New Roman" w:cs="Times New Roman"/>
                <w:noProof/>
                <w:sz w:val="20"/>
                <w:szCs w:val="20"/>
              </w:rPr>
            </w:pPr>
          </w:p>
        </w:tc>
        <w:tc>
          <w:tcPr>
            <w:tcW w:w="756" w:type="dxa"/>
            <w:tcBorders>
              <w:top w:val="nil"/>
              <w:left w:val="nil"/>
              <w:bottom w:val="single" w:sz="4" w:space="0" w:color="auto"/>
              <w:right w:val="single" w:sz="4" w:space="0" w:color="auto"/>
            </w:tcBorders>
            <w:shd w:val="clear" w:color="auto" w:fill="C6EFCE"/>
            <w:noWrap/>
          </w:tcPr>
          <w:p w14:paraId="6892C759" w14:textId="77777777" w:rsidR="00553430" w:rsidRDefault="00212577">
            <w:pPr>
              <w:pStyle w:val="P68B1DB1-Normal66"/>
              <w:spacing w:after="200" w:line="276" w:lineRule="auto"/>
              <w:jc w:val="center"/>
              <w:rPr>
                <w:noProof/>
              </w:rPr>
            </w:pPr>
            <w:r>
              <w:rPr>
                <w:noProof/>
              </w:rPr>
              <w:t>T2</w:t>
            </w:r>
          </w:p>
        </w:tc>
        <w:tc>
          <w:tcPr>
            <w:tcW w:w="797" w:type="dxa"/>
            <w:tcBorders>
              <w:top w:val="nil"/>
              <w:left w:val="nil"/>
              <w:bottom w:val="single" w:sz="4" w:space="0" w:color="auto"/>
              <w:right w:val="single" w:sz="4" w:space="0" w:color="auto"/>
            </w:tcBorders>
            <w:shd w:val="clear" w:color="auto" w:fill="C6EFCE"/>
            <w:noWrap/>
          </w:tcPr>
          <w:p w14:paraId="61F6934C" w14:textId="77777777" w:rsidR="00553430" w:rsidRDefault="00212577">
            <w:pPr>
              <w:pStyle w:val="P68B1DB1-Normal66"/>
              <w:spacing w:after="200" w:line="276" w:lineRule="auto"/>
              <w:jc w:val="center"/>
              <w:rPr>
                <w:noProof/>
              </w:rPr>
            </w:pPr>
            <w:r>
              <w:rPr>
                <w:noProof/>
              </w:rPr>
              <w:t>2026</w:t>
            </w:r>
          </w:p>
        </w:tc>
        <w:tc>
          <w:tcPr>
            <w:tcW w:w="5172" w:type="dxa"/>
            <w:tcBorders>
              <w:top w:val="nil"/>
              <w:left w:val="nil"/>
              <w:bottom w:val="single" w:sz="4" w:space="0" w:color="auto"/>
              <w:right w:val="single" w:sz="4" w:space="0" w:color="auto"/>
            </w:tcBorders>
            <w:shd w:val="clear" w:color="auto" w:fill="C6EFCE"/>
            <w:noWrap/>
          </w:tcPr>
          <w:p w14:paraId="4B7DAF03" w14:textId="77777777" w:rsidR="00553430" w:rsidRDefault="00212577">
            <w:pPr>
              <w:pStyle w:val="P68B1DB1-Normal66"/>
              <w:spacing w:after="200" w:line="276" w:lineRule="auto"/>
              <w:rPr>
                <w:noProof/>
              </w:rPr>
            </w:pPr>
            <w:r>
              <w:rPr>
                <w:noProof/>
              </w:rPr>
              <w:t xml:space="preserve">Un système de création d'étiquettes reconnaissables sur le marché des fruits et légumes est approuvé. Le système est volontaire et complémentaire du système de qualité déjà mis au point par le ministère de l'agriculture. </w:t>
            </w:r>
          </w:p>
        </w:tc>
      </w:tr>
      <w:tr w:rsidR="00553430" w14:paraId="6B0A41A6"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0B78E4C1" w14:textId="77777777" w:rsidR="00553430" w:rsidRDefault="00212577">
            <w:pPr>
              <w:pStyle w:val="P68B1DB1-Normal66"/>
              <w:spacing w:after="200" w:line="276" w:lineRule="auto"/>
              <w:jc w:val="center"/>
              <w:rPr>
                <w:noProof/>
              </w:rPr>
            </w:pPr>
            <w:r>
              <w:rPr>
                <w:noProof/>
              </w:rPr>
              <w:t>131</w:t>
            </w:r>
          </w:p>
        </w:tc>
        <w:tc>
          <w:tcPr>
            <w:tcW w:w="1080" w:type="dxa"/>
            <w:tcBorders>
              <w:top w:val="single" w:sz="4" w:space="0" w:color="auto"/>
              <w:left w:val="nil"/>
              <w:bottom w:val="single" w:sz="4" w:space="0" w:color="auto"/>
              <w:right w:val="single" w:sz="4" w:space="0" w:color="auto"/>
            </w:tcBorders>
            <w:shd w:val="clear" w:color="auto" w:fill="C6EFCE"/>
            <w:noWrap/>
          </w:tcPr>
          <w:p w14:paraId="37EC7670" w14:textId="77777777" w:rsidR="00553430" w:rsidRDefault="00212577">
            <w:pPr>
              <w:pStyle w:val="P68B1DB1-Normal66"/>
              <w:spacing w:after="200" w:line="276" w:lineRule="auto"/>
              <w:jc w:val="center"/>
              <w:rPr>
                <w:noProof/>
              </w:rPr>
            </w:pPr>
            <w:r>
              <w:rPr>
                <w:noProof/>
              </w:rPr>
              <w:t>C1.5. R2</w:t>
            </w:r>
          </w:p>
        </w:tc>
        <w:tc>
          <w:tcPr>
            <w:tcW w:w="1026" w:type="dxa"/>
            <w:tcBorders>
              <w:top w:val="single" w:sz="4" w:space="0" w:color="auto"/>
              <w:left w:val="nil"/>
              <w:bottom w:val="single" w:sz="4" w:space="0" w:color="auto"/>
              <w:right w:val="single" w:sz="4" w:space="0" w:color="auto"/>
            </w:tcBorders>
            <w:shd w:val="clear" w:color="auto" w:fill="C6EFCE"/>
            <w:noWrap/>
          </w:tcPr>
          <w:p w14:paraId="0588749E" w14:textId="77777777" w:rsidR="00553430" w:rsidRDefault="00212577">
            <w:pPr>
              <w:pStyle w:val="P68B1DB1-Normal66"/>
              <w:spacing w:after="200" w:line="276" w:lineRule="auto"/>
              <w:jc w:val="center"/>
              <w:rPr>
                <w:noProof/>
              </w:rPr>
            </w:pPr>
            <w:r>
              <w:rPr>
                <w:noProof/>
              </w:rPr>
              <w:t>M</w:t>
            </w:r>
          </w:p>
        </w:tc>
        <w:tc>
          <w:tcPr>
            <w:tcW w:w="2289" w:type="dxa"/>
            <w:tcBorders>
              <w:top w:val="single" w:sz="4" w:space="0" w:color="auto"/>
              <w:left w:val="nil"/>
              <w:bottom w:val="single" w:sz="4" w:space="0" w:color="auto"/>
              <w:right w:val="single" w:sz="4" w:space="0" w:color="auto"/>
            </w:tcBorders>
            <w:shd w:val="clear" w:color="auto" w:fill="C6EFCE"/>
            <w:noWrap/>
          </w:tcPr>
          <w:p w14:paraId="5EEE8147" w14:textId="77777777" w:rsidR="00553430" w:rsidRDefault="00212577">
            <w:pPr>
              <w:pStyle w:val="P68B1DB1-Normal66"/>
              <w:spacing w:after="200" w:line="276" w:lineRule="auto"/>
              <w:rPr>
                <w:noProof/>
              </w:rPr>
            </w:pPr>
            <w:r>
              <w:rPr>
                <w:noProof/>
              </w:rPr>
              <w:t xml:space="preserve">Nouvelle loi sur </w:t>
            </w:r>
            <w:r>
              <w:rPr>
                <w:noProof/>
              </w:rPr>
              <w:t>la consolidation des terres agricoles</w:t>
            </w:r>
          </w:p>
        </w:tc>
        <w:tc>
          <w:tcPr>
            <w:tcW w:w="1942" w:type="dxa"/>
            <w:tcBorders>
              <w:top w:val="single" w:sz="4" w:space="0" w:color="auto"/>
              <w:left w:val="nil"/>
              <w:bottom w:val="single" w:sz="4" w:space="0" w:color="auto"/>
              <w:right w:val="single" w:sz="4" w:space="0" w:color="auto"/>
            </w:tcBorders>
            <w:shd w:val="clear" w:color="auto" w:fill="C6EFCE"/>
            <w:noWrap/>
          </w:tcPr>
          <w:p w14:paraId="7EE25D40" w14:textId="77777777" w:rsidR="00553430" w:rsidRDefault="00212577">
            <w:pPr>
              <w:pStyle w:val="P68B1DB1-Normal66"/>
              <w:spacing w:after="200" w:line="276" w:lineRule="auto"/>
              <w:rPr>
                <w:noProof/>
              </w:rPr>
            </w:pPr>
            <w:r>
              <w:rPr>
                <w:noProof/>
              </w:rPr>
              <w:t xml:space="preserve">Entrée en vigueur de la nouvelle loi sur la consolidation des terres agricoles </w:t>
            </w:r>
          </w:p>
        </w:tc>
        <w:tc>
          <w:tcPr>
            <w:tcW w:w="712" w:type="dxa"/>
            <w:tcBorders>
              <w:top w:val="single" w:sz="4" w:space="0" w:color="auto"/>
              <w:left w:val="nil"/>
              <w:bottom w:val="single" w:sz="4" w:space="0" w:color="auto"/>
              <w:right w:val="single" w:sz="4" w:space="0" w:color="auto"/>
            </w:tcBorders>
            <w:shd w:val="clear" w:color="auto" w:fill="C6EFCE"/>
            <w:noWrap/>
          </w:tcPr>
          <w:p w14:paraId="4D2065FF" w14:textId="77777777" w:rsidR="00553430" w:rsidRDefault="00212577">
            <w:pPr>
              <w:pStyle w:val="P68B1DB1-Normal66"/>
              <w:spacing w:after="200" w:line="276" w:lineRule="auto"/>
              <w:jc w:val="center"/>
              <w:rPr>
                <w:noProof/>
              </w:rPr>
            </w:pPr>
            <w:r>
              <w:rPr>
                <w:noProof/>
              </w:rPr>
              <w:t> </w:t>
            </w:r>
          </w:p>
        </w:tc>
        <w:tc>
          <w:tcPr>
            <w:tcW w:w="835" w:type="dxa"/>
            <w:tcBorders>
              <w:top w:val="single" w:sz="4" w:space="0" w:color="auto"/>
              <w:left w:val="nil"/>
              <w:bottom w:val="single" w:sz="4" w:space="0" w:color="auto"/>
              <w:right w:val="single" w:sz="4" w:space="0" w:color="auto"/>
            </w:tcBorders>
            <w:shd w:val="clear" w:color="auto" w:fill="C6EFCE"/>
            <w:noWrap/>
          </w:tcPr>
          <w:p w14:paraId="6EF5CA51" w14:textId="77777777" w:rsidR="00553430" w:rsidRDefault="00212577">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665F67BB" w14:textId="77777777" w:rsidR="00553430" w:rsidRDefault="00212577">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751B56C2" w14:textId="77777777" w:rsidR="00553430" w:rsidRDefault="00212577">
            <w:pPr>
              <w:pStyle w:val="P68B1DB1-Normal66"/>
              <w:spacing w:after="200" w:line="276" w:lineRule="auto"/>
              <w:jc w:val="center"/>
              <w:rPr>
                <w:noProof/>
              </w:rPr>
            </w:pPr>
            <w:r>
              <w:rPr>
                <w:noProof/>
              </w:rPr>
              <w:t>T1</w:t>
            </w:r>
          </w:p>
        </w:tc>
        <w:tc>
          <w:tcPr>
            <w:tcW w:w="797" w:type="dxa"/>
            <w:tcBorders>
              <w:top w:val="single" w:sz="4" w:space="0" w:color="auto"/>
              <w:left w:val="nil"/>
              <w:bottom w:val="single" w:sz="4" w:space="0" w:color="auto"/>
              <w:right w:val="single" w:sz="4" w:space="0" w:color="auto"/>
            </w:tcBorders>
            <w:shd w:val="clear" w:color="auto" w:fill="C6EFCE"/>
            <w:noWrap/>
          </w:tcPr>
          <w:p w14:paraId="34DC4AE9" w14:textId="77777777" w:rsidR="00553430" w:rsidRDefault="00212577">
            <w:pPr>
              <w:pStyle w:val="P68B1DB1-Normal66"/>
              <w:spacing w:after="200" w:line="276" w:lineRule="auto"/>
              <w:jc w:val="center"/>
              <w:rPr>
                <w:noProof/>
              </w:rPr>
            </w:pPr>
            <w:r>
              <w:rPr>
                <w:noProof/>
              </w:rPr>
              <w:t>2022</w:t>
            </w:r>
          </w:p>
        </w:tc>
        <w:tc>
          <w:tcPr>
            <w:tcW w:w="5172" w:type="dxa"/>
            <w:tcBorders>
              <w:top w:val="single" w:sz="4" w:space="0" w:color="auto"/>
              <w:left w:val="nil"/>
              <w:bottom w:val="single" w:sz="4" w:space="0" w:color="auto"/>
              <w:right w:val="single" w:sz="4" w:space="0" w:color="auto"/>
            </w:tcBorders>
            <w:shd w:val="clear" w:color="auto" w:fill="C6EFCE"/>
            <w:noWrap/>
          </w:tcPr>
          <w:p w14:paraId="02329EFF" w14:textId="77777777" w:rsidR="00553430" w:rsidRDefault="00212577">
            <w:pPr>
              <w:pStyle w:val="P68B1DB1-Normal66"/>
              <w:spacing w:after="200" w:line="276" w:lineRule="auto"/>
              <w:rPr>
                <w:noProof/>
              </w:rPr>
            </w:pPr>
            <w:r>
              <w:rPr>
                <w:noProof/>
              </w:rPr>
              <w:t>La nouvelle loi envisagée sur la consolidation des terres agricoles doit, entre autres:</w:t>
            </w:r>
            <w:r>
              <w:rPr>
                <w:noProof/>
              </w:rPr>
              <w:br/>
              <w:t>• Introduire des conditions pour sim</w:t>
            </w:r>
            <w:r>
              <w:rPr>
                <w:noProof/>
              </w:rPr>
              <w:t xml:space="preserve">plifier le processus de consolidation, </w:t>
            </w:r>
            <w:r>
              <w:rPr>
                <w:noProof/>
              </w:rPr>
              <w:br/>
              <w:t xml:space="preserve">• réduire le nombre d'organismes participants, </w:t>
            </w:r>
            <w:r>
              <w:rPr>
                <w:noProof/>
              </w:rPr>
              <w:br/>
              <w:t xml:space="preserve">• raccourcir le temps nécessaire à la réalisation des activités dans le cadre de la dotation, </w:t>
            </w:r>
            <w:r>
              <w:rPr>
                <w:noProof/>
              </w:rPr>
              <w:br/>
              <w:t>• Appliquer les technologies de l’information et se connecter aux bases d</w:t>
            </w:r>
            <w:r>
              <w:rPr>
                <w:noProof/>
              </w:rPr>
              <w:t>e données existantes et nouvelles de diverses parties prenantes, tout en créant une base de données sur la qualité des sols.</w:t>
            </w:r>
          </w:p>
        </w:tc>
      </w:tr>
      <w:tr w:rsidR="00553430" w14:paraId="15C5E43F"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0385732C" w14:textId="77777777" w:rsidR="00553430" w:rsidRDefault="00212577">
            <w:pPr>
              <w:pStyle w:val="P68B1DB1-Normal66"/>
              <w:spacing w:after="200" w:line="276" w:lineRule="auto"/>
              <w:jc w:val="center"/>
              <w:rPr>
                <w:noProof/>
              </w:rPr>
            </w:pPr>
            <w:r>
              <w:rPr>
                <w:noProof/>
              </w:rPr>
              <w:t>133</w:t>
            </w:r>
          </w:p>
        </w:tc>
        <w:tc>
          <w:tcPr>
            <w:tcW w:w="1080" w:type="dxa"/>
            <w:tcBorders>
              <w:top w:val="single" w:sz="4" w:space="0" w:color="auto"/>
              <w:left w:val="nil"/>
              <w:bottom w:val="single" w:sz="4" w:space="0" w:color="auto"/>
              <w:right w:val="single" w:sz="4" w:space="0" w:color="auto"/>
            </w:tcBorders>
            <w:shd w:val="clear" w:color="auto" w:fill="C6EFCE"/>
            <w:noWrap/>
          </w:tcPr>
          <w:p w14:paraId="31A01EC0" w14:textId="77777777" w:rsidR="00553430" w:rsidRDefault="00212577">
            <w:pPr>
              <w:pStyle w:val="P68B1DB1-Normal66"/>
              <w:spacing w:after="200" w:line="276" w:lineRule="auto"/>
              <w:jc w:val="center"/>
              <w:rPr>
                <w:noProof/>
              </w:rPr>
            </w:pPr>
            <w:r>
              <w:rPr>
                <w:noProof/>
              </w:rPr>
              <w:t>C1.5. R2-I2</w:t>
            </w:r>
          </w:p>
        </w:tc>
        <w:tc>
          <w:tcPr>
            <w:tcW w:w="1026" w:type="dxa"/>
            <w:tcBorders>
              <w:top w:val="single" w:sz="4" w:space="0" w:color="auto"/>
              <w:left w:val="nil"/>
              <w:bottom w:val="single" w:sz="4" w:space="0" w:color="auto"/>
              <w:right w:val="single" w:sz="4" w:space="0" w:color="auto"/>
            </w:tcBorders>
            <w:shd w:val="clear" w:color="auto" w:fill="C6EFCE"/>
            <w:noWrap/>
          </w:tcPr>
          <w:p w14:paraId="66C87554" w14:textId="77777777" w:rsidR="00553430" w:rsidRDefault="00212577">
            <w:pPr>
              <w:pStyle w:val="P68B1DB1-Normal66"/>
              <w:spacing w:after="200" w:line="276" w:lineRule="auto"/>
              <w:jc w:val="center"/>
              <w:rPr>
                <w:noProof/>
              </w:rPr>
            </w:pPr>
            <w:r>
              <w:rPr>
                <w:noProof/>
              </w:rPr>
              <w:t>T</w:t>
            </w:r>
          </w:p>
        </w:tc>
        <w:tc>
          <w:tcPr>
            <w:tcW w:w="2289" w:type="dxa"/>
            <w:tcBorders>
              <w:top w:val="single" w:sz="4" w:space="0" w:color="auto"/>
              <w:left w:val="nil"/>
              <w:bottom w:val="single" w:sz="4" w:space="0" w:color="auto"/>
              <w:right w:val="single" w:sz="4" w:space="0" w:color="auto"/>
            </w:tcBorders>
            <w:shd w:val="clear" w:color="auto" w:fill="C6EFCE"/>
            <w:noWrap/>
          </w:tcPr>
          <w:p w14:paraId="3349FF98" w14:textId="77777777" w:rsidR="00553430" w:rsidRDefault="00212577">
            <w:pPr>
              <w:pStyle w:val="P68B1DB1-Normal66"/>
              <w:spacing w:after="200" w:line="276" w:lineRule="auto"/>
              <w:rPr>
                <w:noProof/>
              </w:rPr>
            </w:pPr>
            <w:r>
              <w:rPr>
                <w:noProof/>
              </w:rPr>
              <w:t xml:space="preserve">Mise à niveau du système d'information opérationnel pour le suivi des terres agricoles et création de 90 </w:t>
            </w:r>
            <w:r>
              <w:rPr>
                <w:noProof/>
              </w:rPr>
              <w:t>stations permanentes pour le suivi de l'état des terres agricoles</w:t>
            </w:r>
          </w:p>
        </w:tc>
        <w:tc>
          <w:tcPr>
            <w:tcW w:w="1942" w:type="dxa"/>
            <w:tcBorders>
              <w:top w:val="single" w:sz="4" w:space="0" w:color="auto"/>
              <w:left w:val="nil"/>
              <w:bottom w:val="single" w:sz="4" w:space="0" w:color="auto"/>
              <w:right w:val="single" w:sz="4" w:space="0" w:color="auto"/>
            </w:tcBorders>
            <w:shd w:val="clear" w:color="auto" w:fill="C6EFCE"/>
            <w:noWrap/>
          </w:tcPr>
          <w:p w14:paraId="38DF2929" w14:textId="77777777" w:rsidR="00553430" w:rsidRDefault="00212577">
            <w:pPr>
              <w:pStyle w:val="P68B1DB1-Normal66"/>
              <w:spacing w:after="200" w:line="276" w:lineRule="auto"/>
              <w:rPr>
                <w:noProof/>
              </w:rPr>
            </w:pPr>
            <w:r>
              <w:rPr>
                <w:noProof/>
              </w:rPr>
              <w:t xml:space="preserve"> </w:t>
            </w:r>
          </w:p>
        </w:tc>
        <w:tc>
          <w:tcPr>
            <w:tcW w:w="712" w:type="dxa"/>
            <w:tcBorders>
              <w:top w:val="single" w:sz="4" w:space="0" w:color="auto"/>
              <w:left w:val="nil"/>
              <w:bottom w:val="single" w:sz="4" w:space="0" w:color="auto"/>
              <w:right w:val="single" w:sz="4" w:space="0" w:color="auto"/>
            </w:tcBorders>
            <w:shd w:val="clear" w:color="auto" w:fill="C6EFCE"/>
            <w:noWrap/>
          </w:tcPr>
          <w:p w14:paraId="643AD38C" w14:textId="77777777" w:rsidR="00553430" w:rsidRDefault="00212577">
            <w:pPr>
              <w:pStyle w:val="P68B1DB1-Normal66"/>
              <w:spacing w:after="200" w:line="276" w:lineRule="auto"/>
              <w:jc w:val="center"/>
              <w:rPr>
                <w:noProof/>
              </w:rPr>
            </w:pPr>
            <w:r>
              <w:rPr>
                <w:noProof/>
              </w:rPr>
              <w:t>Numéro</w:t>
            </w:r>
          </w:p>
        </w:tc>
        <w:tc>
          <w:tcPr>
            <w:tcW w:w="835" w:type="dxa"/>
            <w:tcBorders>
              <w:top w:val="single" w:sz="4" w:space="0" w:color="auto"/>
              <w:left w:val="nil"/>
              <w:bottom w:val="single" w:sz="4" w:space="0" w:color="auto"/>
              <w:right w:val="single" w:sz="4" w:space="0" w:color="auto"/>
            </w:tcBorders>
            <w:shd w:val="clear" w:color="auto" w:fill="C6EFCE"/>
            <w:noWrap/>
          </w:tcPr>
          <w:p w14:paraId="3FD290E7" w14:textId="77777777" w:rsidR="00553430" w:rsidRDefault="00212577">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0C0DCF1A" w14:textId="77777777" w:rsidR="00553430" w:rsidRDefault="00212577">
            <w:pPr>
              <w:pStyle w:val="P68B1DB1-Normal66"/>
              <w:spacing w:after="200" w:line="276" w:lineRule="auto"/>
              <w:jc w:val="center"/>
              <w:rPr>
                <w:noProof/>
              </w:rPr>
            </w:pPr>
            <w:r>
              <w:rPr>
                <w:noProof/>
              </w:rPr>
              <w:t>90</w:t>
            </w:r>
          </w:p>
        </w:tc>
        <w:tc>
          <w:tcPr>
            <w:tcW w:w="756" w:type="dxa"/>
            <w:tcBorders>
              <w:top w:val="single" w:sz="4" w:space="0" w:color="auto"/>
              <w:left w:val="nil"/>
              <w:bottom w:val="single" w:sz="4" w:space="0" w:color="auto"/>
              <w:right w:val="single" w:sz="4" w:space="0" w:color="auto"/>
            </w:tcBorders>
            <w:shd w:val="clear" w:color="auto" w:fill="C6EFCE"/>
            <w:noWrap/>
          </w:tcPr>
          <w:p w14:paraId="08CEE27A" w14:textId="77777777" w:rsidR="00553430" w:rsidRDefault="00212577">
            <w:pPr>
              <w:pStyle w:val="P68B1DB1-Normal66"/>
              <w:spacing w:after="200" w:line="276" w:lineRule="auto"/>
              <w:jc w:val="center"/>
              <w:rPr>
                <w:noProof/>
              </w:rPr>
            </w:pPr>
            <w:r>
              <w:rPr>
                <w:noProof/>
              </w:rPr>
              <w:t>T2</w:t>
            </w:r>
          </w:p>
        </w:tc>
        <w:tc>
          <w:tcPr>
            <w:tcW w:w="797" w:type="dxa"/>
            <w:tcBorders>
              <w:top w:val="single" w:sz="4" w:space="0" w:color="auto"/>
              <w:left w:val="nil"/>
              <w:bottom w:val="single" w:sz="4" w:space="0" w:color="auto"/>
              <w:right w:val="single" w:sz="4" w:space="0" w:color="auto"/>
            </w:tcBorders>
            <w:shd w:val="clear" w:color="auto" w:fill="C6EFCE"/>
            <w:noWrap/>
          </w:tcPr>
          <w:p w14:paraId="03D3277C" w14:textId="77777777" w:rsidR="00553430" w:rsidRDefault="00212577">
            <w:pPr>
              <w:pStyle w:val="P68B1DB1-Normal66"/>
              <w:spacing w:after="200" w:line="276" w:lineRule="auto"/>
              <w:jc w:val="center"/>
              <w:rPr>
                <w:noProof/>
              </w:rPr>
            </w:pPr>
            <w:r>
              <w:rPr>
                <w:noProof/>
              </w:rPr>
              <w:t>2025</w:t>
            </w:r>
          </w:p>
        </w:tc>
        <w:tc>
          <w:tcPr>
            <w:tcW w:w="5172" w:type="dxa"/>
            <w:tcBorders>
              <w:top w:val="single" w:sz="4" w:space="0" w:color="auto"/>
              <w:left w:val="nil"/>
              <w:bottom w:val="single" w:sz="4" w:space="0" w:color="auto"/>
              <w:right w:val="single" w:sz="4" w:space="0" w:color="auto"/>
            </w:tcBorders>
            <w:shd w:val="clear" w:color="auto" w:fill="C6EFCE"/>
            <w:noWrap/>
          </w:tcPr>
          <w:p w14:paraId="569E6642" w14:textId="77777777" w:rsidR="00553430" w:rsidRDefault="00212577">
            <w:pPr>
              <w:pStyle w:val="P68B1DB1-Normal66"/>
              <w:spacing w:after="200" w:line="276" w:lineRule="auto"/>
              <w:rPr>
                <w:noProof/>
              </w:rPr>
            </w:pPr>
            <w:r>
              <w:rPr>
                <w:noProof/>
              </w:rPr>
              <w:t>Le programme de surveillance permanente de l'état des terres agricoles est établi. Les résultats du programme indiquent les zones de crise où les sols sont exposés à de</w:t>
            </w:r>
            <w:r>
              <w:rPr>
                <w:noProof/>
              </w:rPr>
              <w:t>s menaces. La mise à niveau du système d'information pour le suivi des terres agricoles permet d'obtenir des paramètres comparables.</w:t>
            </w:r>
            <w:r>
              <w:rPr>
                <w:noProof/>
              </w:rPr>
              <w:br/>
              <w:t xml:space="preserve">Au moins 90 stations sont mises en place dans le cadre du système modernisé de surveillance de l’état des terres agricoles </w:t>
            </w:r>
            <w:r>
              <w:rPr>
                <w:noProof/>
              </w:rPr>
              <w:t>et couvrent toutes les sous-régions agricoles.</w:t>
            </w:r>
          </w:p>
        </w:tc>
      </w:tr>
      <w:tr w:rsidR="00553430" w14:paraId="7E44611B"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63D1F86F" w14:textId="77777777" w:rsidR="00553430" w:rsidRDefault="00212577">
            <w:pPr>
              <w:pStyle w:val="P68B1DB1-Normal66"/>
              <w:spacing w:after="200" w:line="276" w:lineRule="auto"/>
              <w:jc w:val="center"/>
              <w:rPr>
                <w:noProof/>
              </w:rPr>
            </w:pPr>
            <w:r>
              <w:rPr>
                <w:noProof/>
              </w:rPr>
              <w:t>134</w:t>
            </w:r>
          </w:p>
        </w:tc>
        <w:tc>
          <w:tcPr>
            <w:tcW w:w="1080" w:type="dxa"/>
            <w:tcBorders>
              <w:top w:val="single" w:sz="4" w:space="0" w:color="auto"/>
              <w:left w:val="nil"/>
              <w:bottom w:val="single" w:sz="4" w:space="0" w:color="auto"/>
              <w:right w:val="single" w:sz="4" w:space="0" w:color="auto"/>
            </w:tcBorders>
            <w:shd w:val="clear" w:color="auto" w:fill="C6EFCE"/>
            <w:noWrap/>
          </w:tcPr>
          <w:p w14:paraId="0934B955" w14:textId="77777777" w:rsidR="00553430" w:rsidRDefault="00212577">
            <w:pPr>
              <w:pStyle w:val="P68B1DB1-Normal66"/>
              <w:spacing w:after="200" w:line="276" w:lineRule="auto"/>
              <w:jc w:val="center"/>
              <w:rPr>
                <w:noProof/>
              </w:rPr>
            </w:pPr>
            <w:r>
              <w:rPr>
                <w:noProof/>
              </w:rPr>
              <w:t>C1.5. R3</w:t>
            </w:r>
          </w:p>
        </w:tc>
        <w:tc>
          <w:tcPr>
            <w:tcW w:w="1026" w:type="dxa"/>
            <w:tcBorders>
              <w:top w:val="single" w:sz="4" w:space="0" w:color="auto"/>
              <w:left w:val="nil"/>
              <w:bottom w:val="single" w:sz="4" w:space="0" w:color="auto"/>
              <w:right w:val="single" w:sz="4" w:space="0" w:color="auto"/>
            </w:tcBorders>
            <w:shd w:val="clear" w:color="auto" w:fill="C6EFCE"/>
            <w:noWrap/>
          </w:tcPr>
          <w:p w14:paraId="46B6A0C9" w14:textId="77777777" w:rsidR="00553430" w:rsidRDefault="00212577">
            <w:pPr>
              <w:pStyle w:val="P68B1DB1-Normal66"/>
              <w:spacing w:after="200" w:line="276" w:lineRule="auto"/>
              <w:jc w:val="center"/>
              <w:rPr>
                <w:noProof/>
              </w:rPr>
            </w:pPr>
            <w:r>
              <w:rPr>
                <w:noProof/>
              </w:rPr>
              <w:t>M</w:t>
            </w:r>
          </w:p>
        </w:tc>
        <w:tc>
          <w:tcPr>
            <w:tcW w:w="2289" w:type="dxa"/>
            <w:tcBorders>
              <w:top w:val="single" w:sz="4" w:space="0" w:color="auto"/>
              <w:left w:val="nil"/>
              <w:bottom w:val="single" w:sz="4" w:space="0" w:color="auto"/>
              <w:right w:val="single" w:sz="4" w:space="0" w:color="auto"/>
            </w:tcBorders>
            <w:shd w:val="clear" w:color="auto" w:fill="C6EFCE"/>
            <w:noWrap/>
          </w:tcPr>
          <w:p w14:paraId="67430D9E" w14:textId="77777777" w:rsidR="00553430" w:rsidRDefault="00212577">
            <w:pPr>
              <w:pStyle w:val="P68B1DB1-Normal66"/>
              <w:spacing w:after="200" w:line="276" w:lineRule="auto"/>
              <w:rPr>
                <w:noProof/>
              </w:rPr>
            </w:pPr>
            <w:r>
              <w:rPr>
                <w:noProof/>
              </w:rPr>
              <w:t xml:space="preserve">Création d’une unité de mise en œuvre et de gestion des projets de transformation numérique au sein du ministère de l’agriculture </w:t>
            </w:r>
          </w:p>
        </w:tc>
        <w:tc>
          <w:tcPr>
            <w:tcW w:w="1942" w:type="dxa"/>
            <w:tcBorders>
              <w:top w:val="single" w:sz="4" w:space="0" w:color="auto"/>
              <w:left w:val="nil"/>
              <w:bottom w:val="single" w:sz="4" w:space="0" w:color="auto"/>
              <w:right w:val="single" w:sz="4" w:space="0" w:color="auto"/>
            </w:tcBorders>
            <w:shd w:val="clear" w:color="auto" w:fill="C6EFCE"/>
            <w:noWrap/>
          </w:tcPr>
          <w:p w14:paraId="126E54FF" w14:textId="77777777" w:rsidR="00553430" w:rsidRDefault="00212577">
            <w:pPr>
              <w:pStyle w:val="P68B1DB1-Normal66"/>
              <w:spacing w:after="200" w:line="276" w:lineRule="auto"/>
              <w:rPr>
                <w:noProof/>
              </w:rPr>
            </w:pPr>
            <w:r>
              <w:rPr>
                <w:noProof/>
              </w:rPr>
              <w:t xml:space="preserve">Décision prise par le ministre de l’agriculture de créer une </w:t>
            </w:r>
            <w:r>
              <w:rPr>
                <w:noProof/>
              </w:rPr>
              <w:t>unité de mise en œuvre et de gestion des projets de transformation numérique au sein du ministère de l’agriculture</w:t>
            </w:r>
          </w:p>
        </w:tc>
        <w:tc>
          <w:tcPr>
            <w:tcW w:w="712" w:type="dxa"/>
            <w:tcBorders>
              <w:top w:val="single" w:sz="4" w:space="0" w:color="auto"/>
              <w:left w:val="nil"/>
              <w:bottom w:val="single" w:sz="4" w:space="0" w:color="auto"/>
              <w:right w:val="single" w:sz="4" w:space="0" w:color="auto"/>
            </w:tcBorders>
            <w:shd w:val="clear" w:color="auto" w:fill="C6EFCE"/>
            <w:noWrap/>
          </w:tcPr>
          <w:p w14:paraId="2DBF7203" w14:textId="77777777" w:rsidR="00553430" w:rsidRDefault="00212577">
            <w:pPr>
              <w:pStyle w:val="P68B1DB1-Normal66"/>
              <w:spacing w:after="200" w:line="276" w:lineRule="auto"/>
              <w:jc w:val="center"/>
              <w:rPr>
                <w:noProof/>
              </w:rPr>
            </w:pPr>
            <w:r>
              <w:rPr>
                <w:noProof/>
              </w:rPr>
              <w:t> </w:t>
            </w:r>
          </w:p>
        </w:tc>
        <w:tc>
          <w:tcPr>
            <w:tcW w:w="835" w:type="dxa"/>
            <w:tcBorders>
              <w:top w:val="single" w:sz="4" w:space="0" w:color="auto"/>
              <w:left w:val="nil"/>
              <w:bottom w:val="single" w:sz="4" w:space="0" w:color="auto"/>
              <w:right w:val="single" w:sz="4" w:space="0" w:color="auto"/>
            </w:tcBorders>
            <w:shd w:val="clear" w:color="auto" w:fill="C6EFCE"/>
            <w:noWrap/>
          </w:tcPr>
          <w:p w14:paraId="2485997C" w14:textId="77777777" w:rsidR="00553430" w:rsidRDefault="00212577">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345DECF5" w14:textId="77777777" w:rsidR="00553430" w:rsidRDefault="00212577">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125854B7" w14:textId="77777777" w:rsidR="00553430" w:rsidRDefault="00212577">
            <w:pPr>
              <w:pStyle w:val="P68B1DB1-Normal66"/>
              <w:spacing w:after="200" w:line="276" w:lineRule="auto"/>
              <w:jc w:val="center"/>
              <w:rPr>
                <w:noProof/>
              </w:rPr>
            </w:pPr>
            <w:r>
              <w:rPr>
                <w:noProof/>
              </w:rPr>
              <w:t>T4</w:t>
            </w:r>
          </w:p>
        </w:tc>
        <w:tc>
          <w:tcPr>
            <w:tcW w:w="797" w:type="dxa"/>
            <w:tcBorders>
              <w:top w:val="single" w:sz="4" w:space="0" w:color="auto"/>
              <w:left w:val="nil"/>
              <w:bottom w:val="single" w:sz="4" w:space="0" w:color="auto"/>
              <w:right w:val="single" w:sz="4" w:space="0" w:color="auto"/>
            </w:tcBorders>
            <w:shd w:val="clear" w:color="auto" w:fill="C6EFCE"/>
            <w:noWrap/>
          </w:tcPr>
          <w:p w14:paraId="61B69E8F" w14:textId="77777777" w:rsidR="00553430" w:rsidRDefault="00212577">
            <w:pPr>
              <w:pStyle w:val="P68B1DB1-Normal66"/>
              <w:spacing w:after="200" w:line="276" w:lineRule="auto"/>
              <w:jc w:val="center"/>
              <w:rPr>
                <w:noProof/>
              </w:rPr>
            </w:pPr>
            <w:r>
              <w:rPr>
                <w:noProof/>
              </w:rPr>
              <w:t>2021</w:t>
            </w:r>
          </w:p>
        </w:tc>
        <w:tc>
          <w:tcPr>
            <w:tcW w:w="5172" w:type="dxa"/>
            <w:tcBorders>
              <w:top w:val="single" w:sz="4" w:space="0" w:color="auto"/>
              <w:left w:val="nil"/>
              <w:bottom w:val="single" w:sz="4" w:space="0" w:color="auto"/>
              <w:right w:val="single" w:sz="4" w:space="0" w:color="auto"/>
            </w:tcBorders>
            <w:shd w:val="clear" w:color="auto" w:fill="C6EFCE"/>
            <w:noWrap/>
          </w:tcPr>
          <w:p w14:paraId="35EDC8FD" w14:textId="77777777" w:rsidR="00553430" w:rsidRDefault="00212577">
            <w:pPr>
              <w:pStyle w:val="P68B1DB1-Normal66"/>
              <w:spacing w:after="200" w:line="276" w:lineRule="auto"/>
              <w:rPr>
                <w:noProof/>
              </w:rPr>
            </w:pPr>
            <w:r>
              <w:rPr>
                <w:noProof/>
              </w:rPr>
              <w:t>L’unité créée, en coopération avec les autorités compétentes (organisme payeur, agence croate pour l’agriculture et l’alimentat</w:t>
            </w:r>
            <w:r>
              <w:rPr>
                <w:noProof/>
              </w:rPr>
              <w:t>ion et bureau central de l’État pour le développement de la société numérique), planifie et surveille la mise en œuvre de tous les investissements, afin de garantir la réalisation: au moins 30 services publics numérisés, une plateforme opérationnelle d’agr</w:t>
            </w:r>
            <w:r>
              <w:rPr>
                <w:noProof/>
              </w:rPr>
              <w:t>iculture intelligente et un système d’information sur la traçabilité accessible au public.</w:t>
            </w:r>
          </w:p>
        </w:tc>
      </w:tr>
      <w:tr w:rsidR="00553430" w14:paraId="25DD816E"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204E48CA" w14:textId="77777777" w:rsidR="00553430" w:rsidRDefault="00212577">
            <w:pPr>
              <w:pStyle w:val="P68B1DB1-Normal66"/>
              <w:spacing w:after="200" w:line="276" w:lineRule="auto"/>
              <w:jc w:val="center"/>
              <w:rPr>
                <w:noProof/>
              </w:rPr>
            </w:pPr>
            <w:r>
              <w:rPr>
                <w:noProof/>
              </w:rPr>
              <w:t>135</w:t>
            </w:r>
          </w:p>
        </w:tc>
        <w:tc>
          <w:tcPr>
            <w:tcW w:w="1080" w:type="dxa"/>
            <w:tcBorders>
              <w:top w:val="single" w:sz="4" w:space="0" w:color="auto"/>
              <w:left w:val="nil"/>
              <w:bottom w:val="single" w:sz="4" w:space="0" w:color="auto"/>
              <w:right w:val="single" w:sz="4" w:space="0" w:color="auto"/>
            </w:tcBorders>
            <w:shd w:val="clear" w:color="auto" w:fill="C6EFCE"/>
            <w:noWrap/>
          </w:tcPr>
          <w:p w14:paraId="764B2A26" w14:textId="77777777" w:rsidR="00553430" w:rsidRDefault="00212577">
            <w:pPr>
              <w:pStyle w:val="P68B1DB1-Normal66"/>
              <w:spacing w:after="200" w:line="276" w:lineRule="auto"/>
              <w:jc w:val="center"/>
              <w:rPr>
                <w:noProof/>
              </w:rPr>
            </w:pPr>
            <w:r>
              <w:rPr>
                <w:noProof/>
              </w:rPr>
              <w:t>C1.5. R3-I1</w:t>
            </w:r>
          </w:p>
        </w:tc>
        <w:tc>
          <w:tcPr>
            <w:tcW w:w="1026" w:type="dxa"/>
            <w:tcBorders>
              <w:top w:val="single" w:sz="4" w:space="0" w:color="auto"/>
              <w:left w:val="nil"/>
              <w:bottom w:val="single" w:sz="4" w:space="0" w:color="auto"/>
              <w:right w:val="single" w:sz="4" w:space="0" w:color="auto"/>
            </w:tcBorders>
            <w:shd w:val="clear" w:color="auto" w:fill="C6EFCE"/>
            <w:noWrap/>
          </w:tcPr>
          <w:p w14:paraId="3C9CD98F" w14:textId="77777777" w:rsidR="00553430" w:rsidRDefault="00212577">
            <w:pPr>
              <w:pStyle w:val="P68B1DB1-Normal66"/>
              <w:spacing w:after="200" w:line="276" w:lineRule="auto"/>
              <w:jc w:val="center"/>
              <w:rPr>
                <w:noProof/>
              </w:rPr>
            </w:pPr>
            <w:r>
              <w:rPr>
                <w:noProof/>
              </w:rPr>
              <w:t>T</w:t>
            </w:r>
          </w:p>
        </w:tc>
        <w:tc>
          <w:tcPr>
            <w:tcW w:w="2289" w:type="dxa"/>
            <w:tcBorders>
              <w:top w:val="single" w:sz="4" w:space="0" w:color="auto"/>
              <w:left w:val="nil"/>
              <w:bottom w:val="single" w:sz="4" w:space="0" w:color="auto"/>
              <w:right w:val="single" w:sz="4" w:space="0" w:color="auto"/>
            </w:tcBorders>
            <w:shd w:val="clear" w:color="auto" w:fill="C6EFCE"/>
            <w:noWrap/>
          </w:tcPr>
          <w:p w14:paraId="68531033" w14:textId="77777777" w:rsidR="00553430" w:rsidRDefault="00212577">
            <w:pPr>
              <w:pStyle w:val="P68B1DB1-Normal66"/>
              <w:spacing w:after="200" w:line="276" w:lineRule="auto"/>
              <w:rPr>
                <w:noProof/>
              </w:rPr>
            </w:pPr>
            <w:r>
              <w:rPr>
                <w:noProof/>
              </w:rPr>
              <w:t xml:space="preserve">Numérisation d’au moins 30 services publics dans l’agriculture énumérés dans le plan d’action pour la transformation numérique des services publics agricoles </w:t>
            </w:r>
          </w:p>
        </w:tc>
        <w:tc>
          <w:tcPr>
            <w:tcW w:w="1942" w:type="dxa"/>
            <w:tcBorders>
              <w:top w:val="single" w:sz="4" w:space="0" w:color="auto"/>
              <w:left w:val="nil"/>
              <w:bottom w:val="single" w:sz="4" w:space="0" w:color="auto"/>
              <w:right w:val="single" w:sz="4" w:space="0" w:color="auto"/>
            </w:tcBorders>
            <w:shd w:val="clear" w:color="auto" w:fill="C6EFCE"/>
            <w:noWrap/>
          </w:tcPr>
          <w:p w14:paraId="55A158C8" w14:textId="77777777" w:rsidR="00553430" w:rsidRDefault="00212577">
            <w:pPr>
              <w:pStyle w:val="P68B1DB1-Normal66"/>
              <w:spacing w:after="200" w:line="276" w:lineRule="auto"/>
              <w:rPr>
                <w:noProof/>
              </w:rPr>
            </w:pPr>
            <w:r>
              <w:rPr>
                <w:noProof/>
              </w:rPr>
              <w:t xml:space="preserve"> </w:t>
            </w:r>
          </w:p>
        </w:tc>
        <w:tc>
          <w:tcPr>
            <w:tcW w:w="712" w:type="dxa"/>
            <w:tcBorders>
              <w:top w:val="single" w:sz="4" w:space="0" w:color="auto"/>
              <w:left w:val="nil"/>
              <w:bottom w:val="single" w:sz="4" w:space="0" w:color="auto"/>
              <w:right w:val="single" w:sz="4" w:space="0" w:color="auto"/>
            </w:tcBorders>
            <w:shd w:val="clear" w:color="auto" w:fill="C6EFCE"/>
            <w:noWrap/>
          </w:tcPr>
          <w:p w14:paraId="29D7CBD8" w14:textId="77777777" w:rsidR="00553430" w:rsidRDefault="00212577">
            <w:pPr>
              <w:pStyle w:val="P68B1DB1-Normal66"/>
              <w:spacing w:after="200" w:line="276" w:lineRule="auto"/>
              <w:jc w:val="center"/>
              <w:rPr>
                <w:noProof/>
              </w:rPr>
            </w:pPr>
            <w:r>
              <w:rPr>
                <w:noProof/>
              </w:rPr>
              <w:t>Numéro</w:t>
            </w:r>
          </w:p>
        </w:tc>
        <w:tc>
          <w:tcPr>
            <w:tcW w:w="835" w:type="dxa"/>
            <w:tcBorders>
              <w:top w:val="single" w:sz="4" w:space="0" w:color="auto"/>
              <w:left w:val="nil"/>
              <w:bottom w:val="single" w:sz="4" w:space="0" w:color="auto"/>
              <w:right w:val="single" w:sz="4" w:space="0" w:color="auto"/>
            </w:tcBorders>
            <w:shd w:val="clear" w:color="auto" w:fill="C6EFCE"/>
            <w:noWrap/>
          </w:tcPr>
          <w:p w14:paraId="56B3F97B" w14:textId="77777777" w:rsidR="00553430" w:rsidRDefault="00212577">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5176BF9F" w14:textId="77777777" w:rsidR="00553430" w:rsidRDefault="00212577">
            <w:pPr>
              <w:pStyle w:val="P68B1DB1-Normal66"/>
              <w:spacing w:after="200" w:line="276" w:lineRule="auto"/>
              <w:jc w:val="center"/>
              <w:rPr>
                <w:noProof/>
              </w:rPr>
            </w:pPr>
            <w:r>
              <w:rPr>
                <w:noProof/>
              </w:rPr>
              <w:t>30</w:t>
            </w:r>
          </w:p>
        </w:tc>
        <w:tc>
          <w:tcPr>
            <w:tcW w:w="756" w:type="dxa"/>
            <w:tcBorders>
              <w:top w:val="single" w:sz="4" w:space="0" w:color="auto"/>
              <w:left w:val="nil"/>
              <w:bottom w:val="single" w:sz="4" w:space="0" w:color="auto"/>
              <w:right w:val="single" w:sz="4" w:space="0" w:color="auto"/>
            </w:tcBorders>
            <w:shd w:val="clear" w:color="auto" w:fill="C6EFCE"/>
            <w:noWrap/>
          </w:tcPr>
          <w:p w14:paraId="53A20BBB" w14:textId="77777777" w:rsidR="00553430" w:rsidRDefault="00212577">
            <w:pPr>
              <w:pStyle w:val="P68B1DB1-Normal66"/>
              <w:spacing w:after="200" w:line="276" w:lineRule="auto"/>
              <w:jc w:val="center"/>
              <w:rPr>
                <w:noProof/>
              </w:rPr>
            </w:pPr>
            <w:r>
              <w:rPr>
                <w:noProof/>
              </w:rPr>
              <w:t>T4</w:t>
            </w:r>
          </w:p>
        </w:tc>
        <w:tc>
          <w:tcPr>
            <w:tcW w:w="797" w:type="dxa"/>
            <w:tcBorders>
              <w:top w:val="single" w:sz="4" w:space="0" w:color="auto"/>
              <w:left w:val="nil"/>
              <w:bottom w:val="single" w:sz="4" w:space="0" w:color="auto"/>
              <w:right w:val="single" w:sz="4" w:space="0" w:color="auto"/>
            </w:tcBorders>
            <w:shd w:val="clear" w:color="auto" w:fill="C6EFCE"/>
            <w:noWrap/>
          </w:tcPr>
          <w:p w14:paraId="0AA8DE07" w14:textId="77777777" w:rsidR="00553430" w:rsidRDefault="00212577">
            <w:pPr>
              <w:pStyle w:val="P68B1DB1-Normal66"/>
              <w:spacing w:after="200" w:line="276" w:lineRule="auto"/>
              <w:jc w:val="center"/>
              <w:rPr>
                <w:noProof/>
              </w:rPr>
            </w:pPr>
            <w:r>
              <w:rPr>
                <w:noProof/>
              </w:rPr>
              <w:t>2024</w:t>
            </w:r>
          </w:p>
        </w:tc>
        <w:tc>
          <w:tcPr>
            <w:tcW w:w="5172" w:type="dxa"/>
            <w:tcBorders>
              <w:top w:val="single" w:sz="4" w:space="0" w:color="auto"/>
              <w:left w:val="nil"/>
              <w:bottom w:val="single" w:sz="4" w:space="0" w:color="auto"/>
              <w:right w:val="single" w:sz="4" w:space="0" w:color="auto"/>
            </w:tcBorders>
            <w:shd w:val="clear" w:color="auto" w:fill="C6EFCE"/>
            <w:noWrap/>
          </w:tcPr>
          <w:p w14:paraId="0B5A64E6" w14:textId="77777777" w:rsidR="00553430" w:rsidRDefault="00212577">
            <w:pPr>
              <w:pStyle w:val="P68B1DB1-Normal66"/>
              <w:spacing w:after="200" w:line="276" w:lineRule="auto"/>
              <w:rPr>
                <w:noProof/>
              </w:rPr>
            </w:pPr>
            <w:r>
              <w:rPr>
                <w:noProof/>
              </w:rPr>
              <w:t xml:space="preserve">Le plan d’action pour la transformation numérique sert de base à l’enregistrement de tous les services agricoles à numériser. Le plan d'action comprend un modèle et un processus de transformation pour chaque service public enregistré. Au moins 30 services </w:t>
            </w:r>
            <w:r>
              <w:rPr>
                <w:noProof/>
              </w:rPr>
              <w:t>publics qui sont enregistrés dans le plan d’action et soutenus au titre du plan croate pour la reprise et la résilience sont numérisés et mis à la disposition des bénéficiaires. Le plan d’action définit les différents services publics à numériser dans le c</w:t>
            </w:r>
            <w:r>
              <w:rPr>
                <w:noProof/>
              </w:rPr>
              <w:t>adre de la mise en œuvre du projet. Au moins 30 services sont numérisés et mis à la disposition des bénéficiaires.</w:t>
            </w:r>
          </w:p>
        </w:tc>
      </w:tr>
      <w:tr w:rsidR="00553430" w14:paraId="7EA1CF62"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3DBB2371" w14:textId="77777777" w:rsidR="00553430" w:rsidRDefault="00212577">
            <w:pPr>
              <w:pStyle w:val="P68B1DB1-Normal66"/>
              <w:spacing w:after="200" w:line="276" w:lineRule="auto"/>
              <w:jc w:val="center"/>
              <w:rPr>
                <w:noProof/>
              </w:rPr>
            </w:pPr>
            <w:r>
              <w:rPr>
                <w:noProof/>
              </w:rPr>
              <w:t>136</w:t>
            </w:r>
          </w:p>
        </w:tc>
        <w:tc>
          <w:tcPr>
            <w:tcW w:w="1080" w:type="dxa"/>
            <w:tcBorders>
              <w:top w:val="single" w:sz="4" w:space="0" w:color="auto"/>
              <w:left w:val="nil"/>
              <w:bottom w:val="single" w:sz="4" w:space="0" w:color="auto"/>
              <w:right w:val="single" w:sz="4" w:space="0" w:color="auto"/>
            </w:tcBorders>
            <w:shd w:val="clear" w:color="auto" w:fill="C6EFCE"/>
            <w:noWrap/>
          </w:tcPr>
          <w:p w14:paraId="4F4B6EA8" w14:textId="77777777" w:rsidR="00553430" w:rsidRDefault="00212577">
            <w:pPr>
              <w:pStyle w:val="P68B1DB1-Normal66"/>
              <w:spacing w:after="200" w:line="276" w:lineRule="auto"/>
              <w:jc w:val="center"/>
              <w:rPr>
                <w:noProof/>
              </w:rPr>
            </w:pPr>
            <w:r>
              <w:rPr>
                <w:noProof/>
              </w:rPr>
              <w:t>C1.5. R3-I2</w:t>
            </w:r>
          </w:p>
        </w:tc>
        <w:tc>
          <w:tcPr>
            <w:tcW w:w="1026" w:type="dxa"/>
            <w:tcBorders>
              <w:top w:val="single" w:sz="4" w:space="0" w:color="auto"/>
              <w:left w:val="nil"/>
              <w:bottom w:val="single" w:sz="4" w:space="0" w:color="auto"/>
              <w:right w:val="single" w:sz="4" w:space="0" w:color="auto"/>
            </w:tcBorders>
            <w:shd w:val="clear" w:color="auto" w:fill="C6EFCE"/>
            <w:noWrap/>
          </w:tcPr>
          <w:p w14:paraId="1BE0FD3F" w14:textId="77777777" w:rsidR="00553430" w:rsidRDefault="00212577">
            <w:pPr>
              <w:pStyle w:val="P68B1DB1-Normal66"/>
              <w:spacing w:after="200" w:line="276" w:lineRule="auto"/>
              <w:jc w:val="center"/>
              <w:rPr>
                <w:noProof/>
              </w:rPr>
            </w:pPr>
            <w:r>
              <w:rPr>
                <w:noProof/>
              </w:rPr>
              <w:t>M</w:t>
            </w:r>
          </w:p>
        </w:tc>
        <w:tc>
          <w:tcPr>
            <w:tcW w:w="2289" w:type="dxa"/>
            <w:tcBorders>
              <w:top w:val="single" w:sz="4" w:space="0" w:color="auto"/>
              <w:left w:val="nil"/>
              <w:bottom w:val="single" w:sz="4" w:space="0" w:color="auto"/>
              <w:right w:val="single" w:sz="4" w:space="0" w:color="auto"/>
            </w:tcBorders>
            <w:shd w:val="clear" w:color="auto" w:fill="C6EFCE"/>
            <w:noWrap/>
          </w:tcPr>
          <w:p w14:paraId="2160280A" w14:textId="77777777" w:rsidR="00553430" w:rsidRDefault="00212577">
            <w:pPr>
              <w:pStyle w:val="P68B1DB1-Normal66"/>
              <w:spacing w:after="200" w:line="276" w:lineRule="auto"/>
              <w:rPr>
                <w:noProof/>
              </w:rPr>
            </w:pPr>
            <w:r>
              <w:rPr>
                <w:noProof/>
              </w:rPr>
              <w:t xml:space="preserve">Mise en place d'une plateforme Smart Agriculture </w:t>
            </w:r>
          </w:p>
        </w:tc>
        <w:tc>
          <w:tcPr>
            <w:tcW w:w="1942" w:type="dxa"/>
            <w:tcBorders>
              <w:top w:val="single" w:sz="4" w:space="0" w:color="auto"/>
              <w:left w:val="nil"/>
              <w:bottom w:val="single" w:sz="4" w:space="0" w:color="auto"/>
              <w:right w:val="single" w:sz="4" w:space="0" w:color="auto"/>
            </w:tcBorders>
            <w:shd w:val="clear" w:color="auto" w:fill="C6EFCE"/>
            <w:noWrap/>
          </w:tcPr>
          <w:p w14:paraId="00ECCC6C" w14:textId="1A3A9A14" w:rsidR="00553430" w:rsidRDefault="00212577">
            <w:pPr>
              <w:pStyle w:val="P68B1DB1-Normal66"/>
              <w:spacing w:after="200" w:line="276" w:lineRule="auto"/>
              <w:rPr>
                <w:noProof/>
              </w:rPr>
            </w:pPr>
            <w:r>
              <w:rPr>
                <w:noProof/>
              </w:rPr>
              <w:t>Plateforme d'agriculture intelligente disponible</w:t>
            </w:r>
          </w:p>
        </w:tc>
        <w:tc>
          <w:tcPr>
            <w:tcW w:w="712" w:type="dxa"/>
            <w:tcBorders>
              <w:top w:val="single" w:sz="4" w:space="0" w:color="auto"/>
              <w:left w:val="nil"/>
              <w:bottom w:val="single" w:sz="4" w:space="0" w:color="auto"/>
              <w:right w:val="single" w:sz="4" w:space="0" w:color="auto"/>
            </w:tcBorders>
            <w:shd w:val="clear" w:color="auto" w:fill="C6EFCE"/>
            <w:noWrap/>
          </w:tcPr>
          <w:p w14:paraId="176AF4F9" w14:textId="77777777" w:rsidR="00553430" w:rsidRDefault="00212577">
            <w:pPr>
              <w:pStyle w:val="P68B1DB1-Normal66"/>
              <w:spacing w:after="200" w:line="276" w:lineRule="auto"/>
              <w:jc w:val="center"/>
              <w:rPr>
                <w:noProof/>
              </w:rPr>
            </w:pPr>
            <w:r>
              <w:rPr>
                <w:noProof/>
              </w:rPr>
              <w:t> </w:t>
            </w:r>
          </w:p>
        </w:tc>
        <w:tc>
          <w:tcPr>
            <w:tcW w:w="835" w:type="dxa"/>
            <w:tcBorders>
              <w:top w:val="single" w:sz="4" w:space="0" w:color="auto"/>
              <w:left w:val="nil"/>
              <w:bottom w:val="single" w:sz="4" w:space="0" w:color="auto"/>
              <w:right w:val="single" w:sz="4" w:space="0" w:color="auto"/>
            </w:tcBorders>
            <w:shd w:val="clear" w:color="auto" w:fill="C6EFCE"/>
            <w:noWrap/>
          </w:tcPr>
          <w:p w14:paraId="7D44AE99" w14:textId="77777777" w:rsidR="00553430" w:rsidRDefault="00212577">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4EEB2D7D" w14:textId="77777777" w:rsidR="00553430" w:rsidRDefault="00212577">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2F3CE70F" w14:textId="77777777" w:rsidR="00553430" w:rsidRDefault="00212577">
            <w:pPr>
              <w:pStyle w:val="P68B1DB1-Normal66"/>
              <w:spacing w:after="200" w:line="276" w:lineRule="auto"/>
              <w:jc w:val="center"/>
              <w:rPr>
                <w:noProof/>
              </w:rPr>
            </w:pPr>
            <w:r>
              <w:rPr>
                <w:noProof/>
              </w:rPr>
              <w:t>T4</w:t>
            </w:r>
          </w:p>
        </w:tc>
        <w:tc>
          <w:tcPr>
            <w:tcW w:w="797" w:type="dxa"/>
            <w:tcBorders>
              <w:top w:val="single" w:sz="4" w:space="0" w:color="auto"/>
              <w:left w:val="nil"/>
              <w:bottom w:val="single" w:sz="4" w:space="0" w:color="auto"/>
              <w:right w:val="single" w:sz="4" w:space="0" w:color="auto"/>
            </w:tcBorders>
            <w:shd w:val="clear" w:color="auto" w:fill="C6EFCE"/>
            <w:noWrap/>
          </w:tcPr>
          <w:p w14:paraId="4E78EB56" w14:textId="77777777" w:rsidR="00553430" w:rsidRDefault="00212577">
            <w:pPr>
              <w:pStyle w:val="P68B1DB1-Normal66"/>
              <w:spacing w:after="200" w:line="276" w:lineRule="auto"/>
              <w:jc w:val="center"/>
              <w:rPr>
                <w:noProof/>
              </w:rPr>
            </w:pPr>
            <w:r>
              <w:rPr>
                <w:noProof/>
              </w:rPr>
              <w:t>2025</w:t>
            </w:r>
          </w:p>
        </w:tc>
        <w:tc>
          <w:tcPr>
            <w:tcW w:w="5172" w:type="dxa"/>
            <w:tcBorders>
              <w:top w:val="single" w:sz="4" w:space="0" w:color="auto"/>
              <w:left w:val="nil"/>
              <w:bottom w:val="single" w:sz="4" w:space="0" w:color="auto"/>
              <w:right w:val="single" w:sz="4" w:space="0" w:color="auto"/>
            </w:tcBorders>
            <w:shd w:val="clear" w:color="auto" w:fill="C6EFCE"/>
            <w:noWrap/>
          </w:tcPr>
          <w:p w14:paraId="0FE927A0" w14:textId="5535C1F6" w:rsidR="00553430" w:rsidRDefault="00212577">
            <w:pPr>
              <w:pStyle w:val="P68B1DB1-Normal66"/>
              <w:spacing w:after="200" w:line="276" w:lineRule="auto"/>
              <w:rPr>
                <w:noProof/>
              </w:rPr>
            </w:pPr>
            <w:r>
              <w:rPr>
                <w:noProof/>
              </w:rPr>
              <w:t xml:space="preserve">Une </w:t>
            </w:r>
            <w:r>
              <w:rPr>
                <w:noProof/>
              </w:rPr>
              <w:t>plateforme pour une agriculture intelligente est mise à la disposition des bénéficiaires. La plateforme «Agriculture intelligente» fournit des informations actualisées, structurées et actualisées directement à partir des champs et des exploitations agricol</w:t>
            </w:r>
            <w:r>
              <w:rPr>
                <w:noProof/>
              </w:rPr>
              <w:t xml:space="preserve">es. </w:t>
            </w:r>
          </w:p>
        </w:tc>
      </w:tr>
      <w:tr w:rsidR="00553430" w14:paraId="33AE7345"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209DCD87" w14:textId="77777777" w:rsidR="00553430" w:rsidRDefault="00212577">
            <w:pPr>
              <w:pStyle w:val="P68B1DB1-Normal66"/>
              <w:spacing w:after="200" w:line="276" w:lineRule="auto"/>
              <w:jc w:val="center"/>
              <w:rPr>
                <w:noProof/>
              </w:rPr>
            </w:pPr>
            <w:r>
              <w:rPr>
                <w:noProof/>
              </w:rPr>
              <w:t>137</w:t>
            </w:r>
          </w:p>
        </w:tc>
        <w:tc>
          <w:tcPr>
            <w:tcW w:w="1080" w:type="dxa"/>
            <w:tcBorders>
              <w:top w:val="single" w:sz="4" w:space="0" w:color="auto"/>
              <w:left w:val="nil"/>
              <w:bottom w:val="single" w:sz="4" w:space="0" w:color="auto"/>
              <w:right w:val="single" w:sz="4" w:space="0" w:color="auto"/>
            </w:tcBorders>
            <w:shd w:val="clear" w:color="auto" w:fill="C6EFCE"/>
            <w:noWrap/>
          </w:tcPr>
          <w:p w14:paraId="60E26F4F" w14:textId="77777777" w:rsidR="00553430" w:rsidRDefault="00212577">
            <w:pPr>
              <w:pStyle w:val="P68B1DB1-Normal66"/>
              <w:spacing w:after="200" w:line="276" w:lineRule="auto"/>
              <w:jc w:val="center"/>
              <w:rPr>
                <w:noProof/>
              </w:rPr>
            </w:pPr>
            <w:r>
              <w:rPr>
                <w:noProof/>
              </w:rPr>
              <w:t>C1.5. R3-I3</w:t>
            </w:r>
          </w:p>
        </w:tc>
        <w:tc>
          <w:tcPr>
            <w:tcW w:w="1026" w:type="dxa"/>
            <w:tcBorders>
              <w:top w:val="single" w:sz="4" w:space="0" w:color="auto"/>
              <w:left w:val="nil"/>
              <w:bottom w:val="single" w:sz="4" w:space="0" w:color="auto"/>
              <w:right w:val="single" w:sz="4" w:space="0" w:color="auto"/>
            </w:tcBorders>
            <w:shd w:val="clear" w:color="auto" w:fill="C6EFCE"/>
            <w:noWrap/>
          </w:tcPr>
          <w:p w14:paraId="69D51D89" w14:textId="77777777" w:rsidR="00553430" w:rsidRDefault="00212577">
            <w:pPr>
              <w:pStyle w:val="P68B1DB1-Normal66"/>
              <w:spacing w:after="200" w:line="276" w:lineRule="auto"/>
              <w:jc w:val="center"/>
              <w:rPr>
                <w:noProof/>
              </w:rPr>
            </w:pPr>
            <w:r>
              <w:rPr>
                <w:noProof/>
              </w:rPr>
              <w:t>M</w:t>
            </w:r>
          </w:p>
        </w:tc>
        <w:tc>
          <w:tcPr>
            <w:tcW w:w="2289" w:type="dxa"/>
            <w:tcBorders>
              <w:top w:val="single" w:sz="4" w:space="0" w:color="auto"/>
              <w:left w:val="nil"/>
              <w:bottom w:val="single" w:sz="4" w:space="0" w:color="auto"/>
              <w:right w:val="single" w:sz="4" w:space="0" w:color="auto"/>
            </w:tcBorders>
            <w:shd w:val="clear" w:color="auto" w:fill="C6EFCE"/>
            <w:noWrap/>
          </w:tcPr>
          <w:p w14:paraId="2FDB09EE" w14:textId="77777777" w:rsidR="00553430" w:rsidRDefault="00212577">
            <w:pPr>
              <w:pStyle w:val="P68B1DB1-Normal66"/>
              <w:spacing w:after="200" w:line="276" w:lineRule="auto"/>
              <w:rPr>
                <w:noProof/>
              </w:rPr>
            </w:pPr>
            <w:r>
              <w:rPr>
                <w:noProof/>
              </w:rPr>
              <w:t xml:space="preserve">Mise en place d'un système d'information sur la traçabilité </w:t>
            </w:r>
          </w:p>
        </w:tc>
        <w:tc>
          <w:tcPr>
            <w:tcW w:w="1942" w:type="dxa"/>
            <w:tcBorders>
              <w:top w:val="single" w:sz="4" w:space="0" w:color="auto"/>
              <w:left w:val="nil"/>
              <w:bottom w:val="single" w:sz="4" w:space="0" w:color="auto"/>
              <w:right w:val="single" w:sz="4" w:space="0" w:color="auto"/>
            </w:tcBorders>
            <w:shd w:val="clear" w:color="auto" w:fill="C6EFCE"/>
            <w:noWrap/>
          </w:tcPr>
          <w:p w14:paraId="0118BE4A" w14:textId="77777777" w:rsidR="00553430" w:rsidRDefault="00212577">
            <w:pPr>
              <w:pStyle w:val="P68B1DB1-Normal66"/>
              <w:spacing w:after="200" w:line="276" w:lineRule="auto"/>
              <w:rPr>
                <w:noProof/>
              </w:rPr>
            </w:pPr>
            <w:r>
              <w:rPr>
                <w:noProof/>
              </w:rPr>
              <w:t>Système d'information sur la traçabilité opérationnel et accessible au public</w:t>
            </w:r>
          </w:p>
        </w:tc>
        <w:tc>
          <w:tcPr>
            <w:tcW w:w="712" w:type="dxa"/>
            <w:tcBorders>
              <w:top w:val="single" w:sz="4" w:space="0" w:color="auto"/>
              <w:left w:val="nil"/>
              <w:bottom w:val="single" w:sz="4" w:space="0" w:color="auto"/>
              <w:right w:val="single" w:sz="4" w:space="0" w:color="auto"/>
            </w:tcBorders>
            <w:shd w:val="clear" w:color="auto" w:fill="C6EFCE"/>
            <w:noWrap/>
          </w:tcPr>
          <w:p w14:paraId="2D48D3A8" w14:textId="77777777" w:rsidR="00553430" w:rsidRDefault="00212577">
            <w:pPr>
              <w:pStyle w:val="P68B1DB1-Normal66"/>
              <w:spacing w:after="200" w:line="276" w:lineRule="auto"/>
              <w:jc w:val="center"/>
              <w:rPr>
                <w:noProof/>
              </w:rPr>
            </w:pPr>
            <w:r>
              <w:rPr>
                <w:noProof/>
              </w:rPr>
              <w:t> </w:t>
            </w:r>
          </w:p>
        </w:tc>
        <w:tc>
          <w:tcPr>
            <w:tcW w:w="835" w:type="dxa"/>
            <w:tcBorders>
              <w:top w:val="single" w:sz="4" w:space="0" w:color="auto"/>
              <w:left w:val="nil"/>
              <w:bottom w:val="single" w:sz="4" w:space="0" w:color="auto"/>
              <w:right w:val="single" w:sz="4" w:space="0" w:color="auto"/>
            </w:tcBorders>
            <w:shd w:val="clear" w:color="auto" w:fill="C6EFCE"/>
            <w:noWrap/>
          </w:tcPr>
          <w:p w14:paraId="5DECA567" w14:textId="77777777" w:rsidR="00553430" w:rsidRDefault="00212577">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5A924FCC" w14:textId="77777777" w:rsidR="00553430" w:rsidRDefault="00212577">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3A0C3281" w14:textId="77777777" w:rsidR="00553430" w:rsidRDefault="00212577">
            <w:pPr>
              <w:pStyle w:val="P68B1DB1-Normal66"/>
              <w:spacing w:after="200" w:line="276" w:lineRule="auto"/>
              <w:jc w:val="center"/>
              <w:rPr>
                <w:noProof/>
              </w:rPr>
            </w:pPr>
            <w:r>
              <w:rPr>
                <w:noProof/>
              </w:rPr>
              <w:t xml:space="preserve">T4 </w:t>
            </w:r>
          </w:p>
        </w:tc>
        <w:tc>
          <w:tcPr>
            <w:tcW w:w="797" w:type="dxa"/>
            <w:tcBorders>
              <w:top w:val="single" w:sz="4" w:space="0" w:color="auto"/>
              <w:left w:val="nil"/>
              <w:bottom w:val="single" w:sz="4" w:space="0" w:color="auto"/>
              <w:right w:val="single" w:sz="4" w:space="0" w:color="auto"/>
            </w:tcBorders>
            <w:shd w:val="clear" w:color="auto" w:fill="C6EFCE"/>
            <w:noWrap/>
          </w:tcPr>
          <w:p w14:paraId="00FA6033" w14:textId="77777777" w:rsidR="00553430" w:rsidRDefault="00212577">
            <w:pPr>
              <w:pStyle w:val="P68B1DB1-Normal66"/>
              <w:spacing w:after="200" w:line="276" w:lineRule="auto"/>
              <w:jc w:val="center"/>
              <w:rPr>
                <w:noProof/>
              </w:rPr>
            </w:pPr>
            <w:r>
              <w:rPr>
                <w:noProof/>
              </w:rPr>
              <w:t>2024</w:t>
            </w:r>
          </w:p>
        </w:tc>
        <w:tc>
          <w:tcPr>
            <w:tcW w:w="5172" w:type="dxa"/>
            <w:tcBorders>
              <w:top w:val="single" w:sz="4" w:space="0" w:color="auto"/>
              <w:left w:val="nil"/>
              <w:bottom w:val="single" w:sz="4" w:space="0" w:color="auto"/>
              <w:right w:val="single" w:sz="4" w:space="0" w:color="auto"/>
            </w:tcBorders>
            <w:shd w:val="clear" w:color="auto" w:fill="C6EFCE"/>
            <w:noWrap/>
          </w:tcPr>
          <w:p w14:paraId="20493622" w14:textId="77777777" w:rsidR="00553430" w:rsidRDefault="00212577">
            <w:pPr>
              <w:pStyle w:val="P68B1DB1-Normal66"/>
              <w:spacing w:after="200" w:line="276" w:lineRule="auto"/>
              <w:rPr>
                <w:noProof/>
              </w:rPr>
            </w:pPr>
            <w:r>
              <w:rPr>
                <w:noProof/>
              </w:rPr>
              <w:t xml:space="preserve">Le système d'information sur la traçabilité prévu permet une meilleure </w:t>
            </w:r>
            <w:r>
              <w:rPr>
                <w:noProof/>
              </w:rPr>
              <w:t>information des consommateurs sous la forme d'un suivi de la traçabilité des produits agricoles et alimentaires. Le système est volontaire et est utilisé pour unifier et faciliter le suivi des informations, faciliter les affaires et fournir des information</w:t>
            </w:r>
            <w:r>
              <w:rPr>
                <w:noProof/>
              </w:rPr>
              <w:t>s aux consommateurs au moyen d’un code QR. Le système est conçu pour se connecter à d’autres systèmes électroniques et mettre à jour en permanence les informations relatives à la traçabilité. Le système est également susceptible d'enregistrer des informati</w:t>
            </w:r>
            <w:r>
              <w:rPr>
                <w:noProof/>
              </w:rPr>
              <w:t>ons sur les professionnels et les intermédiaires susceptibles de ne jamais entrer en contact physique avec le produit.</w:t>
            </w:r>
          </w:p>
        </w:tc>
      </w:tr>
      <w:tr w:rsidR="00553430" w14:paraId="70FC1E27"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4688F6E5" w14:textId="77777777" w:rsidR="00553430" w:rsidRDefault="00212577">
            <w:pPr>
              <w:pStyle w:val="P68B1DB1-Normal66"/>
              <w:spacing w:after="200" w:line="276" w:lineRule="auto"/>
              <w:jc w:val="center"/>
              <w:rPr>
                <w:noProof/>
              </w:rPr>
            </w:pPr>
            <w:r>
              <w:rPr>
                <w:noProof/>
              </w:rPr>
              <w:t>138</w:t>
            </w:r>
          </w:p>
        </w:tc>
        <w:tc>
          <w:tcPr>
            <w:tcW w:w="1080" w:type="dxa"/>
            <w:tcBorders>
              <w:top w:val="single" w:sz="4" w:space="0" w:color="auto"/>
              <w:left w:val="nil"/>
              <w:bottom w:val="single" w:sz="4" w:space="0" w:color="auto"/>
              <w:right w:val="single" w:sz="4" w:space="0" w:color="auto"/>
            </w:tcBorders>
            <w:shd w:val="clear" w:color="auto" w:fill="C6EFCE"/>
            <w:noWrap/>
          </w:tcPr>
          <w:p w14:paraId="0F7482B4" w14:textId="77777777" w:rsidR="00553430" w:rsidRDefault="00212577">
            <w:pPr>
              <w:pStyle w:val="P68B1DB1-Normal66"/>
              <w:spacing w:after="200" w:line="276" w:lineRule="auto"/>
              <w:jc w:val="center"/>
              <w:rPr>
                <w:noProof/>
              </w:rPr>
            </w:pPr>
            <w:r>
              <w:rPr>
                <w:noProof/>
              </w:rPr>
              <w:t>C1.5. R4</w:t>
            </w:r>
          </w:p>
        </w:tc>
        <w:tc>
          <w:tcPr>
            <w:tcW w:w="1026" w:type="dxa"/>
            <w:tcBorders>
              <w:top w:val="single" w:sz="4" w:space="0" w:color="auto"/>
              <w:left w:val="nil"/>
              <w:bottom w:val="single" w:sz="4" w:space="0" w:color="auto"/>
              <w:right w:val="single" w:sz="4" w:space="0" w:color="auto"/>
            </w:tcBorders>
            <w:shd w:val="clear" w:color="auto" w:fill="C6EFCE"/>
            <w:noWrap/>
          </w:tcPr>
          <w:p w14:paraId="03C6E48C" w14:textId="77777777" w:rsidR="00553430" w:rsidRDefault="00212577">
            <w:pPr>
              <w:pStyle w:val="P68B1DB1-Normal66"/>
              <w:spacing w:after="200" w:line="276" w:lineRule="auto"/>
              <w:jc w:val="center"/>
              <w:rPr>
                <w:noProof/>
              </w:rPr>
            </w:pPr>
            <w:r>
              <w:rPr>
                <w:noProof/>
              </w:rPr>
              <w:t>M</w:t>
            </w:r>
          </w:p>
        </w:tc>
        <w:tc>
          <w:tcPr>
            <w:tcW w:w="2289" w:type="dxa"/>
            <w:tcBorders>
              <w:top w:val="single" w:sz="4" w:space="0" w:color="auto"/>
              <w:left w:val="nil"/>
              <w:bottom w:val="single" w:sz="4" w:space="0" w:color="auto"/>
              <w:right w:val="single" w:sz="4" w:space="0" w:color="auto"/>
            </w:tcBorders>
            <w:shd w:val="clear" w:color="auto" w:fill="C6EFCE"/>
            <w:noWrap/>
          </w:tcPr>
          <w:p w14:paraId="003A8855" w14:textId="77777777" w:rsidR="00553430" w:rsidRDefault="00212577">
            <w:pPr>
              <w:pStyle w:val="P68B1DB1-Normal66"/>
              <w:spacing w:after="200" w:line="276" w:lineRule="auto"/>
              <w:rPr>
                <w:noProof/>
              </w:rPr>
            </w:pPr>
            <w:r>
              <w:rPr>
                <w:noProof/>
              </w:rPr>
              <w:t xml:space="preserve">La plateforme en ligne pour la prévention du gaspillage alimentaire et la mise à niveau du système informatique des dons alimentaires </w:t>
            </w:r>
          </w:p>
        </w:tc>
        <w:tc>
          <w:tcPr>
            <w:tcW w:w="1942" w:type="dxa"/>
            <w:tcBorders>
              <w:top w:val="single" w:sz="4" w:space="0" w:color="auto"/>
              <w:left w:val="nil"/>
              <w:bottom w:val="single" w:sz="4" w:space="0" w:color="auto"/>
              <w:right w:val="single" w:sz="4" w:space="0" w:color="auto"/>
            </w:tcBorders>
            <w:shd w:val="clear" w:color="auto" w:fill="C6EFCE"/>
            <w:noWrap/>
          </w:tcPr>
          <w:p w14:paraId="608CE491" w14:textId="77777777" w:rsidR="00553430" w:rsidRDefault="00212577">
            <w:pPr>
              <w:pStyle w:val="P68B1DB1-Normal66"/>
              <w:spacing w:after="200" w:line="276" w:lineRule="auto"/>
              <w:rPr>
                <w:noProof/>
              </w:rPr>
            </w:pPr>
            <w:r>
              <w:rPr>
                <w:noProof/>
              </w:rPr>
              <w:t>La plateforme en ligne pour la prévention du gaspillage alimentaire et la mise à niveau de la solution technique du systè</w:t>
            </w:r>
            <w:r>
              <w:rPr>
                <w:noProof/>
              </w:rPr>
              <w:t>me informatique pour les dons alimentaires est opérationnelle et accessible au public</w:t>
            </w:r>
          </w:p>
        </w:tc>
        <w:tc>
          <w:tcPr>
            <w:tcW w:w="712" w:type="dxa"/>
            <w:tcBorders>
              <w:top w:val="single" w:sz="4" w:space="0" w:color="auto"/>
              <w:left w:val="nil"/>
              <w:bottom w:val="single" w:sz="4" w:space="0" w:color="auto"/>
              <w:right w:val="single" w:sz="4" w:space="0" w:color="auto"/>
            </w:tcBorders>
            <w:shd w:val="clear" w:color="auto" w:fill="C6EFCE"/>
            <w:noWrap/>
          </w:tcPr>
          <w:p w14:paraId="182977A8" w14:textId="77777777" w:rsidR="00553430" w:rsidRDefault="00212577">
            <w:pPr>
              <w:pStyle w:val="P68B1DB1-Normal66"/>
              <w:spacing w:after="200" w:line="276" w:lineRule="auto"/>
              <w:jc w:val="center"/>
              <w:rPr>
                <w:noProof/>
              </w:rPr>
            </w:pPr>
            <w:r>
              <w:rPr>
                <w:noProof/>
              </w:rPr>
              <w:t> </w:t>
            </w:r>
          </w:p>
        </w:tc>
        <w:tc>
          <w:tcPr>
            <w:tcW w:w="835" w:type="dxa"/>
            <w:tcBorders>
              <w:top w:val="single" w:sz="4" w:space="0" w:color="auto"/>
              <w:left w:val="nil"/>
              <w:bottom w:val="single" w:sz="4" w:space="0" w:color="auto"/>
              <w:right w:val="single" w:sz="4" w:space="0" w:color="auto"/>
            </w:tcBorders>
            <w:shd w:val="clear" w:color="auto" w:fill="C6EFCE"/>
            <w:noWrap/>
          </w:tcPr>
          <w:p w14:paraId="09E015E4" w14:textId="77777777" w:rsidR="00553430" w:rsidRDefault="00212577">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74B48598" w14:textId="77777777" w:rsidR="00553430" w:rsidRDefault="00212577">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4C761A25" w14:textId="77777777" w:rsidR="00553430" w:rsidRDefault="00212577">
            <w:pPr>
              <w:pStyle w:val="P68B1DB1-Normal66"/>
              <w:spacing w:after="200" w:line="276" w:lineRule="auto"/>
              <w:jc w:val="center"/>
              <w:rPr>
                <w:noProof/>
              </w:rPr>
            </w:pPr>
            <w:r>
              <w:rPr>
                <w:noProof/>
              </w:rPr>
              <w:t>T2</w:t>
            </w:r>
          </w:p>
        </w:tc>
        <w:tc>
          <w:tcPr>
            <w:tcW w:w="797" w:type="dxa"/>
            <w:tcBorders>
              <w:top w:val="single" w:sz="4" w:space="0" w:color="auto"/>
              <w:left w:val="nil"/>
              <w:bottom w:val="single" w:sz="4" w:space="0" w:color="auto"/>
              <w:right w:val="single" w:sz="4" w:space="0" w:color="auto"/>
            </w:tcBorders>
            <w:shd w:val="clear" w:color="auto" w:fill="C6EFCE"/>
            <w:noWrap/>
          </w:tcPr>
          <w:p w14:paraId="69D5D614" w14:textId="77777777" w:rsidR="00553430" w:rsidRDefault="00212577">
            <w:pPr>
              <w:pStyle w:val="P68B1DB1-Normal66"/>
              <w:spacing w:after="200" w:line="276" w:lineRule="auto"/>
              <w:jc w:val="center"/>
              <w:rPr>
                <w:noProof/>
              </w:rPr>
            </w:pPr>
            <w:r>
              <w:rPr>
                <w:noProof/>
              </w:rPr>
              <w:t>2022</w:t>
            </w:r>
          </w:p>
        </w:tc>
        <w:tc>
          <w:tcPr>
            <w:tcW w:w="5172" w:type="dxa"/>
            <w:tcBorders>
              <w:top w:val="single" w:sz="4" w:space="0" w:color="auto"/>
              <w:left w:val="nil"/>
              <w:bottom w:val="single" w:sz="4" w:space="0" w:color="auto"/>
              <w:right w:val="single" w:sz="4" w:space="0" w:color="auto"/>
            </w:tcBorders>
            <w:shd w:val="clear" w:color="auto" w:fill="C6EFCE"/>
            <w:noWrap/>
          </w:tcPr>
          <w:p w14:paraId="4B82B8E6" w14:textId="77777777" w:rsidR="00553430" w:rsidRDefault="00212577">
            <w:pPr>
              <w:pStyle w:val="P68B1DB1-Normal66"/>
              <w:spacing w:after="200" w:line="276" w:lineRule="auto"/>
              <w:rPr>
                <w:noProof/>
              </w:rPr>
            </w:pPr>
            <w:r>
              <w:rPr>
                <w:noProof/>
              </w:rPr>
              <w:t xml:space="preserve">La plateforme en ligne sur la prévention et la réduction du gaspillage alimentaire est lancée afin de diffuser les meilleures pratiques, de sensibiliser et </w:t>
            </w:r>
            <w:r>
              <w:rPr>
                <w:noProof/>
              </w:rPr>
              <w:t>d’éduquer sur la question du gaspillage alimentaire et des dons alimentaires. Le système informatique relatif aux dons alimentaires, qui est déjà opérationnel, est mis à niveau avec de nouvelles fonctionnalités, dont la possibilité d’une gouvernance région</w:t>
            </w:r>
            <w:r>
              <w:rPr>
                <w:noProof/>
              </w:rPr>
              <w:t xml:space="preserve">ale du système et d’une représentation statistique des données est mise en évidence. </w:t>
            </w:r>
          </w:p>
        </w:tc>
      </w:tr>
      <w:tr w:rsidR="00553430" w14:paraId="06991E5F"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131DACC4" w14:textId="77777777" w:rsidR="00553430" w:rsidRDefault="00212577">
            <w:pPr>
              <w:pStyle w:val="P68B1DB1-Normal66"/>
              <w:spacing w:after="200" w:line="276" w:lineRule="auto"/>
              <w:jc w:val="center"/>
              <w:rPr>
                <w:noProof/>
              </w:rPr>
            </w:pPr>
            <w:r>
              <w:rPr>
                <w:noProof/>
              </w:rPr>
              <w:t>139</w:t>
            </w:r>
          </w:p>
        </w:tc>
        <w:tc>
          <w:tcPr>
            <w:tcW w:w="1080" w:type="dxa"/>
            <w:tcBorders>
              <w:top w:val="single" w:sz="4" w:space="0" w:color="auto"/>
              <w:left w:val="nil"/>
              <w:bottom w:val="single" w:sz="4" w:space="0" w:color="auto"/>
              <w:right w:val="single" w:sz="4" w:space="0" w:color="auto"/>
            </w:tcBorders>
            <w:shd w:val="clear" w:color="auto" w:fill="C6EFCE"/>
            <w:noWrap/>
          </w:tcPr>
          <w:p w14:paraId="74799292" w14:textId="77777777" w:rsidR="00553430" w:rsidRDefault="00212577">
            <w:pPr>
              <w:pStyle w:val="P68B1DB1-Normal66"/>
              <w:spacing w:after="200" w:line="276" w:lineRule="auto"/>
              <w:jc w:val="center"/>
              <w:rPr>
                <w:noProof/>
              </w:rPr>
            </w:pPr>
            <w:r>
              <w:rPr>
                <w:noProof/>
              </w:rPr>
              <w:t>C1.5. R4-I1</w:t>
            </w:r>
          </w:p>
        </w:tc>
        <w:tc>
          <w:tcPr>
            <w:tcW w:w="1026" w:type="dxa"/>
            <w:tcBorders>
              <w:top w:val="single" w:sz="4" w:space="0" w:color="auto"/>
              <w:left w:val="nil"/>
              <w:bottom w:val="single" w:sz="4" w:space="0" w:color="auto"/>
              <w:right w:val="single" w:sz="4" w:space="0" w:color="auto"/>
            </w:tcBorders>
            <w:shd w:val="clear" w:color="auto" w:fill="C6EFCE"/>
            <w:noWrap/>
          </w:tcPr>
          <w:p w14:paraId="76F8F428" w14:textId="77777777" w:rsidR="00553430" w:rsidRDefault="00212577">
            <w:pPr>
              <w:pStyle w:val="P68B1DB1-Normal66"/>
              <w:spacing w:after="200" w:line="276" w:lineRule="auto"/>
              <w:jc w:val="center"/>
              <w:rPr>
                <w:noProof/>
              </w:rPr>
            </w:pPr>
            <w:r>
              <w:rPr>
                <w:noProof/>
              </w:rPr>
              <w:t>M</w:t>
            </w:r>
          </w:p>
        </w:tc>
        <w:tc>
          <w:tcPr>
            <w:tcW w:w="2289" w:type="dxa"/>
            <w:tcBorders>
              <w:top w:val="single" w:sz="4" w:space="0" w:color="auto"/>
              <w:left w:val="nil"/>
              <w:bottom w:val="single" w:sz="4" w:space="0" w:color="auto"/>
              <w:right w:val="single" w:sz="4" w:space="0" w:color="auto"/>
            </w:tcBorders>
            <w:shd w:val="clear" w:color="auto" w:fill="C6EFCE"/>
            <w:noWrap/>
          </w:tcPr>
          <w:p w14:paraId="47BB8BF5" w14:textId="77777777" w:rsidR="00553430" w:rsidRDefault="00212577">
            <w:pPr>
              <w:pStyle w:val="P68B1DB1-Normal66"/>
              <w:spacing w:after="200" w:line="276" w:lineRule="auto"/>
              <w:rPr>
                <w:noProof/>
              </w:rPr>
            </w:pPr>
            <w:r>
              <w:rPr>
                <w:noProof/>
              </w:rPr>
              <w:t xml:space="preserve">Régime de soutien à l’équipement des infrastructures des banques alimentaires et des intermédiaires dans la chaîne des dons alimentaires </w:t>
            </w:r>
          </w:p>
        </w:tc>
        <w:tc>
          <w:tcPr>
            <w:tcW w:w="1942" w:type="dxa"/>
            <w:tcBorders>
              <w:top w:val="single" w:sz="4" w:space="0" w:color="auto"/>
              <w:left w:val="nil"/>
              <w:bottom w:val="single" w:sz="4" w:space="0" w:color="auto"/>
              <w:right w:val="single" w:sz="4" w:space="0" w:color="auto"/>
            </w:tcBorders>
            <w:shd w:val="clear" w:color="auto" w:fill="C6EFCE"/>
            <w:noWrap/>
          </w:tcPr>
          <w:p w14:paraId="00F4FF5D" w14:textId="77777777" w:rsidR="00553430" w:rsidRDefault="00212577">
            <w:pPr>
              <w:pStyle w:val="P68B1DB1-Normal66"/>
              <w:spacing w:after="200" w:line="276" w:lineRule="auto"/>
              <w:rPr>
                <w:noProof/>
              </w:rPr>
            </w:pPr>
            <w:r>
              <w:rPr>
                <w:noProof/>
              </w:rPr>
              <w:t>Mise en œuvre</w:t>
            </w:r>
            <w:r>
              <w:rPr>
                <w:noProof/>
              </w:rPr>
              <w:t xml:space="preserve"> d’un programme de soutien à l’équipement des infrastructures des banques alimentaires et des intermédiaires dans la chaîne des dons alimentaires et décaissement des fonds</w:t>
            </w:r>
          </w:p>
        </w:tc>
        <w:tc>
          <w:tcPr>
            <w:tcW w:w="712" w:type="dxa"/>
            <w:tcBorders>
              <w:top w:val="single" w:sz="4" w:space="0" w:color="auto"/>
              <w:left w:val="nil"/>
              <w:bottom w:val="single" w:sz="4" w:space="0" w:color="auto"/>
              <w:right w:val="single" w:sz="4" w:space="0" w:color="auto"/>
            </w:tcBorders>
            <w:shd w:val="clear" w:color="auto" w:fill="C6EFCE"/>
            <w:noWrap/>
          </w:tcPr>
          <w:p w14:paraId="51F53F97" w14:textId="77777777" w:rsidR="00553430" w:rsidRDefault="00212577">
            <w:pPr>
              <w:pStyle w:val="P68B1DB1-Normal66"/>
              <w:spacing w:after="200" w:line="276" w:lineRule="auto"/>
              <w:jc w:val="center"/>
              <w:rPr>
                <w:noProof/>
              </w:rPr>
            </w:pPr>
            <w:r>
              <w:rPr>
                <w:noProof/>
              </w:rPr>
              <w:t> </w:t>
            </w:r>
          </w:p>
        </w:tc>
        <w:tc>
          <w:tcPr>
            <w:tcW w:w="835" w:type="dxa"/>
            <w:tcBorders>
              <w:top w:val="single" w:sz="4" w:space="0" w:color="auto"/>
              <w:left w:val="nil"/>
              <w:bottom w:val="single" w:sz="4" w:space="0" w:color="auto"/>
              <w:right w:val="single" w:sz="4" w:space="0" w:color="auto"/>
            </w:tcBorders>
            <w:shd w:val="clear" w:color="auto" w:fill="C6EFCE"/>
            <w:noWrap/>
          </w:tcPr>
          <w:p w14:paraId="48957586" w14:textId="77777777" w:rsidR="00553430" w:rsidRDefault="00212577">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28CA69AD" w14:textId="77777777" w:rsidR="00553430" w:rsidRDefault="00212577">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7844DD13" w14:textId="77777777" w:rsidR="00553430" w:rsidRDefault="00212577">
            <w:pPr>
              <w:pStyle w:val="P68B1DB1-Normal66"/>
              <w:spacing w:after="200" w:line="276" w:lineRule="auto"/>
              <w:jc w:val="center"/>
              <w:rPr>
                <w:noProof/>
              </w:rPr>
            </w:pPr>
            <w:r>
              <w:rPr>
                <w:noProof/>
              </w:rPr>
              <w:t>T4</w:t>
            </w:r>
          </w:p>
        </w:tc>
        <w:tc>
          <w:tcPr>
            <w:tcW w:w="797" w:type="dxa"/>
            <w:tcBorders>
              <w:top w:val="single" w:sz="4" w:space="0" w:color="auto"/>
              <w:left w:val="nil"/>
              <w:bottom w:val="single" w:sz="4" w:space="0" w:color="auto"/>
              <w:right w:val="single" w:sz="4" w:space="0" w:color="auto"/>
            </w:tcBorders>
            <w:shd w:val="clear" w:color="auto" w:fill="C6EFCE"/>
            <w:noWrap/>
          </w:tcPr>
          <w:p w14:paraId="04E209D5" w14:textId="77777777" w:rsidR="00553430" w:rsidRDefault="00212577">
            <w:pPr>
              <w:pStyle w:val="P68B1DB1-Normal66"/>
              <w:spacing w:after="200" w:line="276" w:lineRule="auto"/>
              <w:jc w:val="center"/>
              <w:rPr>
                <w:noProof/>
              </w:rPr>
            </w:pPr>
            <w:r>
              <w:rPr>
                <w:noProof/>
              </w:rPr>
              <w:t>2023</w:t>
            </w:r>
          </w:p>
        </w:tc>
        <w:tc>
          <w:tcPr>
            <w:tcW w:w="5172" w:type="dxa"/>
            <w:tcBorders>
              <w:top w:val="single" w:sz="4" w:space="0" w:color="auto"/>
              <w:left w:val="nil"/>
              <w:bottom w:val="single" w:sz="4" w:space="0" w:color="auto"/>
              <w:right w:val="single" w:sz="4" w:space="0" w:color="auto"/>
            </w:tcBorders>
            <w:shd w:val="clear" w:color="auto" w:fill="C6EFCE"/>
            <w:noWrap/>
          </w:tcPr>
          <w:p w14:paraId="6E9FE174" w14:textId="77777777" w:rsidR="00553430" w:rsidRDefault="00212577">
            <w:pPr>
              <w:pStyle w:val="P68B1DB1-Normal66"/>
              <w:spacing w:after="200" w:line="276" w:lineRule="auto"/>
              <w:rPr>
                <w:noProof/>
              </w:rPr>
            </w:pPr>
            <w:r>
              <w:rPr>
                <w:noProof/>
              </w:rPr>
              <w:t>Le régime d’aide est mis en œuvre à la suite d’un appel public et de c</w:t>
            </w:r>
            <w:r>
              <w:rPr>
                <w:noProof/>
              </w:rPr>
              <w:t xml:space="preserve">ontrats conclus, par décaissement des fonds, qui sont utilisés pour la construction et la rénovation d’installations de stockage, d’équipements et de meubles de stockage, d’équipements de refroidissement et de stockage de denrées alimentaires, de chariots </w:t>
            </w:r>
            <w:r>
              <w:rPr>
                <w:noProof/>
              </w:rPr>
              <w:t>élévateurs à fourche, de véhicules frigorifiques, de véhicules et d’équipements informatiques.</w:t>
            </w:r>
          </w:p>
        </w:tc>
      </w:tr>
    </w:tbl>
    <w:p w14:paraId="3B2EE679" w14:textId="77777777" w:rsidR="00553430" w:rsidRDefault="00553430">
      <w:pPr>
        <w:rPr>
          <w:rFonts w:eastAsia="Calibri"/>
          <w:noProof/>
          <w:szCs w:val="24"/>
        </w:rPr>
        <w:sectPr w:rsidR="00553430" w:rsidSect="00FA29B2">
          <w:headerReference w:type="even" r:id="rId105"/>
          <w:headerReference w:type="default" r:id="rId106"/>
          <w:footerReference w:type="even" r:id="rId107"/>
          <w:footerReference w:type="default" r:id="rId108"/>
          <w:headerReference w:type="first" r:id="rId109"/>
          <w:footerReference w:type="first" r:id="rId110"/>
          <w:pgSz w:w="16839" w:h="11907" w:orient="landscape"/>
          <w:pgMar w:top="1134" w:right="1134" w:bottom="1134" w:left="1134" w:header="567" w:footer="567" w:gutter="0"/>
          <w:cols w:space="708"/>
          <w:docGrid w:linePitch="360"/>
        </w:sectPr>
      </w:pPr>
    </w:p>
    <w:p w14:paraId="114C8022" w14:textId="77777777" w:rsidR="00553430" w:rsidRDefault="00553430">
      <w:pPr>
        <w:rPr>
          <w:noProof/>
        </w:rPr>
      </w:pPr>
    </w:p>
    <w:p w14:paraId="3EDC5977" w14:textId="77777777" w:rsidR="00553430" w:rsidRDefault="00212577">
      <w:pPr>
        <w:pStyle w:val="P68B1DB1-Normal103"/>
        <w:keepNext/>
        <w:tabs>
          <w:tab w:val="left" w:pos="850"/>
        </w:tabs>
        <w:spacing w:after="200" w:line="276" w:lineRule="auto"/>
        <w:ind w:left="850" w:hanging="850"/>
        <w:jc w:val="both"/>
        <w:outlineLvl w:val="0"/>
        <w:rPr>
          <w:noProof/>
          <w:szCs w:val="24"/>
        </w:rPr>
      </w:pPr>
      <w:r>
        <w:rPr>
          <w:noProof/>
        </w:rPr>
        <w:t>F. Élément 1.6: DÉVELOPPEMENT DURABLE, INNOVANT ET RESILIENT DU TOURISME</w:t>
      </w:r>
    </w:p>
    <w:p w14:paraId="2660FE27" w14:textId="77777777" w:rsidR="00553430" w:rsidRDefault="00212577">
      <w:pPr>
        <w:pStyle w:val="P68B1DB1-Normal104"/>
        <w:spacing w:after="200" w:line="276" w:lineRule="auto"/>
        <w:jc w:val="both"/>
        <w:rPr>
          <w:noProof/>
        </w:rPr>
      </w:pPr>
      <w:r>
        <w:rPr>
          <w:noProof/>
        </w:rPr>
        <w:t xml:space="preserve">La pandémie de </w:t>
      </w:r>
      <w:r>
        <w:rPr>
          <w:noProof/>
        </w:rPr>
        <w:t xml:space="preserve">COVID-19 a eu une incidence très négative sur le secteur du tourisme, tant à l’échelle mondiale qu’en Croatie. En tant qu’activité stratégique en Croatie, le tourisme représente 11,4 % de la part directe du PIB et a enregistré une baisse de 55 % du nombre </w:t>
      </w:r>
      <w:r>
        <w:rPr>
          <w:noProof/>
        </w:rPr>
        <w:t>de nuits en 2020 par rapport à l’année précédente. Compte tenu de ces effets de la crise et de l’évolution des attentes en matière de demande, l’objectif de ce volet du plan croate pour la reprise et la résilience est de transformer et de moderniser le sec</w:t>
      </w:r>
      <w:r>
        <w:rPr>
          <w:noProof/>
        </w:rPr>
        <w:t>teur du tourisme tout en augmentant sa compétitivité, sa durabilité et sa résilience en réalisant les objectifs généraux suivants:</w:t>
      </w:r>
    </w:p>
    <w:p w14:paraId="7202E26D" w14:textId="77777777" w:rsidR="00553430" w:rsidRDefault="00212577">
      <w:pPr>
        <w:pStyle w:val="P68B1DB1-Normal105"/>
        <w:numPr>
          <w:ilvl w:val="0"/>
          <w:numId w:val="53"/>
        </w:numPr>
        <w:spacing w:before="120" w:after="120" w:line="240" w:lineRule="auto"/>
        <w:jc w:val="both"/>
        <w:rPr>
          <w:noProof/>
        </w:rPr>
      </w:pPr>
      <w:r>
        <w:rPr>
          <w:noProof/>
        </w:rPr>
        <w:t>Accroître la résilience et la durabilité du secteur du tourisme en soutenant les transitions écologique et numérique.</w:t>
      </w:r>
    </w:p>
    <w:p w14:paraId="73B55BA4" w14:textId="77777777" w:rsidR="00553430" w:rsidRDefault="00212577">
      <w:pPr>
        <w:pStyle w:val="P68B1DB1-Normal105"/>
        <w:numPr>
          <w:ilvl w:val="0"/>
          <w:numId w:val="53"/>
        </w:numPr>
        <w:spacing w:before="120" w:after="120" w:line="240" w:lineRule="auto"/>
        <w:jc w:val="both"/>
        <w:rPr>
          <w:noProof/>
        </w:rPr>
      </w:pPr>
      <w:r>
        <w:rPr>
          <w:noProof/>
        </w:rPr>
        <w:t>Contrib</w:t>
      </w:r>
      <w:r>
        <w:rPr>
          <w:noProof/>
        </w:rPr>
        <w:t>uer à la reprise du secteur du tourisme après la crise de la COVID-19 en améliorant les capacités d’hébergement et la cohésion sociale et territoriale.</w:t>
      </w:r>
    </w:p>
    <w:p w14:paraId="0F89A016" w14:textId="77777777" w:rsidR="00553430" w:rsidRDefault="00212577">
      <w:pPr>
        <w:pStyle w:val="P68B1DB1-Normal105"/>
        <w:numPr>
          <w:ilvl w:val="0"/>
          <w:numId w:val="53"/>
        </w:numPr>
        <w:spacing w:before="120" w:after="120" w:line="240" w:lineRule="auto"/>
        <w:jc w:val="both"/>
        <w:rPr>
          <w:noProof/>
        </w:rPr>
      </w:pPr>
      <w:r>
        <w:rPr>
          <w:noProof/>
        </w:rPr>
        <w:t>Accroître l’économie circulaire dans le tourisme et encourager une consommation responsable et accroître</w:t>
      </w:r>
      <w:r>
        <w:rPr>
          <w:noProof/>
        </w:rPr>
        <w:t xml:space="preserve"> les effets indirects du tourisme sur les activités connexes.</w:t>
      </w:r>
    </w:p>
    <w:p w14:paraId="2DCF290F" w14:textId="77777777" w:rsidR="00553430" w:rsidRDefault="00212577">
      <w:pPr>
        <w:pStyle w:val="P68B1DB1-Normal97"/>
        <w:spacing w:after="200" w:line="276" w:lineRule="auto"/>
        <w:jc w:val="both"/>
        <w:rPr>
          <w:rFonts w:ascii="Times New Roman" w:eastAsia="Calibri" w:hAnsi="Times New Roman" w:cs="Times New Roman"/>
          <w:noProof/>
          <w:color w:val="000000" w:themeColor="text1"/>
          <w:szCs w:val="24"/>
        </w:rPr>
      </w:pPr>
      <w:r>
        <w:rPr>
          <w:rFonts w:ascii="Times New Roman" w:eastAsia="Calibri" w:hAnsi="Times New Roman" w:cs="Times New Roman"/>
          <w:noProof/>
          <w:color w:val="000000" w:themeColor="text1"/>
          <w:szCs w:val="28"/>
        </w:rPr>
        <w:t xml:space="preserve">Le composant prend en charge l'adressage </w:t>
      </w:r>
      <w:r>
        <w:rPr>
          <w:rFonts w:ascii="Times New Roman" w:hAnsi="Times New Roman" w:cs="Times New Roman"/>
          <w:noProof/>
          <w:szCs w:val="24"/>
        </w:rPr>
        <w:t xml:space="preserve"> </w:t>
      </w:r>
      <w:r>
        <w:rPr>
          <w:rFonts w:ascii="Times New Roman" w:eastAsia="Calibri" w:hAnsi="Times New Roman" w:cs="Times New Roman"/>
          <w:noProof/>
          <w:color w:val="000000" w:themeColor="text1"/>
          <w:szCs w:val="28"/>
        </w:rPr>
        <w:t>la recommandation par pays visant à réduire les taxes parafiscales les plus lourdes (recommandation par pays 4, 2019), à prendre toutes les mesures néce</w:t>
      </w:r>
      <w:r>
        <w:rPr>
          <w:rFonts w:ascii="Times New Roman" w:eastAsia="Calibri" w:hAnsi="Times New Roman" w:cs="Times New Roman"/>
          <w:noProof/>
          <w:color w:val="000000" w:themeColor="text1"/>
          <w:szCs w:val="28"/>
        </w:rPr>
        <w:t xml:space="preserve">ssaires pour lutter efficacement contre la pandémie (recommandation par pays 1, 2020) et à anticiper les projets d’investissement public parvenus à maturité et à promouvoir l’investissement privé afin de favoriser la reprise économique (recommandation par </w:t>
      </w:r>
      <w:r>
        <w:rPr>
          <w:rFonts w:ascii="Times New Roman" w:eastAsia="Calibri" w:hAnsi="Times New Roman" w:cs="Times New Roman"/>
          <w:noProof/>
          <w:color w:val="000000" w:themeColor="text1"/>
          <w:szCs w:val="28"/>
        </w:rPr>
        <w:t>pays 3, 2020).</w:t>
      </w:r>
    </w:p>
    <w:p w14:paraId="7F66FFB5" w14:textId="77777777" w:rsidR="00553430" w:rsidRDefault="00212577">
      <w:pPr>
        <w:pStyle w:val="P68B1DB1-Normal105"/>
        <w:spacing w:after="200" w:line="276" w:lineRule="auto"/>
        <w:jc w:val="both"/>
        <w:rPr>
          <w:noProof/>
          <w:szCs w:val="24"/>
        </w:rPr>
      </w:pPr>
      <w:r>
        <w:rPr>
          <w:noProof/>
        </w:rPr>
        <w:t>Cette composante contribue également à la réalisation des objectifs énoncés dans les autres sous-composantes du présent plan, en particulier C1.5. Améliorer l'utilisation des ressources naturelles et renforcer la chaîne d'approvisionnement a</w:t>
      </w:r>
      <w:r>
        <w:rPr>
          <w:noProof/>
        </w:rPr>
        <w:t>limentaire et C2.3. La transformation numérique de la société et de l'administration publique.</w:t>
      </w:r>
    </w:p>
    <w:p w14:paraId="2D6CCC19" w14:textId="77777777" w:rsidR="00553430" w:rsidRDefault="00212577">
      <w:pPr>
        <w:pStyle w:val="P68B1DB1-Normal106"/>
        <w:keepNext/>
        <w:tabs>
          <w:tab w:val="num" w:pos="850"/>
        </w:tabs>
        <w:spacing w:after="200" w:line="276" w:lineRule="auto"/>
        <w:ind w:left="851"/>
        <w:jc w:val="both"/>
        <w:outlineLvl w:val="1"/>
        <w:rPr>
          <w:rFonts w:ascii="Times New Roman" w:eastAsia="Calibri" w:hAnsi="Times New Roman" w:cs="Times New Roman"/>
          <w:noProof/>
          <w:color w:val="000000" w:themeColor="text1"/>
          <w:szCs w:val="24"/>
        </w:rPr>
      </w:pPr>
      <w:r>
        <w:rPr>
          <w:rFonts w:ascii="Times New Roman" w:eastAsia="SimSun" w:hAnsi="Times New Roman" w:cs="Times New Roman"/>
          <w:b/>
          <w:noProof/>
          <w:color w:val="000000" w:themeColor="text1"/>
          <w:szCs w:val="28"/>
        </w:rPr>
        <w:t xml:space="preserve">F.1. </w:t>
      </w:r>
      <w:r>
        <w:rPr>
          <w:rFonts w:ascii="Times New Roman" w:hAnsi="Times New Roman" w:cs="Times New Roman"/>
          <w:noProof/>
          <w:szCs w:val="24"/>
        </w:rPr>
        <w:t xml:space="preserve"> </w:t>
      </w:r>
      <w:r>
        <w:rPr>
          <w:rFonts w:ascii="Times New Roman" w:eastAsia="Calibri" w:hAnsi="Times New Roman" w:cs="Times New Roman"/>
          <w:b/>
          <w:noProof/>
          <w:color w:val="000000" w:themeColor="text1"/>
          <w:szCs w:val="28"/>
        </w:rPr>
        <w:t>Description des réformes et des investissements pour le soutien financier non remboursable</w:t>
      </w:r>
    </w:p>
    <w:p w14:paraId="41DEB2F9" w14:textId="77777777" w:rsidR="00553430" w:rsidRDefault="00212577">
      <w:pPr>
        <w:pStyle w:val="P68B1DB1-Normal107"/>
        <w:keepNext/>
        <w:spacing w:after="200" w:line="276" w:lineRule="auto"/>
        <w:ind w:left="850"/>
        <w:jc w:val="both"/>
        <w:rPr>
          <w:noProof/>
          <w:szCs w:val="24"/>
        </w:rPr>
      </w:pPr>
      <w:r>
        <w:rPr>
          <w:noProof/>
        </w:rPr>
        <w:t>Réforme C1.6 R1 – Renforcer la résilience et la durabilité du se</w:t>
      </w:r>
      <w:r>
        <w:rPr>
          <w:noProof/>
        </w:rPr>
        <w:t>cteur du tourisme</w:t>
      </w:r>
    </w:p>
    <w:p w14:paraId="1784D6C5" w14:textId="77777777" w:rsidR="00553430" w:rsidRDefault="00212577">
      <w:pPr>
        <w:pStyle w:val="P68B1DB1-Normal105"/>
        <w:spacing w:line="240" w:lineRule="auto"/>
        <w:jc w:val="both"/>
        <w:rPr>
          <w:noProof/>
          <w:szCs w:val="24"/>
        </w:rPr>
      </w:pPr>
      <w:r>
        <w:rPr>
          <w:noProof/>
        </w:rPr>
        <w:t>La réforme vise à établir un cadre organisationnel et juridique efficace pour gérer le développement du tourisme durable grâce à l’élaboration de la loi sur le tourisme, de la stratégie de développement durable du tourisme à l’horizon 203</w:t>
      </w:r>
      <w:r>
        <w:rPr>
          <w:noProof/>
        </w:rPr>
        <w:t>0, du plan national pour le développement durable du tourisme à l’horizon 2027 et de l’évaluation environnementale stratégique.</w:t>
      </w:r>
    </w:p>
    <w:p w14:paraId="5E301503" w14:textId="77777777" w:rsidR="00553430" w:rsidRDefault="00212577">
      <w:pPr>
        <w:pStyle w:val="P68B1DB1-Normal105"/>
        <w:spacing w:line="240" w:lineRule="auto"/>
        <w:jc w:val="both"/>
        <w:rPr>
          <w:noProof/>
          <w:szCs w:val="24"/>
        </w:rPr>
      </w:pPr>
      <w:r>
        <w:rPr>
          <w:noProof/>
        </w:rPr>
        <w:t>La réforme comprend:</w:t>
      </w:r>
    </w:p>
    <w:p w14:paraId="75A2FEEF" w14:textId="77777777" w:rsidR="00553430" w:rsidRDefault="00212577">
      <w:pPr>
        <w:pStyle w:val="P68B1DB1-Normal105"/>
        <w:numPr>
          <w:ilvl w:val="0"/>
          <w:numId w:val="53"/>
        </w:numPr>
        <w:spacing w:after="120" w:line="240" w:lineRule="auto"/>
        <w:jc w:val="both"/>
        <w:rPr>
          <w:noProof/>
          <w:szCs w:val="24"/>
        </w:rPr>
      </w:pPr>
      <w:r>
        <w:rPr>
          <w:noProof/>
        </w:rPr>
        <w:t>b) Allégement administratif et parafiscal supplémentaire pour le secteur du tourisme;</w:t>
      </w:r>
    </w:p>
    <w:p w14:paraId="091B17C8" w14:textId="77777777" w:rsidR="00553430" w:rsidRDefault="00212577">
      <w:pPr>
        <w:pStyle w:val="P68B1DB1-Normal105"/>
        <w:numPr>
          <w:ilvl w:val="0"/>
          <w:numId w:val="53"/>
        </w:numPr>
        <w:spacing w:after="120" w:line="240" w:lineRule="auto"/>
        <w:jc w:val="both"/>
        <w:rPr>
          <w:noProof/>
          <w:szCs w:val="24"/>
        </w:rPr>
      </w:pPr>
      <w:r>
        <w:rPr>
          <w:noProof/>
        </w:rPr>
        <w:t xml:space="preserve">une nouvelle </w:t>
      </w:r>
      <w:r>
        <w:rPr>
          <w:noProof/>
        </w:rPr>
        <w:t>modification du cadre législatif qui permettra une meilleure gestion du développement du tourisme tout en encourageant les investissements des entreprises dans l'innovation;</w:t>
      </w:r>
    </w:p>
    <w:p w14:paraId="6F6BF7FE" w14:textId="77777777" w:rsidR="00553430" w:rsidRDefault="00212577">
      <w:pPr>
        <w:pStyle w:val="P68B1DB1-Normal105"/>
        <w:numPr>
          <w:ilvl w:val="0"/>
          <w:numId w:val="53"/>
        </w:numPr>
        <w:spacing w:after="120" w:line="240" w:lineRule="auto"/>
        <w:jc w:val="both"/>
        <w:rPr>
          <w:noProof/>
        </w:rPr>
      </w:pPr>
      <w:r>
        <w:rPr>
          <w:noProof/>
        </w:rPr>
        <w:t xml:space="preserve">développer un nouveau modèle de tourisme qui offre des produits touristiques plus </w:t>
      </w:r>
      <w:r>
        <w:rPr>
          <w:noProof/>
        </w:rPr>
        <w:t>diversifiés, contribue à la transition écologique et numérique des entrepreneurs du tourisme et garantit le respect des principes de l’économie circulaire;</w:t>
      </w:r>
    </w:p>
    <w:p w14:paraId="1C15CF26" w14:textId="77777777" w:rsidR="00553430" w:rsidRDefault="00212577">
      <w:pPr>
        <w:pStyle w:val="P68B1DB1-Normal105"/>
        <w:numPr>
          <w:ilvl w:val="0"/>
          <w:numId w:val="53"/>
        </w:numPr>
        <w:spacing w:after="120" w:line="240" w:lineRule="auto"/>
        <w:jc w:val="both"/>
        <w:rPr>
          <w:noProof/>
        </w:rPr>
      </w:pPr>
      <w:r>
        <w:rPr>
          <w:noProof/>
        </w:rPr>
        <w:t>Réduire les procédures opérationnelles qui contribueront à faciliter, accélérer et réduire le coût d</w:t>
      </w:r>
      <w:r>
        <w:rPr>
          <w:noProof/>
        </w:rPr>
        <w:t>u démarrage des entreprises touristiques.</w:t>
      </w:r>
    </w:p>
    <w:p w14:paraId="0BB8B2A9" w14:textId="77777777" w:rsidR="00553430" w:rsidRDefault="00212577">
      <w:pPr>
        <w:pStyle w:val="P68B1DB1-Normal105"/>
        <w:spacing w:line="240" w:lineRule="auto"/>
        <w:jc w:val="both"/>
        <w:rPr>
          <w:noProof/>
        </w:rPr>
      </w:pPr>
      <w:r>
        <w:rPr>
          <w:noProof/>
        </w:rPr>
        <w:t>L'opérationnalisation de la réforme du système de gestion du tourisme est également envisagée à travers l'investissement C.2.3 R3-I15 - Mise en place de solutions d'application touristique dans le but de soulager a</w:t>
      </w:r>
      <w:r>
        <w:rPr>
          <w:noProof/>
        </w:rPr>
        <w:t>dministrativement les entrepreneurs et de transformer le modèle touristique vers la durabilité. La réforme sera mise en œuvre conformément au principe de la consultation publique, avec la participation d’un large éventail de parties prenantes de l’écosystè</w:t>
      </w:r>
      <w:r>
        <w:rPr>
          <w:noProof/>
        </w:rPr>
        <w:t>me touristique dans son ensemble, y compris des entrepreneurs, des associations professionnelles et des universitaires.</w:t>
      </w:r>
    </w:p>
    <w:p w14:paraId="47AAA64E" w14:textId="77777777" w:rsidR="00553430" w:rsidRDefault="00212577">
      <w:pPr>
        <w:pStyle w:val="P68B1DB1-Normal105"/>
        <w:spacing w:after="200" w:line="276" w:lineRule="auto"/>
        <w:jc w:val="both"/>
        <w:rPr>
          <w:noProof/>
        </w:rPr>
      </w:pPr>
      <w:r>
        <w:rPr>
          <w:noProof/>
        </w:rPr>
        <w:t>La réforme est achevée au plus tard le 31 décembre 2023.</w:t>
      </w:r>
    </w:p>
    <w:p w14:paraId="78BADEEA" w14:textId="77777777" w:rsidR="00553430" w:rsidRDefault="00212577">
      <w:pPr>
        <w:pStyle w:val="P68B1DB1-Normal107"/>
        <w:keepNext/>
        <w:spacing w:after="200" w:line="276" w:lineRule="auto"/>
        <w:ind w:left="850"/>
        <w:jc w:val="both"/>
        <w:rPr>
          <w:noProof/>
        </w:rPr>
      </w:pPr>
      <w:r>
        <w:rPr>
          <w:noProof/>
        </w:rPr>
        <w:t>Investissement C1.6 R1-I1 – Diversification régionale et spécialisation du tour</w:t>
      </w:r>
      <w:r>
        <w:rPr>
          <w:noProof/>
        </w:rPr>
        <w:t>isme croate grâce à des investissements dans le développement de produits touristiques à haute valeur ajoutée</w:t>
      </w:r>
    </w:p>
    <w:p w14:paraId="3406BC62" w14:textId="44468DC5" w:rsidR="00553430" w:rsidRDefault="00212577">
      <w:pPr>
        <w:pStyle w:val="P68B1DB1-Normal105"/>
        <w:spacing w:after="200" w:line="276" w:lineRule="auto"/>
        <w:jc w:val="both"/>
        <w:rPr>
          <w:noProof/>
        </w:rPr>
      </w:pPr>
      <w:r>
        <w:rPr>
          <w:noProof/>
        </w:rPr>
        <w:t>Cet investissement vise à offrir un soutien financier sous la forme de subventions pour développer, adapter et moderniser les infrastructures tour</w:t>
      </w:r>
      <w:r>
        <w:rPr>
          <w:noProof/>
        </w:rPr>
        <w:t xml:space="preserve">istiques publiques dans toute la Croatie. </w:t>
      </w:r>
    </w:p>
    <w:p w14:paraId="0175BB5F" w14:textId="77777777" w:rsidR="00553430" w:rsidRDefault="00212577">
      <w:pPr>
        <w:pStyle w:val="P68B1DB1-Normal105"/>
        <w:spacing w:after="200" w:line="276" w:lineRule="auto"/>
        <w:jc w:val="both"/>
        <w:rPr>
          <w:noProof/>
        </w:rPr>
      </w:pPr>
      <w:r>
        <w:rPr>
          <w:noProof/>
        </w:rPr>
        <w:t>La mesure consiste en des investissements visant à développer davantage les infrastructures touristiques, à accroître l’efficacité énergétique et à promouvoir les produits du turisme dans les destinations touristi</w:t>
      </w:r>
      <w:r>
        <w:rPr>
          <w:noProof/>
        </w:rPr>
        <w:t>ques moins développées.</w:t>
      </w:r>
    </w:p>
    <w:p w14:paraId="1CA1CEBB" w14:textId="77777777" w:rsidR="00553430" w:rsidRDefault="00212577">
      <w:pPr>
        <w:pStyle w:val="P68B1DB1-Normal105"/>
        <w:spacing w:after="200" w:line="276" w:lineRule="auto"/>
        <w:jc w:val="both"/>
        <w:rPr>
          <w:noProof/>
        </w:rPr>
      </w:pPr>
      <w:r>
        <w:rPr>
          <w:noProof/>
        </w:rPr>
        <w:t>L’investissement est achevé au plus tard le 30 juin 2026.</w:t>
      </w:r>
    </w:p>
    <w:p w14:paraId="06849DA7" w14:textId="77777777" w:rsidR="00553430" w:rsidRDefault="00212577">
      <w:pPr>
        <w:pStyle w:val="P68B1DB1-Normal107"/>
        <w:keepNext/>
        <w:spacing w:after="200" w:line="276" w:lineRule="auto"/>
        <w:ind w:left="850"/>
        <w:jc w:val="both"/>
        <w:rPr>
          <w:noProof/>
        </w:rPr>
      </w:pPr>
      <w:r>
        <w:rPr>
          <w:noProof/>
        </w:rPr>
        <w:t>Investissement C1.6 R1-I2 – Renforcer la compétitivité des entrepreneurs et favoriser la transition écologique et numérique du secteur du tourisme</w:t>
      </w:r>
    </w:p>
    <w:p w14:paraId="28A0B3BF" w14:textId="77777777" w:rsidR="00553430" w:rsidRDefault="00212577">
      <w:pPr>
        <w:pStyle w:val="P68B1DB1-Normal105"/>
        <w:spacing w:after="200" w:line="276" w:lineRule="auto"/>
        <w:jc w:val="both"/>
        <w:rPr>
          <w:noProof/>
        </w:rPr>
      </w:pPr>
      <w:r>
        <w:rPr>
          <w:noProof/>
        </w:rPr>
        <w:t>L’investissement vise à off</w:t>
      </w:r>
      <w:r>
        <w:rPr>
          <w:noProof/>
        </w:rPr>
        <w:t>rir un soutien financier à la transition écologique et numérique du secteur du tourisme.</w:t>
      </w:r>
    </w:p>
    <w:p w14:paraId="381C7EB1" w14:textId="77777777" w:rsidR="00553430" w:rsidRDefault="00212577">
      <w:pPr>
        <w:pStyle w:val="P68B1DB1-Normal104"/>
        <w:spacing w:after="200" w:line="276" w:lineRule="auto"/>
        <w:jc w:val="both"/>
        <w:rPr>
          <w:noProof/>
        </w:rPr>
      </w:pPr>
      <w:r>
        <w:rPr>
          <w:noProof/>
        </w:rPr>
        <w:t xml:space="preserve">L’objectif de cet investissement est de mettre en œuvre des projets verts, tels que l’amélioration de l’efficacité énergétique, l’utilisation de sources renouvelables </w:t>
      </w:r>
      <w:r>
        <w:rPr>
          <w:noProof/>
        </w:rPr>
        <w:t xml:space="preserve">et l’économie circulaire, l’adoption de l’innovation et des technologies numériques et le développement de produits touristiques respectueux de l’environnement et l’utilisation efficace des ressources. </w:t>
      </w:r>
    </w:p>
    <w:p w14:paraId="38351565" w14:textId="77777777" w:rsidR="00553430" w:rsidRDefault="00212577">
      <w:pPr>
        <w:pStyle w:val="P68B1DB1-Normal105"/>
        <w:spacing w:after="200" w:line="276" w:lineRule="auto"/>
        <w:jc w:val="both"/>
        <w:rPr>
          <w:noProof/>
        </w:rPr>
      </w:pPr>
      <w:r>
        <w:rPr>
          <w:noProof/>
        </w:rPr>
        <w:t>L'investissement sera terminé d'ici le 30 juin 2026.</w:t>
      </w:r>
    </w:p>
    <w:p w14:paraId="6782919D" w14:textId="77777777" w:rsidR="00553430" w:rsidRDefault="00212577">
      <w:pPr>
        <w:pStyle w:val="P68B1DB1-Normal107"/>
        <w:keepNext/>
        <w:spacing w:after="200" w:line="276" w:lineRule="auto"/>
        <w:ind w:left="850"/>
        <w:jc w:val="both"/>
        <w:rPr>
          <w:noProof/>
        </w:rPr>
      </w:pPr>
      <w:r>
        <w:rPr>
          <w:noProof/>
        </w:rPr>
        <w:t>Investissement C1.6 R1-I3 – Renforcement des capacités du système pour un tourisme résilient et durable</w:t>
      </w:r>
    </w:p>
    <w:p w14:paraId="171930A5" w14:textId="77777777" w:rsidR="00553430" w:rsidRDefault="00212577">
      <w:pPr>
        <w:pStyle w:val="P68B1DB1-Normal105"/>
        <w:spacing w:after="200" w:line="276" w:lineRule="auto"/>
        <w:jc w:val="both"/>
        <w:rPr>
          <w:noProof/>
        </w:rPr>
      </w:pPr>
      <w:r>
        <w:rPr>
          <w:noProof/>
        </w:rPr>
        <w:t>L’objectif de l’investissement est de renforcer la résilience du capital humain dans l’ensemble du secteur du tourisme, au moyen de programmes éducatifs</w:t>
      </w:r>
      <w:r>
        <w:rPr>
          <w:noProof/>
        </w:rPr>
        <w:t xml:space="preserve"> spécialement conçus pour répondre aux besoins du marché du travail. </w:t>
      </w:r>
    </w:p>
    <w:p w14:paraId="3C6BE00A" w14:textId="77777777" w:rsidR="00553430" w:rsidRDefault="00212577">
      <w:pPr>
        <w:pStyle w:val="P68B1DB1-Normal105"/>
        <w:spacing w:after="200" w:line="276" w:lineRule="auto"/>
        <w:jc w:val="both"/>
        <w:rPr>
          <w:noProof/>
        </w:rPr>
      </w:pPr>
      <w:r>
        <w:rPr>
          <w:noProof/>
        </w:rPr>
        <w:t>Les principales activités d’investissement comprennent la conception de programmes éducatifs qui répondent aux besoins du marché du travail et la formation des personnes dans le cadre de</w:t>
      </w:r>
      <w:r>
        <w:rPr>
          <w:noProof/>
        </w:rPr>
        <w:t xml:space="preserve"> ces programmes éducatifs.</w:t>
      </w:r>
    </w:p>
    <w:p w14:paraId="117EBF05" w14:textId="77777777" w:rsidR="00553430" w:rsidRDefault="00212577">
      <w:pPr>
        <w:pStyle w:val="P68B1DB1-Normal105"/>
        <w:rPr>
          <w:noProof/>
        </w:rPr>
        <w:sectPr w:rsidR="00553430" w:rsidSect="00FA29B2">
          <w:headerReference w:type="even" r:id="rId111"/>
          <w:headerReference w:type="default" r:id="rId112"/>
          <w:footerReference w:type="even" r:id="rId113"/>
          <w:footerReference w:type="default" r:id="rId114"/>
          <w:headerReference w:type="first" r:id="rId115"/>
          <w:footerReference w:type="first" r:id="rId116"/>
          <w:pgSz w:w="11906" w:h="16838"/>
          <w:pgMar w:top="1134" w:right="1134" w:bottom="1134" w:left="1134" w:header="567" w:footer="567" w:gutter="0"/>
          <w:cols w:space="708"/>
          <w:docGrid w:linePitch="360"/>
        </w:sectPr>
      </w:pPr>
      <w:r>
        <w:rPr>
          <w:noProof/>
        </w:rPr>
        <w:t xml:space="preserve">L’investissement est achevé au plus tard le 31 décembre 2025. </w:t>
      </w:r>
    </w:p>
    <w:p w14:paraId="4672DF0F" w14:textId="77777777" w:rsidR="00553430" w:rsidRDefault="00212577">
      <w:pPr>
        <w:pStyle w:val="P68B1DB1-Normal108"/>
        <w:keepNext/>
        <w:tabs>
          <w:tab w:val="num" w:pos="850"/>
        </w:tabs>
        <w:spacing w:after="200" w:line="276" w:lineRule="auto"/>
        <w:ind w:left="851"/>
        <w:jc w:val="both"/>
        <w:outlineLvl w:val="1"/>
        <w:rPr>
          <w:bCs/>
          <w:noProof/>
        </w:rPr>
      </w:pPr>
      <w:r>
        <w:rPr>
          <w:noProof/>
        </w:rPr>
        <w:t xml:space="preserve">F.2. </w:t>
      </w:r>
      <w:r>
        <w:rPr>
          <w:noProof/>
        </w:rPr>
        <w:tab/>
        <w:t>Étapes, cibles, indicateurs et calendrier pour le suivi et la mise en œuvre du soutien financier</w:t>
      </w:r>
      <w:r>
        <w:rPr>
          <w:noProof/>
        </w:rPr>
        <w:t xml:space="preserve"> non remboursable</w:t>
      </w:r>
    </w:p>
    <w:tbl>
      <w:tblPr>
        <w:tblW w:w="15784" w:type="dxa"/>
        <w:jc w:val="center"/>
        <w:tblCellMar>
          <w:top w:w="28" w:type="dxa"/>
          <w:left w:w="28" w:type="dxa"/>
          <w:bottom w:w="28" w:type="dxa"/>
          <w:right w:w="28" w:type="dxa"/>
        </w:tblCellMar>
        <w:tblLook w:val="04A0" w:firstRow="1" w:lastRow="0" w:firstColumn="1" w:lastColumn="0" w:noHBand="0" w:noVBand="1"/>
      </w:tblPr>
      <w:tblGrid>
        <w:gridCol w:w="768"/>
        <w:gridCol w:w="1076"/>
        <w:gridCol w:w="1069"/>
        <w:gridCol w:w="1766"/>
        <w:gridCol w:w="1984"/>
        <w:gridCol w:w="712"/>
        <w:gridCol w:w="852"/>
        <w:gridCol w:w="992"/>
        <w:gridCol w:w="893"/>
        <w:gridCol w:w="708"/>
        <w:gridCol w:w="5103"/>
      </w:tblGrid>
      <w:tr w:rsidR="00553430" w14:paraId="475AF2EB" w14:textId="77777777">
        <w:trPr>
          <w:tblHeader/>
          <w:jc w:val="center"/>
        </w:trPr>
        <w:tc>
          <w:tcPr>
            <w:tcW w:w="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FE41DCA" w14:textId="77777777" w:rsidR="00553430" w:rsidRDefault="00212577">
            <w:pPr>
              <w:pStyle w:val="P68B1DB1-Normal109"/>
              <w:spacing w:after="0" w:line="276" w:lineRule="auto"/>
              <w:jc w:val="center"/>
              <w:rPr>
                <w:bCs/>
                <w:noProof/>
              </w:rPr>
            </w:pPr>
            <w:r>
              <w:rPr>
                <w:noProof/>
              </w:rPr>
              <w:t>Numéro</w:t>
            </w:r>
          </w:p>
        </w:tc>
        <w:tc>
          <w:tcPr>
            <w:tcW w:w="10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D5791F8" w14:textId="77777777" w:rsidR="00553430" w:rsidRDefault="00212577">
            <w:pPr>
              <w:pStyle w:val="P68B1DB1-Normal109"/>
              <w:spacing w:after="0" w:line="276" w:lineRule="auto"/>
              <w:jc w:val="center"/>
              <w:rPr>
                <w:bCs/>
                <w:noProof/>
              </w:rPr>
            </w:pPr>
            <w:r>
              <w:rPr>
                <w:noProof/>
              </w:rPr>
              <w:t>Mesure</w:t>
            </w:r>
          </w:p>
        </w:tc>
        <w:tc>
          <w:tcPr>
            <w:tcW w:w="10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387AACB" w14:textId="77777777" w:rsidR="00553430" w:rsidRDefault="00212577">
            <w:pPr>
              <w:pStyle w:val="P68B1DB1-Normal109"/>
              <w:spacing w:after="0" w:line="276" w:lineRule="auto"/>
              <w:jc w:val="center"/>
              <w:rPr>
                <w:bCs/>
                <w:noProof/>
              </w:rPr>
            </w:pPr>
            <w:r>
              <w:rPr>
                <w:noProof/>
              </w:rPr>
              <w:t>Étape/cible</w:t>
            </w:r>
          </w:p>
        </w:tc>
        <w:tc>
          <w:tcPr>
            <w:tcW w:w="17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6AFDD1A" w14:textId="77777777" w:rsidR="00553430" w:rsidRDefault="00212577">
            <w:pPr>
              <w:pStyle w:val="P68B1DB1-Normal109"/>
              <w:spacing w:after="0" w:line="276" w:lineRule="auto"/>
              <w:jc w:val="center"/>
              <w:rPr>
                <w:bCs/>
                <w:noProof/>
              </w:rPr>
            </w:pPr>
            <w:r>
              <w:rPr>
                <w:noProof/>
              </w:rPr>
              <w:t>Nom</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3C2007E" w14:textId="77777777" w:rsidR="00553430" w:rsidRDefault="00212577">
            <w:pPr>
              <w:pStyle w:val="P68B1DB1-Normal109"/>
              <w:spacing w:after="0" w:line="276" w:lineRule="auto"/>
              <w:jc w:val="center"/>
              <w:rPr>
                <w:bCs/>
                <w:noProof/>
              </w:rPr>
            </w:pPr>
            <w:r>
              <w:rPr>
                <w:noProof/>
              </w:rPr>
              <w:t xml:space="preserve">Indicateurs qualitatifs </w:t>
            </w:r>
            <w:r>
              <w:rPr>
                <w:noProof/>
              </w:rPr>
              <w:br/>
              <w:t>(pour les jalons)</w:t>
            </w:r>
          </w:p>
        </w:tc>
        <w:tc>
          <w:tcPr>
            <w:tcW w:w="2554" w:type="dxa"/>
            <w:gridSpan w:val="3"/>
            <w:tcBorders>
              <w:top w:val="single" w:sz="4" w:space="0" w:color="auto"/>
              <w:left w:val="nil"/>
              <w:bottom w:val="single" w:sz="4" w:space="0" w:color="auto"/>
              <w:right w:val="single" w:sz="4" w:space="0" w:color="auto"/>
            </w:tcBorders>
            <w:shd w:val="clear" w:color="auto" w:fill="BDD7EE"/>
            <w:vAlign w:val="center"/>
            <w:hideMark/>
          </w:tcPr>
          <w:p w14:paraId="3499B7A4" w14:textId="77777777" w:rsidR="00553430" w:rsidRDefault="00212577">
            <w:pPr>
              <w:pStyle w:val="P68B1DB1-Normal109"/>
              <w:spacing w:after="0" w:line="276" w:lineRule="auto"/>
              <w:jc w:val="center"/>
              <w:rPr>
                <w:bCs/>
                <w:noProof/>
              </w:rPr>
            </w:pPr>
            <w:r>
              <w:rPr>
                <w:noProof/>
              </w:rPr>
              <w:t xml:space="preserve">Indicateurs quantitatifs </w:t>
            </w:r>
            <w:r>
              <w:rPr>
                <w:noProof/>
              </w:rPr>
              <w:br/>
              <w:t>(pour les objectifs)</w:t>
            </w:r>
          </w:p>
        </w:tc>
        <w:tc>
          <w:tcPr>
            <w:tcW w:w="1464" w:type="dxa"/>
            <w:gridSpan w:val="2"/>
            <w:tcBorders>
              <w:top w:val="single" w:sz="4" w:space="0" w:color="auto"/>
              <w:left w:val="nil"/>
              <w:bottom w:val="single" w:sz="4" w:space="0" w:color="auto"/>
              <w:right w:val="single" w:sz="4" w:space="0" w:color="auto"/>
            </w:tcBorders>
            <w:shd w:val="clear" w:color="auto" w:fill="BDD7EE"/>
            <w:vAlign w:val="center"/>
            <w:hideMark/>
          </w:tcPr>
          <w:p w14:paraId="0826EE91" w14:textId="77777777" w:rsidR="00553430" w:rsidRDefault="00212577">
            <w:pPr>
              <w:pStyle w:val="P68B1DB1-Normal109"/>
              <w:spacing w:after="0" w:line="276" w:lineRule="auto"/>
              <w:jc w:val="center"/>
              <w:rPr>
                <w:bCs/>
                <w:noProof/>
              </w:rPr>
            </w:pPr>
            <w:r>
              <w:rPr>
                <w:noProof/>
              </w:rPr>
              <w:t>Temps</w:t>
            </w:r>
          </w:p>
        </w:tc>
        <w:tc>
          <w:tcPr>
            <w:tcW w:w="510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9AD7F0" w14:textId="77777777" w:rsidR="00553430" w:rsidRDefault="00212577">
            <w:pPr>
              <w:pStyle w:val="P68B1DB1-Normal109"/>
              <w:spacing w:after="0" w:line="276" w:lineRule="auto"/>
              <w:jc w:val="center"/>
              <w:rPr>
                <w:bCs/>
                <w:noProof/>
              </w:rPr>
            </w:pPr>
            <w:r>
              <w:rPr>
                <w:noProof/>
              </w:rPr>
              <w:t>Description de chaque jalon et cible</w:t>
            </w:r>
          </w:p>
        </w:tc>
      </w:tr>
      <w:tr w:rsidR="00553430" w14:paraId="2A29840F" w14:textId="77777777">
        <w:trPr>
          <w:tblHeader/>
          <w:jc w:val="center"/>
        </w:trPr>
        <w:tc>
          <w:tcPr>
            <w:tcW w:w="768" w:type="dxa"/>
            <w:vMerge/>
            <w:tcBorders>
              <w:top w:val="single" w:sz="4" w:space="0" w:color="auto"/>
              <w:left w:val="single" w:sz="4" w:space="0" w:color="auto"/>
              <w:bottom w:val="single" w:sz="4" w:space="0" w:color="auto"/>
              <w:right w:val="single" w:sz="4" w:space="0" w:color="auto"/>
            </w:tcBorders>
            <w:hideMark/>
          </w:tcPr>
          <w:p w14:paraId="07260E52" w14:textId="77777777" w:rsidR="00553430" w:rsidRDefault="00553430">
            <w:pPr>
              <w:spacing w:after="0" w:line="276" w:lineRule="auto"/>
              <w:jc w:val="center"/>
              <w:rPr>
                <w:rFonts w:ascii="Times New Roman" w:eastAsia="Times New Roman" w:hAnsi="Times New Roman" w:cs="Times New Roman"/>
                <w:b/>
                <w:noProof/>
                <w:color w:val="000000" w:themeColor="text1"/>
                <w:sz w:val="20"/>
                <w:szCs w:val="20"/>
              </w:rPr>
            </w:pPr>
          </w:p>
        </w:tc>
        <w:tc>
          <w:tcPr>
            <w:tcW w:w="1076" w:type="dxa"/>
            <w:vMerge/>
            <w:tcBorders>
              <w:top w:val="single" w:sz="4" w:space="0" w:color="auto"/>
              <w:left w:val="single" w:sz="4" w:space="0" w:color="auto"/>
              <w:bottom w:val="single" w:sz="4" w:space="0" w:color="auto"/>
              <w:right w:val="single" w:sz="4" w:space="0" w:color="auto"/>
            </w:tcBorders>
            <w:hideMark/>
          </w:tcPr>
          <w:p w14:paraId="5A00174F" w14:textId="77777777" w:rsidR="00553430" w:rsidRDefault="00553430">
            <w:pPr>
              <w:spacing w:after="0" w:line="276" w:lineRule="auto"/>
              <w:jc w:val="center"/>
              <w:rPr>
                <w:rFonts w:ascii="Times New Roman" w:eastAsia="Times New Roman" w:hAnsi="Times New Roman" w:cs="Times New Roman"/>
                <w:b/>
                <w:noProof/>
                <w:color w:val="000000" w:themeColor="text1"/>
                <w:sz w:val="20"/>
                <w:szCs w:val="20"/>
              </w:rPr>
            </w:pPr>
          </w:p>
        </w:tc>
        <w:tc>
          <w:tcPr>
            <w:tcW w:w="1069" w:type="dxa"/>
            <w:vMerge/>
            <w:tcBorders>
              <w:top w:val="single" w:sz="4" w:space="0" w:color="auto"/>
              <w:left w:val="single" w:sz="4" w:space="0" w:color="auto"/>
              <w:bottom w:val="single" w:sz="4" w:space="0" w:color="auto"/>
              <w:right w:val="single" w:sz="4" w:space="0" w:color="auto"/>
            </w:tcBorders>
            <w:hideMark/>
          </w:tcPr>
          <w:p w14:paraId="508B2264" w14:textId="77777777" w:rsidR="00553430" w:rsidRDefault="00553430">
            <w:pPr>
              <w:spacing w:after="0" w:line="276" w:lineRule="auto"/>
              <w:jc w:val="center"/>
              <w:rPr>
                <w:rFonts w:ascii="Times New Roman" w:eastAsia="Times New Roman" w:hAnsi="Times New Roman" w:cs="Times New Roman"/>
                <w:b/>
                <w:noProof/>
                <w:color w:val="000000" w:themeColor="text1"/>
                <w:sz w:val="20"/>
                <w:szCs w:val="20"/>
              </w:rPr>
            </w:pPr>
          </w:p>
        </w:tc>
        <w:tc>
          <w:tcPr>
            <w:tcW w:w="1766" w:type="dxa"/>
            <w:vMerge/>
            <w:tcBorders>
              <w:top w:val="single" w:sz="4" w:space="0" w:color="auto"/>
              <w:left w:val="single" w:sz="4" w:space="0" w:color="auto"/>
              <w:bottom w:val="single" w:sz="4" w:space="0" w:color="auto"/>
              <w:right w:val="single" w:sz="4" w:space="0" w:color="auto"/>
            </w:tcBorders>
            <w:hideMark/>
          </w:tcPr>
          <w:p w14:paraId="04B3375D" w14:textId="77777777" w:rsidR="00553430" w:rsidRDefault="00553430">
            <w:pPr>
              <w:spacing w:after="0" w:line="276" w:lineRule="auto"/>
              <w:rPr>
                <w:rFonts w:ascii="Times New Roman" w:eastAsia="Times New Roman" w:hAnsi="Times New Roman" w:cs="Times New Roman"/>
                <w:b/>
                <w:noProof/>
                <w:color w:val="000000" w:themeColor="text1"/>
                <w:sz w:val="20"/>
                <w:szCs w:val="20"/>
              </w:rPr>
            </w:pPr>
          </w:p>
        </w:tc>
        <w:tc>
          <w:tcPr>
            <w:tcW w:w="1984" w:type="dxa"/>
            <w:vMerge/>
            <w:tcBorders>
              <w:top w:val="single" w:sz="4" w:space="0" w:color="auto"/>
              <w:left w:val="single" w:sz="4" w:space="0" w:color="auto"/>
              <w:bottom w:val="single" w:sz="4" w:space="0" w:color="auto"/>
              <w:right w:val="single" w:sz="4" w:space="0" w:color="auto"/>
            </w:tcBorders>
            <w:hideMark/>
          </w:tcPr>
          <w:p w14:paraId="6A5FA6E0" w14:textId="77777777" w:rsidR="00553430" w:rsidRDefault="00553430">
            <w:pPr>
              <w:spacing w:after="0" w:line="276" w:lineRule="auto"/>
              <w:rPr>
                <w:rFonts w:ascii="Times New Roman" w:eastAsia="Times New Roman" w:hAnsi="Times New Roman" w:cs="Times New Roman"/>
                <w:b/>
                <w:noProof/>
                <w:color w:val="000000" w:themeColor="text1"/>
                <w:sz w:val="20"/>
                <w:szCs w:val="20"/>
              </w:rPr>
            </w:pPr>
          </w:p>
        </w:tc>
        <w:tc>
          <w:tcPr>
            <w:tcW w:w="712" w:type="dxa"/>
            <w:tcBorders>
              <w:top w:val="single" w:sz="4" w:space="0" w:color="auto"/>
              <w:left w:val="single" w:sz="4" w:space="0" w:color="auto"/>
              <w:bottom w:val="single" w:sz="4" w:space="0" w:color="auto"/>
              <w:right w:val="single" w:sz="4" w:space="0" w:color="auto"/>
            </w:tcBorders>
            <w:shd w:val="clear" w:color="auto" w:fill="BDD7EE"/>
            <w:hideMark/>
          </w:tcPr>
          <w:p w14:paraId="7291D323" w14:textId="77777777" w:rsidR="00553430" w:rsidRDefault="00212577">
            <w:pPr>
              <w:pStyle w:val="P68B1DB1-Normal109"/>
              <w:spacing w:after="0" w:line="276" w:lineRule="auto"/>
              <w:jc w:val="center"/>
              <w:rPr>
                <w:bCs/>
                <w:noProof/>
              </w:rPr>
            </w:pPr>
            <w:r>
              <w:rPr>
                <w:noProof/>
              </w:rPr>
              <w:t>Unité</w:t>
            </w:r>
          </w:p>
        </w:tc>
        <w:tc>
          <w:tcPr>
            <w:tcW w:w="850" w:type="dxa"/>
            <w:tcBorders>
              <w:top w:val="single" w:sz="4" w:space="0" w:color="auto"/>
              <w:left w:val="single" w:sz="4" w:space="0" w:color="auto"/>
              <w:bottom w:val="single" w:sz="4" w:space="0" w:color="auto"/>
              <w:right w:val="single" w:sz="4" w:space="0" w:color="auto"/>
            </w:tcBorders>
            <w:shd w:val="clear" w:color="auto" w:fill="BDD7EE"/>
            <w:hideMark/>
          </w:tcPr>
          <w:p w14:paraId="5F5DD7E7" w14:textId="77777777" w:rsidR="00553430" w:rsidRDefault="00212577">
            <w:pPr>
              <w:pStyle w:val="P68B1DB1-Normal109"/>
              <w:spacing w:after="0" w:line="276" w:lineRule="auto"/>
              <w:jc w:val="center"/>
              <w:rPr>
                <w:bCs/>
                <w:noProof/>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BDD7EE"/>
            <w:hideMark/>
          </w:tcPr>
          <w:p w14:paraId="2E30B23A" w14:textId="77777777" w:rsidR="00553430" w:rsidRDefault="00212577">
            <w:pPr>
              <w:pStyle w:val="P68B1DB1-Normal109"/>
              <w:spacing w:after="0" w:line="276" w:lineRule="auto"/>
              <w:jc w:val="center"/>
              <w:rPr>
                <w:bCs/>
                <w:noProof/>
              </w:rPr>
            </w:pPr>
            <w:r>
              <w:rPr>
                <w:noProof/>
              </w:rPr>
              <w:t>Objectif</w:t>
            </w:r>
          </w:p>
        </w:tc>
        <w:tc>
          <w:tcPr>
            <w:tcW w:w="756" w:type="dxa"/>
            <w:tcBorders>
              <w:top w:val="single" w:sz="4" w:space="0" w:color="auto"/>
              <w:left w:val="single" w:sz="4" w:space="0" w:color="auto"/>
              <w:bottom w:val="single" w:sz="4" w:space="0" w:color="auto"/>
              <w:right w:val="single" w:sz="4" w:space="0" w:color="auto"/>
            </w:tcBorders>
            <w:shd w:val="clear" w:color="auto" w:fill="BDD7EE"/>
            <w:hideMark/>
          </w:tcPr>
          <w:p w14:paraId="1D3237D6" w14:textId="77777777" w:rsidR="00553430" w:rsidRDefault="00212577">
            <w:pPr>
              <w:pStyle w:val="P68B1DB1-Normal109"/>
              <w:spacing w:after="0" w:line="276" w:lineRule="auto"/>
              <w:jc w:val="center"/>
              <w:rPr>
                <w:bCs/>
                <w:noProof/>
              </w:rPr>
            </w:pPr>
            <w:r>
              <w:rPr>
                <w:noProof/>
              </w:rPr>
              <w:t>Trimestre</w:t>
            </w:r>
          </w:p>
        </w:tc>
        <w:tc>
          <w:tcPr>
            <w:tcW w:w="708" w:type="dxa"/>
            <w:tcBorders>
              <w:top w:val="single" w:sz="4" w:space="0" w:color="auto"/>
              <w:left w:val="single" w:sz="4" w:space="0" w:color="auto"/>
              <w:bottom w:val="single" w:sz="4" w:space="0" w:color="auto"/>
              <w:right w:val="single" w:sz="4" w:space="0" w:color="auto"/>
            </w:tcBorders>
            <w:shd w:val="clear" w:color="auto" w:fill="BDD7EE"/>
            <w:hideMark/>
          </w:tcPr>
          <w:p w14:paraId="2A94BB46" w14:textId="77777777" w:rsidR="00553430" w:rsidRDefault="00212577">
            <w:pPr>
              <w:pStyle w:val="P68B1DB1-Normal109"/>
              <w:spacing w:after="0" w:line="276" w:lineRule="auto"/>
              <w:jc w:val="center"/>
              <w:rPr>
                <w:bCs/>
                <w:noProof/>
              </w:rPr>
            </w:pPr>
            <w:r>
              <w:rPr>
                <w:noProof/>
              </w:rPr>
              <w:t>Année</w:t>
            </w:r>
          </w:p>
        </w:tc>
        <w:tc>
          <w:tcPr>
            <w:tcW w:w="5103" w:type="dxa"/>
            <w:vMerge/>
            <w:tcBorders>
              <w:top w:val="single" w:sz="4" w:space="0" w:color="auto"/>
              <w:left w:val="single" w:sz="4" w:space="0" w:color="auto"/>
              <w:bottom w:val="single" w:sz="4" w:space="0" w:color="auto"/>
              <w:right w:val="single" w:sz="4" w:space="0" w:color="auto"/>
            </w:tcBorders>
            <w:hideMark/>
          </w:tcPr>
          <w:p w14:paraId="26E13E8E" w14:textId="77777777" w:rsidR="00553430" w:rsidRDefault="00553430">
            <w:pPr>
              <w:spacing w:after="0" w:line="276" w:lineRule="auto"/>
              <w:rPr>
                <w:rFonts w:ascii="Times New Roman" w:eastAsia="Calibri" w:hAnsi="Times New Roman" w:cs="Times New Roman"/>
                <w:b/>
                <w:bCs/>
                <w:noProof/>
                <w:color w:val="000000" w:themeColor="text1"/>
                <w:sz w:val="20"/>
                <w:szCs w:val="20"/>
              </w:rPr>
            </w:pPr>
          </w:p>
        </w:tc>
      </w:tr>
      <w:tr w:rsidR="00553430" w14:paraId="1011BE21"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5BC0F50" w14:textId="77777777" w:rsidR="00553430" w:rsidRDefault="00212577">
            <w:pPr>
              <w:pStyle w:val="P68B1DB1-Normal66"/>
              <w:spacing w:after="200" w:line="276" w:lineRule="auto"/>
              <w:jc w:val="center"/>
              <w:rPr>
                <w:noProof/>
                <w:color w:val="000000" w:themeColor="text1"/>
              </w:rPr>
            </w:pPr>
            <w:r>
              <w:rPr>
                <w:noProof/>
              </w:rPr>
              <w:t>140</w:t>
            </w:r>
          </w:p>
        </w:tc>
        <w:tc>
          <w:tcPr>
            <w:tcW w:w="1076" w:type="dxa"/>
            <w:tcBorders>
              <w:top w:val="single" w:sz="4" w:space="0" w:color="auto"/>
              <w:left w:val="nil"/>
              <w:bottom w:val="single" w:sz="4" w:space="0" w:color="auto"/>
              <w:right w:val="single" w:sz="4" w:space="0" w:color="auto"/>
            </w:tcBorders>
            <w:shd w:val="clear" w:color="auto" w:fill="C6EFCE"/>
            <w:noWrap/>
          </w:tcPr>
          <w:p w14:paraId="6AA43E10" w14:textId="77777777" w:rsidR="00553430" w:rsidRDefault="00212577">
            <w:pPr>
              <w:pStyle w:val="P68B1DB1-Normal66"/>
              <w:spacing w:after="200" w:line="276" w:lineRule="auto"/>
              <w:jc w:val="center"/>
              <w:rPr>
                <w:noProof/>
                <w:color w:val="000000" w:themeColor="text1"/>
              </w:rPr>
            </w:pPr>
            <w:r>
              <w:rPr>
                <w:noProof/>
              </w:rPr>
              <w:t>C1.6. R1</w:t>
            </w:r>
          </w:p>
        </w:tc>
        <w:tc>
          <w:tcPr>
            <w:tcW w:w="1069" w:type="dxa"/>
            <w:tcBorders>
              <w:top w:val="single" w:sz="4" w:space="0" w:color="auto"/>
              <w:left w:val="nil"/>
              <w:bottom w:val="single" w:sz="4" w:space="0" w:color="auto"/>
              <w:right w:val="single" w:sz="4" w:space="0" w:color="auto"/>
            </w:tcBorders>
            <w:shd w:val="clear" w:color="auto" w:fill="C6EFCE"/>
            <w:noWrap/>
          </w:tcPr>
          <w:p w14:paraId="39EDC906" w14:textId="77777777" w:rsidR="00553430" w:rsidRDefault="00212577">
            <w:pPr>
              <w:pStyle w:val="P68B1DB1-Normal66"/>
              <w:spacing w:after="200" w:line="276" w:lineRule="auto"/>
              <w:jc w:val="center"/>
              <w:rPr>
                <w:noProof/>
                <w:color w:val="000000" w:themeColor="text1"/>
              </w:rPr>
            </w:pPr>
            <w:r>
              <w:rPr>
                <w:noProof/>
              </w:rPr>
              <w:t>M</w:t>
            </w:r>
          </w:p>
        </w:tc>
        <w:tc>
          <w:tcPr>
            <w:tcW w:w="1766" w:type="dxa"/>
            <w:tcBorders>
              <w:top w:val="single" w:sz="4" w:space="0" w:color="auto"/>
              <w:left w:val="nil"/>
              <w:bottom w:val="single" w:sz="4" w:space="0" w:color="auto"/>
              <w:right w:val="single" w:sz="4" w:space="0" w:color="auto"/>
            </w:tcBorders>
            <w:shd w:val="clear" w:color="auto" w:fill="C6EFCE"/>
            <w:noWrap/>
          </w:tcPr>
          <w:p w14:paraId="7245C384" w14:textId="77777777" w:rsidR="00553430" w:rsidRDefault="00212577">
            <w:pPr>
              <w:pStyle w:val="P68B1DB1-Normal66"/>
              <w:spacing w:after="200" w:line="276" w:lineRule="auto"/>
              <w:rPr>
                <w:noProof/>
                <w:color w:val="000000" w:themeColor="text1"/>
              </w:rPr>
            </w:pPr>
            <w:r>
              <w:rPr>
                <w:noProof/>
              </w:rPr>
              <w:t>Analyse de scénarios dans le cadre de la Stratégie de développement du tourisme durable à l'horizon 2030</w:t>
            </w:r>
          </w:p>
        </w:tc>
        <w:tc>
          <w:tcPr>
            <w:tcW w:w="1984" w:type="dxa"/>
            <w:tcBorders>
              <w:top w:val="single" w:sz="4" w:space="0" w:color="auto"/>
              <w:left w:val="nil"/>
              <w:bottom w:val="single" w:sz="4" w:space="0" w:color="auto"/>
              <w:right w:val="single" w:sz="4" w:space="0" w:color="auto"/>
            </w:tcBorders>
            <w:shd w:val="clear" w:color="auto" w:fill="C6EFCE"/>
            <w:noWrap/>
          </w:tcPr>
          <w:p w14:paraId="796AA512" w14:textId="77777777" w:rsidR="00553430" w:rsidRDefault="00212577">
            <w:pPr>
              <w:pStyle w:val="P68B1DB1-Normal66"/>
              <w:spacing w:after="200" w:line="276" w:lineRule="auto"/>
              <w:rPr>
                <w:noProof/>
                <w:color w:val="000000" w:themeColor="text1"/>
              </w:rPr>
            </w:pPr>
            <w:r>
              <w:rPr>
                <w:noProof/>
              </w:rPr>
              <w:t>Développer l'analyse de scénarios</w:t>
            </w:r>
          </w:p>
        </w:tc>
        <w:tc>
          <w:tcPr>
            <w:tcW w:w="712" w:type="dxa"/>
            <w:tcBorders>
              <w:top w:val="single" w:sz="4" w:space="0" w:color="auto"/>
              <w:left w:val="nil"/>
              <w:bottom w:val="single" w:sz="4" w:space="0" w:color="auto"/>
              <w:right w:val="single" w:sz="4" w:space="0" w:color="auto"/>
            </w:tcBorders>
            <w:shd w:val="clear" w:color="auto" w:fill="C6EFCE"/>
            <w:noWrap/>
          </w:tcPr>
          <w:p w14:paraId="0B4BA924" w14:textId="77777777" w:rsidR="00553430" w:rsidRDefault="00212577">
            <w:pPr>
              <w:pStyle w:val="P68B1DB1-Normal66"/>
              <w:spacing w:after="200" w:line="276" w:lineRule="auto"/>
              <w:jc w:val="center"/>
              <w:rPr>
                <w:noProof/>
                <w:color w:val="000000" w:themeColor="text1"/>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70A47875" w14:textId="77777777" w:rsidR="00553430" w:rsidRDefault="00212577">
            <w:pPr>
              <w:pStyle w:val="P68B1DB1-Normal66"/>
              <w:spacing w:after="200" w:line="276" w:lineRule="auto"/>
              <w:jc w:val="center"/>
              <w:rPr>
                <w:noProof/>
                <w:color w:val="000000" w:themeColor="text1"/>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70AE0B0D" w14:textId="77777777" w:rsidR="00553430" w:rsidRDefault="00212577">
            <w:pPr>
              <w:pStyle w:val="P68B1DB1-Normal66"/>
              <w:spacing w:after="200" w:line="276" w:lineRule="auto"/>
              <w:jc w:val="center"/>
              <w:rPr>
                <w:noProof/>
                <w:color w:val="000000" w:themeColor="text1"/>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5FEAD6F3" w14:textId="77777777" w:rsidR="00553430" w:rsidRDefault="00212577">
            <w:pPr>
              <w:pStyle w:val="P68B1DB1-Normal66"/>
              <w:spacing w:after="200" w:line="276" w:lineRule="auto"/>
              <w:jc w:val="center"/>
              <w:rPr>
                <w:noProof/>
                <w:color w:val="000000" w:themeColor="text1"/>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tcPr>
          <w:p w14:paraId="4F451167" w14:textId="77777777" w:rsidR="00553430" w:rsidRDefault="00212577">
            <w:pPr>
              <w:pStyle w:val="P68B1DB1-Normal66"/>
              <w:spacing w:after="200" w:line="276" w:lineRule="auto"/>
              <w:jc w:val="center"/>
              <w:rPr>
                <w:noProof/>
                <w:color w:val="000000" w:themeColor="text1"/>
              </w:rPr>
            </w:pPr>
            <w:r>
              <w:rPr>
                <w:noProof/>
              </w:rPr>
              <w:t>2021</w:t>
            </w:r>
          </w:p>
        </w:tc>
        <w:tc>
          <w:tcPr>
            <w:tcW w:w="5103" w:type="dxa"/>
            <w:tcBorders>
              <w:top w:val="single" w:sz="4" w:space="0" w:color="auto"/>
              <w:left w:val="nil"/>
              <w:bottom w:val="single" w:sz="4" w:space="0" w:color="auto"/>
              <w:right w:val="single" w:sz="4" w:space="0" w:color="auto"/>
            </w:tcBorders>
            <w:shd w:val="clear" w:color="auto" w:fill="C6EFCE"/>
            <w:noWrap/>
          </w:tcPr>
          <w:p w14:paraId="27B97031" w14:textId="77777777" w:rsidR="00553430" w:rsidRDefault="00212577">
            <w:pPr>
              <w:pStyle w:val="P68B1DB1-Normal66"/>
              <w:spacing w:after="240" w:line="276" w:lineRule="auto"/>
              <w:rPr>
                <w:noProof/>
                <w:color w:val="000000" w:themeColor="text1"/>
              </w:rPr>
            </w:pPr>
            <w:r>
              <w:rPr>
                <w:noProof/>
              </w:rPr>
              <w:t>L’analyse de scénarios produite dans le cadre du processus d’élaboration de la stratégie sert de base à</w:t>
            </w:r>
            <w:r>
              <w:rPr>
                <w:noProof/>
              </w:rPr>
              <w:t xml:space="preserve"> la mobilisation des investissements visés dans cette sous-composante. L’analyse de scénarios développe la projection de l’orientation du développement aux niveaux national et territorial en consultation avec les principales parties prenantes du secteur.</w:t>
            </w:r>
          </w:p>
        </w:tc>
      </w:tr>
      <w:tr w:rsidR="00553430" w14:paraId="7529BF1A" w14:textId="77777777">
        <w:trPr>
          <w:jc w:val="center"/>
        </w:trPr>
        <w:tc>
          <w:tcPr>
            <w:tcW w:w="768" w:type="dxa"/>
            <w:tcBorders>
              <w:top w:val="nil"/>
              <w:left w:val="single" w:sz="4" w:space="0" w:color="auto"/>
              <w:bottom w:val="single" w:sz="4" w:space="0" w:color="auto"/>
              <w:right w:val="single" w:sz="4" w:space="0" w:color="auto"/>
            </w:tcBorders>
            <w:shd w:val="clear" w:color="auto" w:fill="C6EFCE"/>
            <w:noWrap/>
          </w:tcPr>
          <w:p w14:paraId="13B79F8E" w14:textId="77777777" w:rsidR="00553430" w:rsidRDefault="00212577">
            <w:pPr>
              <w:pStyle w:val="P68B1DB1-Normal66"/>
              <w:spacing w:after="200" w:line="276" w:lineRule="auto"/>
              <w:jc w:val="center"/>
              <w:rPr>
                <w:noProof/>
                <w:color w:val="000000" w:themeColor="text1"/>
              </w:rPr>
            </w:pPr>
            <w:r>
              <w:rPr>
                <w:noProof/>
              </w:rPr>
              <w:t>141</w:t>
            </w:r>
          </w:p>
        </w:tc>
        <w:tc>
          <w:tcPr>
            <w:tcW w:w="1076" w:type="dxa"/>
            <w:tcBorders>
              <w:top w:val="nil"/>
              <w:left w:val="nil"/>
              <w:bottom w:val="single" w:sz="4" w:space="0" w:color="auto"/>
              <w:right w:val="single" w:sz="4" w:space="0" w:color="auto"/>
            </w:tcBorders>
            <w:shd w:val="clear" w:color="auto" w:fill="C6EFCE"/>
            <w:noWrap/>
          </w:tcPr>
          <w:p w14:paraId="0670BA78" w14:textId="77777777" w:rsidR="00553430" w:rsidRDefault="00212577">
            <w:pPr>
              <w:pStyle w:val="P68B1DB1-Normal66"/>
              <w:spacing w:after="200" w:line="276" w:lineRule="auto"/>
              <w:jc w:val="center"/>
              <w:rPr>
                <w:noProof/>
                <w:color w:val="000000" w:themeColor="text1"/>
              </w:rPr>
            </w:pPr>
            <w:r>
              <w:rPr>
                <w:noProof/>
              </w:rPr>
              <w:t>C1.6. R1</w:t>
            </w:r>
          </w:p>
        </w:tc>
        <w:tc>
          <w:tcPr>
            <w:tcW w:w="1069" w:type="dxa"/>
            <w:tcBorders>
              <w:top w:val="nil"/>
              <w:left w:val="nil"/>
              <w:bottom w:val="single" w:sz="4" w:space="0" w:color="auto"/>
              <w:right w:val="single" w:sz="4" w:space="0" w:color="auto"/>
            </w:tcBorders>
            <w:shd w:val="clear" w:color="auto" w:fill="C6EFCE"/>
            <w:noWrap/>
          </w:tcPr>
          <w:p w14:paraId="2DAE43B2" w14:textId="77777777" w:rsidR="00553430" w:rsidRDefault="00212577">
            <w:pPr>
              <w:pStyle w:val="P68B1DB1-Normal66"/>
              <w:spacing w:after="200" w:line="276" w:lineRule="auto"/>
              <w:jc w:val="center"/>
              <w:rPr>
                <w:noProof/>
                <w:color w:val="000000" w:themeColor="text1"/>
              </w:rPr>
            </w:pPr>
            <w:r>
              <w:rPr>
                <w:noProof/>
              </w:rPr>
              <w:t>M</w:t>
            </w:r>
          </w:p>
        </w:tc>
        <w:tc>
          <w:tcPr>
            <w:tcW w:w="1766" w:type="dxa"/>
            <w:tcBorders>
              <w:top w:val="nil"/>
              <w:left w:val="nil"/>
              <w:bottom w:val="single" w:sz="4" w:space="0" w:color="auto"/>
              <w:right w:val="single" w:sz="4" w:space="0" w:color="auto"/>
            </w:tcBorders>
            <w:shd w:val="clear" w:color="auto" w:fill="C6EFCE"/>
            <w:noWrap/>
          </w:tcPr>
          <w:p w14:paraId="1167BCB0" w14:textId="284F3CFF" w:rsidR="00553430" w:rsidRDefault="00212577">
            <w:pPr>
              <w:pStyle w:val="P68B1DB1-Normal66"/>
              <w:spacing w:after="200" w:line="276" w:lineRule="auto"/>
              <w:rPr>
                <w:noProof/>
                <w:color w:val="000000" w:themeColor="text1"/>
              </w:rPr>
            </w:pPr>
            <w:r>
              <w:rPr>
                <w:noProof/>
              </w:rPr>
              <w:t xml:space="preserve">Adoption de la stratégie pour le développement du tourisme durable à l’horizon 2030 du gouvernement de la République de Croatie </w:t>
            </w:r>
          </w:p>
        </w:tc>
        <w:tc>
          <w:tcPr>
            <w:tcW w:w="1984" w:type="dxa"/>
            <w:tcBorders>
              <w:top w:val="nil"/>
              <w:left w:val="nil"/>
              <w:bottom w:val="single" w:sz="4" w:space="0" w:color="auto"/>
              <w:right w:val="single" w:sz="4" w:space="0" w:color="auto"/>
            </w:tcBorders>
            <w:shd w:val="clear" w:color="auto" w:fill="C6EFCE"/>
            <w:noWrap/>
          </w:tcPr>
          <w:p w14:paraId="53BE682E" w14:textId="77777777" w:rsidR="00553430" w:rsidRDefault="00212577">
            <w:pPr>
              <w:pStyle w:val="P68B1DB1-Normal66"/>
              <w:spacing w:after="200" w:line="276" w:lineRule="auto"/>
              <w:rPr>
                <w:noProof/>
                <w:color w:val="000000" w:themeColor="text1"/>
              </w:rPr>
            </w:pPr>
            <w:r>
              <w:rPr>
                <w:noProof/>
              </w:rPr>
              <w:t xml:space="preserve">Disposition relative à l’entrée en vigueur de la stratégie pour le développement du tourisme durable d’ici à </w:t>
            </w:r>
            <w:r>
              <w:rPr>
                <w:noProof/>
              </w:rPr>
              <w:t>2030</w:t>
            </w:r>
          </w:p>
        </w:tc>
        <w:tc>
          <w:tcPr>
            <w:tcW w:w="712" w:type="dxa"/>
            <w:tcBorders>
              <w:top w:val="nil"/>
              <w:left w:val="nil"/>
              <w:bottom w:val="single" w:sz="4" w:space="0" w:color="auto"/>
              <w:right w:val="single" w:sz="4" w:space="0" w:color="auto"/>
            </w:tcBorders>
            <w:shd w:val="clear" w:color="auto" w:fill="C6EFCE"/>
            <w:noWrap/>
          </w:tcPr>
          <w:p w14:paraId="4AAF880C" w14:textId="77777777" w:rsidR="00553430" w:rsidRDefault="00212577">
            <w:pPr>
              <w:pStyle w:val="P68B1DB1-Normal66"/>
              <w:spacing w:after="200" w:line="276" w:lineRule="auto"/>
              <w:jc w:val="center"/>
              <w:rPr>
                <w:noProof/>
                <w:color w:val="000000" w:themeColor="text1"/>
              </w:rPr>
            </w:pPr>
            <w:r>
              <w:rPr>
                <w:noProof/>
              </w:rPr>
              <w:t> </w:t>
            </w:r>
          </w:p>
        </w:tc>
        <w:tc>
          <w:tcPr>
            <w:tcW w:w="850" w:type="dxa"/>
            <w:tcBorders>
              <w:top w:val="nil"/>
              <w:left w:val="nil"/>
              <w:bottom w:val="single" w:sz="4" w:space="0" w:color="auto"/>
              <w:right w:val="single" w:sz="4" w:space="0" w:color="auto"/>
            </w:tcBorders>
            <w:shd w:val="clear" w:color="auto" w:fill="C6EFCE"/>
            <w:noWrap/>
          </w:tcPr>
          <w:p w14:paraId="4B031E4F" w14:textId="77777777" w:rsidR="00553430" w:rsidRDefault="00212577">
            <w:pPr>
              <w:pStyle w:val="P68B1DB1-Normal66"/>
              <w:spacing w:after="200" w:line="276" w:lineRule="auto"/>
              <w:jc w:val="center"/>
              <w:rPr>
                <w:noProof/>
                <w:color w:val="000000" w:themeColor="text1"/>
              </w:rPr>
            </w:pPr>
            <w:r>
              <w:rPr>
                <w:noProof/>
              </w:rPr>
              <w:t> </w:t>
            </w:r>
          </w:p>
        </w:tc>
        <w:tc>
          <w:tcPr>
            <w:tcW w:w="992" w:type="dxa"/>
            <w:tcBorders>
              <w:top w:val="nil"/>
              <w:left w:val="nil"/>
              <w:bottom w:val="single" w:sz="4" w:space="0" w:color="auto"/>
              <w:right w:val="single" w:sz="4" w:space="0" w:color="auto"/>
            </w:tcBorders>
            <w:shd w:val="clear" w:color="auto" w:fill="C6EFCE"/>
            <w:noWrap/>
          </w:tcPr>
          <w:p w14:paraId="51AE9065" w14:textId="77777777" w:rsidR="00553430" w:rsidRDefault="00212577">
            <w:pPr>
              <w:pStyle w:val="P68B1DB1-Normal66"/>
              <w:spacing w:after="200" w:line="276" w:lineRule="auto"/>
              <w:jc w:val="center"/>
              <w:rPr>
                <w:noProof/>
                <w:color w:val="000000" w:themeColor="text1"/>
              </w:rPr>
            </w:pPr>
            <w:r>
              <w:rPr>
                <w:noProof/>
              </w:rPr>
              <w:t> </w:t>
            </w:r>
          </w:p>
        </w:tc>
        <w:tc>
          <w:tcPr>
            <w:tcW w:w="756" w:type="dxa"/>
            <w:tcBorders>
              <w:top w:val="nil"/>
              <w:left w:val="nil"/>
              <w:bottom w:val="single" w:sz="4" w:space="0" w:color="auto"/>
              <w:right w:val="single" w:sz="4" w:space="0" w:color="auto"/>
            </w:tcBorders>
            <w:shd w:val="clear" w:color="auto" w:fill="C6EFCE"/>
            <w:noWrap/>
          </w:tcPr>
          <w:p w14:paraId="30E64869" w14:textId="77777777" w:rsidR="00553430" w:rsidRDefault="00212577">
            <w:pPr>
              <w:pStyle w:val="P68B1DB1-Normal66"/>
              <w:spacing w:after="200" w:line="276" w:lineRule="auto"/>
              <w:jc w:val="center"/>
              <w:rPr>
                <w:noProof/>
                <w:color w:val="000000" w:themeColor="text1"/>
              </w:rPr>
            </w:pPr>
            <w:r>
              <w:rPr>
                <w:noProof/>
              </w:rPr>
              <w:t>T3</w:t>
            </w:r>
          </w:p>
        </w:tc>
        <w:tc>
          <w:tcPr>
            <w:tcW w:w="708" w:type="dxa"/>
            <w:tcBorders>
              <w:top w:val="nil"/>
              <w:left w:val="nil"/>
              <w:bottom w:val="single" w:sz="4" w:space="0" w:color="auto"/>
              <w:right w:val="single" w:sz="4" w:space="0" w:color="auto"/>
            </w:tcBorders>
            <w:shd w:val="clear" w:color="auto" w:fill="C6EFCE"/>
            <w:noWrap/>
          </w:tcPr>
          <w:p w14:paraId="0D74B632" w14:textId="77777777" w:rsidR="00553430" w:rsidRDefault="00212577">
            <w:pPr>
              <w:pStyle w:val="P68B1DB1-Normal66"/>
              <w:spacing w:after="200" w:line="276" w:lineRule="auto"/>
              <w:jc w:val="center"/>
              <w:rPr>
                <w:noProof/>
                <w:color w:val="000000" w:themeColor="text1"/>
              </w:rPr>
            </w:pPr>
            <w:r>
              <w:rPr>
                <w:noProof/>
              </w:rPr>
              <w:t>2022</w:t>
            </w:r>
          </w:p>
        </w:tc>
        <w:tc>
          <w:tcPr>
            <w:tcW w:w="5103" w:type="dxa"/>
            <w:tcBorders>
              <w:top w:val="nil"/>
              <w:left w:val="nil"/>
              <w:bottom w:val="single" w:sz="4" w:space="0" w:color="auto"/>
              <w:right w:val="single" w:sz="4" w:space="0" w:color="auto"/>
            </w:tcBorders>
            <w:shd w:val="clear" w:color="auto" w:fill="C6EFCE"/>
            <w:noWrap/>
          </w:tcPr>
          <w:p w14:paraId="517E4BAB" w14:textId="77777777" w:rsidR="00553430" w:rsidRDefault="00212577">
            <w:pPr>
              <w:pStyle w:val="P68B1DB1-Normal66"/>
              <w:spacing w:after="200" w:line="276" w:lineRule="auto"/>
              <w:rPr>
                <w:noProof/>
                <w:color w:val="000000" w:themeColor="text1"/>
              </w:rPr>
            </w:pPr>
            <w:r>
              <w:rPr>
                <w:noProof/>
              </w:rPr>
              <w:t xml:space="preserve">Dans le cadre de cette réforme, le processus de transformation du modèle de développement du tourisme vers la durabilité sera mis en œuvre par l’élaboration de la stratégie de développement du tourisme durable à l’horizon 2030, du point </w:t>
            </w:r>
            <w:r>
              <w:rPr>
                <w:noProof/>
              </w:rPr>
              <w:t>de vue de la durabilité socio-économique, environnementale et territoriale.</w:t>
            </w:r>
            <w:r>
              <w:rPr>
                <w:noProof/>
              </w:rPr>
              <w:br/>
              <w:t>La stratégie, en tant qu'acte de planification stratégique à long terme d'importance nationale, accordera également une attention particulière aux questions d'utilisation des terre</w:t>
            </w:r>
            <w:r>
              <w:rPr>
                <w:noProof/>
              </w:rPr>
              <w:t>s jusqu'à présent, à savoir le surtourisme dans les destinations individuelles, en tant qu'un des problèmes clés du développement du tourisme. La stratégie apportera également une réponse à la manière de mieux promouvoir la réduction du développement régio</w:t>
            </w:r>
            <w:r>
              <w:rPr>
                <w:noProof/>
              </w:rPr>
              <w:t>nal inégal en Croatie.</w:t>
            </w:r>
          </w:p>
        </w:tc>
      </w:tr>
      <w:tr w:rsidR="00553430" w14:paraId="4C40BEA1"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5D953C6F" w14:textId="77777777" w:rsidR="00553430" w:rsidRDefault="00212577">
            <w:pPr>
              <w:pStyle w:val="P68B1DB1-Normal66"/>
              <w:spacing w:after="0" w:line="276" w:lineRule="auto"/>
              <w:jc w:val="center"/>
              <w:rPr>
                <w:noProof/>
                <w:color w:val="000000" w:themeColor="text1"/>
              </w:rPr>
            </w:pPr>
            <w:r>
              <w:rPr>
                <w:noProof/>
              </w:rPr>
              <w:t>142</w:t>
            </w:r>
          </w:p>
        </w:tc>
        <w:tc>
          <w:tcPr>
            <w:tcW w:w="1076" w:type="dxa"/>
            <w:tcBorders>
              <w:top w:val="single" w:sz="4" w:space="0" w:color="auto"/>
              <w:left w:val="nil"/>
              <w:bottom w:val="single" w:sz="4" w:space="0" w:color="auto"/>
              <w:right w:val="single" w:sz="4" w:space="0" w:color="auto"/>
            </w:tcBorders>
            <w:shd w:val="clear" w:color="auto" w:fill="C6EFCE"/>
            <w:noWrap/>
          </w:tcPr>
          <w:p w14:paraId="413C4F0F" w14:textId="77777777" w:rsidR="00553430" w:rsidRDefault="00212577">
            <w:pPr>
              <w:pStyle w:val="P68B1DB1-Normal66"/>
              <w:spacing w:after="200" w:line="276" w:lineRule="auto"/>
              <w:jc w:val="center"/>
              <w:rPr>
                <w:noProof/>
                <w:color w:val="000000" w:themeColor="text1"/>
              </w:rPr>
            </w:pPr>
            <w:r>
              <w:rPr>
                <w:noProof/>
              </w:rPr>
              <w:t>C1.6. R1</w:t>
            </w:r>
          </w:p>
        </w:tc>
        <w:tc>
          <w:tcPr>
            <w:tcW w:w="1069" w:type="dxa"/>
            <w:tcBorders>
              <w:top w:val="single" w:sz="4" w:space="0" w:color="auto"/>
              <w:left w:val="nil"/>
              <w:bottom w:val="single" w:sz="4" w:space="0" w:color="auto"/>
              <w:right w:val="single" w:sz="4" w:space="0" w:color="auto"/>
            </w:tcBorders>
            <w:shd w:val="clear" w:color="auto" w:fill="C6EFCE"/>
            <w:noWrap/>
          </w:tcPr>
          <w:p w14:paraId="41B1B908" w14:textId="77777777" w:rsidR="00553430" w:rsidRDefault="00212577">
            <w:pPr>
              <w:pStyle w:val="P68B1DB1-Normal66"/>
              <w:spacing w:after="200" w:line="276" w:lineRule="auto"/>
              <w:jc w:val="center"/>
              <w:rPr>
                <w:noProof/>
                <w:color w:val="000000" w:themeColor="text1"/>
              </w:rPr>
            </w:pPr>
            <w:r>
              <w:rPr>
                <w:noProof/>
              </w:rPr>
              <w:t>M</w:t>
            </w:r>
          </w:p>
        </w:tc>
        <w:tc>
          <w:tcPr>
            <w:tcW w:w="1766" w:type="dxa"/>
            <w:tcBorders>
              <w:top w:val="single" w:sz="4" w:space="0" w:color="auto"/>
              <w:left w:val="nil"/>
              <w:bottom w:val="single" w:sz="4" w:space="0" w:color="auto"/>
              <w:right w:val="single" w:sz="4" w:space="0" w:color="auto"/>
            </w:tcBorders>
            <w:shd w:val="clear" w:color="auto" w:fill="C6EFCE"/>
            <w:noWrap/>
          </w:tcPr>
          <w:p w14:paraId="5A1445CA" w14:textId="77777777" w:rsidR="00553430" w:rsidRDefault="00212577">
            <w:pPr>
              <w:pStyle w:val="P68B1DB1-Normal66"/>
              <w:spacing w:after="200" w:line="276" w:lineRule="auto"/>
              <w:rPr>
                <w:noProof/>
                <w:color w:val="000000" w:themeColor="text1"/>
              </w:rPr>
            </w:pPr>
            <w:r>
              <w:rPr>
                <w:noProof/>
              </w:rPr>
              <w:t>Élaboration du cadre météorologique du compte satellite du tourisme durable de la République de Croatie</w:t>
            </w:r>
          </w:p>
        </w:tc>
        <w:tc>
          <w:tcPr>
            <w:tcW w:w="1984" w:type="dxa"/>
            <w:tcBorders>
              <w:top w:val="single" w:sz="4" w:space="0" w:color="auto"/>
              <w:left w:val="nil"/>
              <w:bottom w:val="single" w:sz="4" w:space="0" w:color="auto"/>
              <w:right w:val="single" w:sz="4" w:space="0" w:color="auto"/>
            </w:tcBorders>
            <w:shd w:val="clear" w:color="auto" w:fill="C6EFCE"/>
            <w:noWrap/>
          </w:tcPr>
          <w:p w14:paraId="56C64713" w14:textId="77777777" w:rsidR="00553430" w:rsidRDefault="00212577">
            <w:pPr>
              <w:pStyle w:val="P68B1DB1-Normal66"/>
              <w:spacing w:after="200" w:line="276" w:lineRule="auto"/>
              <w:rPr>
                <w:noProof/>
                <w:color w:val="000000" w:themeColor="text1"/>
              </w:rPr>
            </w:pPr>
            <w:r>
              <w:rPr>
                <w:noProof/>
              </w:rPr>
              <w:t xml:space="preserve">Disposition relative à l’entrée en vigueur du cadre météorologique du compte satellite du tourisme durable </w:t>
            </w:r>
          </w:p>
        </w:tc>
        <w:tc>
          <w:tcPr>
            <w:tcW w:w="712" w:type="dxa"/>
            <w:tcBorders>
              <w:top w:val="nil"/>
              <w:left w:val="nil"/>
              <w:bottom w:val="single" w:sz="4" w:space="0" w:color="auto"/>
              <w:right w:val="single" w:sz="4" w:space="0" w:color="auto"/>
            </w:tcBorders>
            <w:shd w:val="clear" w:color="auto" w:fill="C6EFCE"/>
            <w:noWrap/>
          </w:tcPr>
          <w:p w14:paraId="0FA184F0" w14:textId="77777777" w:rsidR="00553430" w:rsidRDefault="00212577">
            <w:pPr>
              <w:pStyle w:val="P68B1DB1-Normal66"/>
              <w:spacing w:after="200" w:line="276" w:lineRule="auto"/>
              <w:jc w:val="center"/>
              <w:rPr>
                <w:noProof/>
                <w:color w:val="000000" w:themeColor="text1"/>
              </w:rPr>
            </w:pPr>
            <w:r>
              <w:rPr>
                <w:noProof/>
              </w:rPr>
              <w:t> </w:t>
            </w:r>
          </w:p>
        </w:tc>
        <w:tc>
          <w:tcPr>
            <w:tcW w:w="850" w:type="dxa"/>
            <w:tcBorders>
              <w:top w:val="nil"/>
              <w:left w:val="nil"/>
              <w:bottom w:val="single" w:sz="4" w:space="0" w:color="auto"/>
              <w:right w:val="single" w:sz="4" w:space="0" w:color="auto"/>
            </w:tcBorders>
            <w:shd w:val="clear" w:color="auto" w:fill="C6EFCE"/>
            <w:noWrap/>
          </w:tcPr>
          <w:p w14:paraId="4275A748" w14:textId="77777777" w:rsidR="00553430" w:rsidRDefault="00212577">
            <w:pPr>
              <w:pStyle w:val="P68B1DB1-Normal66"/>
              <w:spacing w:after="200" w:line="276" w:lineRule="auto"/>
              <w:jc w:val="center"/>
              <w:rPr>
                <w:noProof/>
                <w:color w:val="000000" w:themeColor="text1"/>
              </w:rPr>
            </w:pPr>
            <w:r>
              <w:rPr>
                <w:noProof/>
              </w:rPr>
              <w:t> </w:t>
            </w:r>
          </w:p>
        </w:tc>
        <w:tc>
          <w:tcPr>
            <w:tcW w:w="992" w:type="dxa"/>
            <w:tcBorders>
              <w:top w:val="nil"/>
              <w:left w:val="nil"/>
              <w:bottom w:val="single" w:sz="4" w:space="0" w:color="auto"/>
              <w:right w:val="single" w:sz="4" w:space="0" w:color="auto"/>
            </w:tcBorders>
            <w:shd w:val="clear" w:color="auto" w:fill="C6EFCE"/>
            <w:noWrap/>
          </w:tcPr>
          <w:p w14:paraId="369F428F" w14:textId="77777777" w:rsidR="00553430" w:rsidRDefault="00212577">
            <w:pPr>
              <w:pStyle w:val="P68B1DB1-Normal66"/>
              <w:spacing w:after="200" w:line="276" w:lineRule="auto"/>
              <w:jc w:val="center"/>
              <w:rPr>
                <w:noProof/>
                <w:color w:val="000000" w:themeColor="text1"/>
              </w:rPr>
            </w:pPr>
            <w:r>
              <w:rPr>
                <w:noProof/>
              </w:rPr>
              <w:t> </w:t>
            </w:r>
          </w:p>
        </w:tc>
        <w:tc>
          <w:tcPr>
            <w:tcW w:w="756" w:type="dxa"/>
            <w:tcBorders>
              <w:top w:val="nil"/>
              <w:left w:val="nil"/>
              <w:bottom w:val="single" w:sz="4" w:space="0" w:color="auto"/>
              <w:right w:val="single" w:sz="4" w:space="0" w:color="auto"/>
            </w:tcBorders>
            <w:shd w:val="clear" w:color="auto" w:fill="C6EFCE"/>
            <w:noWrap/>
          </w:tcPr>
          <w:p w14:paraId="16C933C8" w14:textId="77777777" w:rsidR="00553430" w:rsidRDefault="00212577">
            <w:pPr>
              <w:pStyle w:val="P68B1DB1-Normal66"/>
              <w:spacing w:after="200" w:line="276" w:lineRule="auto"/>
              <w:jc w:val="center"/>
              <w:rPr>
                <w:noProof/>
                <w:color w:val="000000" w:themeColor="text1"/>
              </w:rPr>
            </w:pPr>
            <w:r>
              <w:rPr>
                <w:noProof/>
              </w:rPr>
              <w:t>T3</w:t>
            </w:r>
          </w:p>
        </w:tc>
        <w:tc>
          <w:tcPr>
            <w:tcW w:w="708" w:type="dxa"/>
            <w:tcBorders>
              <w:top w:val="nil"/>
              <w:left w:val="nil"/>
              <w:bottom w:val="single" w:sz="4" w:space="0" w:color="auto"/>
              <w:right w:val="single" w:sz="4" w:space="0" w:color="auto"/>
            </w:tcBorders>
            <w:shd w:val="clear" w:color="auto" w:fill="C6EFCE"/>
            <w:noWrap/>
          </w:tcPr>
          <w:p w14:paraId="3FD42C3D" w14:textId="77777777" w:rsidR="00553430" w:rsidRDefault="00212577">
            <w:pPr>
              <w:pStyle w:val="P68B1DB1-Normal66"/>
              <w:spacing w:after="200" w:line="276" w:lineRule="auto"/>
              <w:jc w:val="center"/>
              <w:rPr>
                <w:noProof/>
                <w:color w:val="000000" w:themeColor="text1"/>
              </w:rPr>
            </w:pPr>
            <w:r>
              <w:rPr>
                <w:noProof/>
              </w:rPr>
              <w:t>2023</w:t>
            </w:r>
          </w:p>
        </w:tc>
        <w:tc>
          <w:tcPr>
            <w:tcW w:w="5103" w:type="dxa"/>
            <w:tcBorders>
              <w:top w:val="single" w:sz="4" w:space="0" w:color="auto"/>
              <w:left w:val="nil"/>
              <w:bottom w:val="single" w:sz="4" w:space="0" w:color="auto"/>
              <w:right w:val="single" w:sz="4" w:space="0" w:color="auto"/>
            </w:tcBorders>
            <w:shd w:val="clear" w:color="auto" w:fill="C6EFCE"/>
            <w:noWrap/>
          </w:tcPr>
          <w:p w14:paraId="49B1FCEC" w14:textId="77777777" w:rsidR="00553430" w:rsidRDefault="00212577">
            <w:pPr>
              <w:pStyle w:val="P68B1DB1-Normal66"/>
              <w:spacing w:after="240" w:line="276" w:lineRule="auto"/>
              <w:rPr>
                <w:noProof/>
                <w:color w:val="000000" w:themeColor="text1"/>
              </w:rPr>
            </w:pPr>
            <w:r>
              <w:rPr>
                <w:noProof/>
              </w:rPr>
              <w:t>Le système de comptes satellites du tourisme et de la durabilité crée les conditions nécessaires à la gestion et au suivi du développement du tourisme au moyen d’indicateurs de durabilité du tourisme définis aux niveaux national et régional.</w:t>
            </w:r>
            <w:r>
              <w:rPr>
                <w:noProof/>
              </w:rPr>
              <w:br/>
              <w:t>Le co</w:t>
            </w:r>
            <w:r>
              <w:rPr>
                <w:noProof/>
              </w:rPr>
              <w:t>mpte satellite devient un outil de gestion des politiques publiques. La collecte et la compilation des données seront harmonisées avec le système européen d'indicateurs du tourisme (ETIS) et les concepts, définitions, classifications et règles comptables d</w:t>
            </w:r>
            <w:r>
              <w:rPr>
                <w:noProof/>
              </w:rPr>
              <w:t xml:space="preserve">u système de comptabilité économique environnementale (SCEE). Afin d'améliorer l'efficacité de la politique régionale du tourisme, un compte satellite régional du tourisme durable sera créé, avec l'ajout d'indicateurs spécifiques de l'activité touristique </w:t>
            </w:r>
            <w:r>
              <w:rPr>
                <w:noProof/>
              </w:rPr>
              <w:t>au niveau des destinations ajustés pour signaler l'apparition éventuelle d'un surtourisme. Les données et l’analyse sous-tendent à la fois l’orientation stratégique de la planification, publique et privée, et deviennent un outil pertinent de gestion des po</w:t>
            </w:r>
            <w:r>
              <w:rPr>
                <w:noProof/>
              </w:rPr>
              <w:t>litiques.</w:t>
            </w:r>
          </w:p>
        </w:tc>
      </w:tr>
      <w:tr w:rsidR="00553430" w14:paraId="04B0304B"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ADDF89B" w14:textId="77777777" w:rsidR="00553430" w:rsidRDefault="00212577">
            <w:pPr>
              <w:pStyle w:val="P68B1DB1-Normal66"/>
              <w:spacing w:after="0" w:line="276" w:lineRule="auto"/>
              <w:jc w:val="center"/>
              <w:rPr>
                <w:noProof/>
                <w:color w:val="000000" w:themeColor="text1"/>
              </w:rPr>
            </w:pPr>
            <w:r>
              <w:rPr>
                <w:noProof/>
              </w:rPr>
              <w:t>143</w:t>
            </w:r>
          </w:p>
        </w:tc>
        <w:tc>
          <w:tcPr>
            <w:tcW w:w="1076" w:type="dxa"/>
            <w:tcBorders>
              <w:top w:val="single" w:sz="4" w:space="0" w:color="auto"/>
              <w:left w:val="nil"/>
              <w:bottom w:val="single" w:sz="4" w:space="0" w:color="auto"/>
              <w:right w:val="single" w:sz="4" w:space="0" w:color="auto"/>
            </w:tcBorders>
            <w:shd w:val="clear" w:color="auto" w:fill="C6EFCE"/>
            <w:noWrap/>
          </w:tcPr>
          <w:p w14:paraId="60975582" w14:textId="77777777" w:rsidR="00553430" w:rsidRDefault="00212577">
            <w:pPr>
              <w:pStyle w:val="P68B1DB1-Normal66"/>
              <w:spacing w:after="200" w:line="276" w:lineRule="auto"/>
              <w:jc w:val="center"/>
              <w:rPr>
                <w:noProof/>
                <w:color w:val="000000" w:themeColor="text1"/>
              </w:rPr>
            </w:pPr>
            <w:r>
              <w:rPr>
                <w:noProof/>
              </w:rPr>
              <w:t>C1.6. R1</w:t>
            </w:r>
          </w:p>
        </w:tc>
        <w:tc>
          <w:tcPr>
            <w:tcW w:w="1069" w:type="dxa"/>
            <w:tcBorders>
              <w:top w:val="single" w:sz="4" w:space="0" w:color="auto"/>
              <w:left w:val="nil"/>
              <w:bottom w:val="single" w:sz="4" w:space="0" w:color="auto"/>
              <w:right w:val="single" w:sz="4" w:space="0" w:color="auto"/>
            </w:tcBorders>
            <w:shd w:val="clear" w:color="auto" w:fill="C6EFCE"/>
            <w:noWrap/>
          </w:tcPr>
          <w:p w14:paraId="28B8382A" w14:textId="77777777" w:rsidR="00553430" w:rsidRDefault="00212577">
            <w:pPr>
              <w:pStyle w:val="P68B1DB1-Normal66"/>
              <w:spacing w:after="200" w:line="276" w:lineRule="auto"/>
              <w:jc w:val="center"/>
              <w:rPr>
                <w:noProof/>
                <w:color w:val="000000" w:themeColor="text1"/>
              </w:rPr>
            </w:pPr>
            <w:r>
              <w:rPr>
                <w:noProof/>
              </w:rPr>
              <w:t>M</w:t>
            </w:r>
          </w:p>
        </w:tc>
        <w:tc>
          <w:tcPr>
            <w:tcW w:w="1766" w:type="dxa"/>
            <w:tcBorders>
              <w:top w:val="single" w:sz="4" w:space="0" w:color="auto"/>
              <w:left w:val="nil"/>
              <w:bottom w:val="single" w:sz="4" w:space="0" w:color="auto"/>
              <w:right w:val="single" w:sz="4" w:space="0" w:color="auto"/>
            </w:tcBorders>
            <w:shd w:val="clear" w:color="auto" w:fill="C6EFCE"/>
            <w:noWrap/>
          </w:tcPr>
          <w:p w14:paraId="3E4F783A" w14:textId="77777777" w:rsidR="00553430" w:rsidRDefault="00212577">
            <w:pPr>
              <w:pStyle w:val="P68B1DB1-Normal66"/>
              <w:spacing w:after="200" w:line="276" w:lineRule="auto"/>
              <w:rPr>
                <w:noProof/>
                <w:color w:val="000000" w:themeColor="text1"/>
              </w:rPr>
            </w:pPr>
            <w:r>
              <w:rPr>
                <w:noProof/>
              </w:rPr>
              <w:t>Loi sur le tourisme établissant un cadre pour le suivi et le développement du secteur du tourisme</w:t>
            </w:r>
          </w:p>
        </w:tc>
        <w:tc>
          <w:tcPr>
            <w:tcW w:w="1984" w:type="dxa"/>
            <w:tcBorders>
              <w:top w:val="single" w:sz="4" w:space="0" w:color="auto"/>
              <w:left w:val="nil"/>
              <w:bottom w:val="single" w:sz="4" w:space="0" w:color="auto"/>
              <w:right w:val="single" w:sz="4" w:space="0" w:color="auto"/>
            </w:tcBorders>
            <w:shd w:val="clear" w:color="auto" w:fill="C6EFCE"/>
            <w:noWrap/>
          </w:tcPr>
          <w:p w14:paraId="09C4222A" w14:textId="77777777" w:rsidR="00553430" w:rsidRDefault="00212577">
            <w:pPr>
              <w:pStyle w:val="P68B1DB1-Normal66"/>
              <w:spacing w:after="200" w:line="276" w:lineRule="auto"/>
              <w:rPr>
                <w:noProof/>
                <w:color w:val="000000" w:themeColor="text1"/>
              </w:rPr>
            </w:pPr>
            <w:r>
              <w:rPr>
                <w:noProof/>
              </w:rPr>
              <w:t xml:space="preserve">Entrée en vigueur de la loi sur le tourisme </w:t>
            </w:r>
          </w:p>
        </w:tc>
        <w:tc>
          <w:tcPr>
            <w:tcW w:w="712" w:type="dxa"/>
            <w:tcBorders>
              <w:top w:val="single" w:sz="4" w:space="0" w:color="auto"/>
              <w:left w:val="nil"/>
              <w:bottom w:val="single" w:sz="4" w:space="0" w:color="auto"/>
              <w:right w:val="single" w:sz="4" w:space="0" w:color="auto"/>
            </w:tcBorders>
            <w:shd w:val="clear" w:color="auto" w:fill="C6EFCE"/>
            <w:noWrap/>
          </w:tcPr>
          <w:p w14:paraId="445F579C" w14:textId="77777777" w:rsidR="00553430" w:rsidRDefault="00212577">
            <w:pPr>
              <w:pStyle w:val="P68B1DB1-Normal66"/>
              <w:spacing w:after="200" w:line="276" w:lineRule="auto"/>
              <w:jc w:val="center"/>
              <w:rPr>
                <w:noProof/>
                <w:color w:val="000000" w:themeColor="text1"/>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18B0D7E9" w14:textId="77777777" w:rsidR="00553430" w:rsidRDefault="00212577">
            <w:pPr>
              <w:pStyle w:val="P68B1DB1-Normal66"/>
              <w:spacing w:after="200" w:line="276" w:lineRule="auto"/>
              <w:jc w:val="center"/>
              <w:rPr>
                <w:noProof/>
                <w:color w:val="000000" w:themeColor="text1"/>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5357D01F" w14:textId="77777777" w:rsidR="00553430" w:rsidRDefault="00212577">
            <w:pPr>
              <w:pStyle w:val="P68B1DB1-Normal66"/>
              <w:spacing w:after="200" w:line="276" w:lineRule="auto"/>
              <w:jc w:val="center"/>
              <w:rPr>
                <w:noProof/>
                <w:color w:val="000000" w:themeColor="text1"/>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6AD8243A" w14:textId="77777777" w:rsidR="00553430" w:rsidRDefault="00212577">
            <w:pPr>
              <w:pStyle w:val="P68B1DB1-Normal66"/>
              <w:spacing w:after="200" w:line="276" w:lineRule="auto"/>
              <w:jc w:val="center"/>
              <w:rPr>
                <w:noProof/>
                <w:color w:val="000000" w:themeColor="text1"/>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tcPr>
          <w:p w14:paraId="00F2C5A7" w14:textId="77777777" w:rsidR="00553430" w:rsidRDefault="00212577">
            <w:pPr>
              <w:pStyle w:val="P68B1DB1-Normal66"/>
              <w:spacing w:after="200" w:line="276" w:lineRule="auto"/>
              <w:jc w:val="center"/>
              <w:rPr>
                <w:noProof/>
                <w:color w:val="000000" w:themeColor="text1"/>
              </w:rPr>
            </w:pPr>
            <w:r>
              <w:rPr>
                <w:noProof/>
              </w:rPr>
              <w:t>2023</w:t>
            </w:r>
          </w:p>
        </w:tc>
        <w:tc>
          <w:tcPr>
            <w:tcW w:w="5103" w:type="dxa"/>
            <w:tcBorders>
              <w:top w:val="single" w:sz="4" w:space="0" w:color="auto"/>
              <w:left w:val="nil"/>
              <w:bottom w:val="single" w:sz="4" w:space="0" w:color="auto"/>
              <w:right w:val="single" w:sz="4" w:space="0" w:color="auto"/>
            </w:tcBorders>
            <w:shd w:val="clear" w:color="auto" w:fill="C6EFCE"/>
            <w:noWrap/>
          </w:tcPr>
          <w:p w14:paraId="7C953F74" w14:textId="77777777" w:rsidR="00553430" w:rsidRDefault="00212577">
            <w:pPr>
              <w:pStyle w:val="P68B1DB1-Normal66"/>
              <w:spacing w:after="240" w:line="276" w:lineRule="auto"/>
              <w:rPr>
                <w:noProof/>
                <w:color w:val="000000" w:themeColor="text1"/>
              </w:rPr>
            </w:pPr>
            <w:r>
              <w:rPr>
                <w:noProof/>
              </w:rPr>
              <w:t>La loi sur le tourisme fournit un cadre pour le suivi et le développement</w:t>
            </w:r>
            <w:r>
              <w:rPr>
                <w:noProof/>
              </w:rPr>
              <w:t xml:space="preserve"> du secteur du tourisme grâce à la mise en place d’un système de suivi et d’analyse des données, d’un système d’incitations, de suivi et d’analyse des investissements, à la définition du rôle des principales parties prenantes dans le développement du touri</w:t>
            </w:r>
            <w:r>
              <w:rPr>
                <w:noProof/>
              </w:rPr>
              <w:t>sme et de la coopération interservices, ainsi qu’à la définition d’indicateurs et de normes visant à garantir la durabilité du tourisme (en particulier les normes vertes et numériques).</w:t>
            </w:r>
          </w:p>
        </w:tc>
      </w:tr>
      <w:tr w:rsidR="00553430" w14:paraId="27EC57CF" w14:textId="77777777">
        <w:trPr>
          <w:jc w:val="center"/>
        </w:trPr>
        <w:tc>
          <w:tcPr>
            <w:tcW w:w="768" w:type="dxa"/>
            <w:tcBorders>
              <w:top w:val="nil"/>
              <w:left w:val="single" w:sz="4" w:space="0" w:color="auto"/>
              <w:bottom w:val="single" w:sz="4" w:space="0" w:color="auto"/>
              <w:right w:val="single" w:sz="4" w:space="0" w:color="auto"/>
            </w:tcBorders>
            <w:shd w:val="clear" w:color="auto" w:fill="C6EFCE"/>
            <w:noWrap/>
          </w:tcPr>
          <w:p w14:paraId="76396284" w14:textId="77777777" w:rsidR="00553430" w:rsidRDefault="00212577">
            <w:pPr>
              <w:pStyle w:val="P68B1DB1-Normal66"/>
              <w:spacing w:after="0" w:line="276" w:lineRule="auto"/>
              <w:jc w:val="center"/>
              <w:rPr>
                <w:noProof/>
                <w:color w:val="000000" w:themeColor="text1"/>
              </w:rPr>
            </w:pPr>
            <w:r>
              <w:rPr>
                <w:noProof/>
              </w:rPr>
              <w:t>144</w:t>
            </w:r>
          </w:p>
        </w:tc>
        <w:tc>
          <w:tcPr>
            <w:tcW w:w="1076" w:type="dxa"/>
            <w:tcBorders>
              <w:top w:val="nil"/>
              <w:left w:val="nil"/>
              <w:bottom w:val="single" w:sz="4" w:space="0" w:color="auto"/>
              <w:right w:val="single" w:sz="4" w:space="0" w:color="auto"/>
            </w:tcBorders>
            <w:shd w:val="clear" w:color="auto" w:fill="C6EFCE"/>
            <w:noWrap/>
          </w:tcPr>
          <w:p w14:paraId="128567C7" w14:textId="77777777" w:rsidR="00553430" w:rsidRDefault="00212577">
            <w:pPr>
              <w:pStyle w:val="P68B1DB1-Normal66"/>
              <w:spacing w:after="200" w:line="276" w:lineRule="auto"/>
              <w:jc w:val="center"/>
              <w:rPr>
                <w:noProof/>
                <w:color w:val="000000" w:themeColor="text1"/>
              </w:rPr>
            </w:pPr>
            <w:r>
              <w:rPr>
                <w:noProof/>
              </w:rPr>
              <w:t>C1.6. R1-I1</w:t>
            </w:r>
          </w:p>
        </w:tc>
        <w:tc>
          <w:tcPr>
            <w:tcW w:w="1069" w:type="dxa"/>
            <w:tcBorders>
              <w:top w:val="nil"/>
              <w:left w:val="nil"/>
              <w:bottom w:val="single" w:sz="4" w:space="0" w:color="auto"/>
              <w:right w:val="single" w:sz="4" w:space="0" w:color="auto"/>
            </w:tcBorders>
            <w:shd w:val="clear" w:color="auto" w:fill="C6EFCE"/>
            <w:noWrap/>
          </w:tcPr>
          <w:p w14:paraId="22EB00A8" w14:textId="77777777" w:rsidR="00553430" w:rsidRDefault="00212577">
            <w:pPr>
              <w:pStyle w:val="P68B1DB1-Normal66"/>
              <w:spacing w:after="200" w:line="276" w:lineRule="auto"/>
              <w:jc w:val="center"/>
              <w:rPr>
                <w:noProof/>
                <w:color w:val="000000" w:themeColor="text1"/>
              </w:rPr>
            </w:pPr>
            <w:r>
              <w:rPr>
                <w:noProof/>
              </w:rPr>
              <w:t>M</w:t>
            </w:r>
          </w:p>
        </w:tc>
        <w:tc>
          <w:tcPr>
            <w:tcW w:w="1766" w:type="dxa"/>
            <w:tcBorders>
              <w:top w:val="nil"/>
              <w:left w:val="nil"/>
              <w:bottom w:val="single" w:sz="4" w:space="0" w:color="auto"/>
              <w:right w:val="single" w:sz="4" w:space="0" w:color="auto"/>
            </w:tcBorders>
            <w:shd w:val="clear" w:color="auto" w:fill="C6EFCE"/>
            <w:noWrap/>
          </w:tcPr>
          <w:p w14:paraId="2C84EBD3" w14:textId="77777777" w:rsidR="00553430" w:rsidRDefault="00212577">
            <w:pPr>
              <w:pStyle w:val="P68B1DB1-Normal66"/>
              <w:spacing w:after="200" w:line="276" w:lineRule="auto"/>
              <w:rPr>
                <w:noProof/>
                <w:color w:val="000000" w:themeColor="text1"/>
              </w:rPr>
            </w:pPr>
            <w:r>
              <w:rPr>
                <w:noProof/>
              </w:rPr>
              <w:t xml:space="preserve">Lancer des appels publics en faveur de la </w:t>
            </w:r>
            <w:r>
              <w:rPr>
                <w:noProof/>
              </w:rPr>
              <w:t>transition écologique et numérique des infrastructures touristiques publiques existantes et du développement des infrastructures touristiques publiques au-delà des principales zones touristiques et côtières</w:t>
            </w:r>
          </w:p>
        </w:tc>
        <w:tc>
          <w:tcPr>
            <w:tcW w:w="1984" w:type="dxa"/>
            <w:tcBorders>
              <w:top w:val="nil"/>
              <w:left w:val="nil"/>
              <w:bottom w:val="single" w:sz="4" w:space="0" w:color="auto"/>
              <w:right w:val="single" w:sz="4" w:space="0" w:color="auto"/>
            </w:tcBorders>
            <w:shd w:val="clear" w:color="auto" w:fill="C6EFCE"/>
            <w:noWrap/>
          </w:tcPr>
          <w:p w14:paraId="0257B960" w14:textId="77777777" w:rsidR="00553430" w:rsidRDefault="00212577">
            <w:pPr>
              <w:pStyle w:val="P68B1DB1-Normal66"/>
              <w:spacing w:after="200" w:line="276" w:lineRule="auto"/>
              <w:rPr>
                <w:noProof/>
                <w:color w:val="000000" w:themeColor="text1"/>
              </w:rPr>
            </w:pPr>
            <w:r>
              <w:rPr>
                <w:noProof/>
              </w:rPr>
              <w:t>Publication du dossier d’appel d’offres pour la t</w:t>
            </w:r>
            <w:r>
              <w:rPr>
                <w:noProof/>
              </w:rPr>
              <w:t xml:space="preserve">ransition écologique et numérique des infrastructures touristiques publiques existantes et le développement des infrastructures touristiques publiques au-delà des principales zones touristiques et côtières </w:t>
            </w:r>
          </w:p>
        </w:tc>
        <w:tc>
          <w:tcPr>
            <w:tcW w:w="712" w:type="dxa"/>
            <w:tcBorders>
              <w:top w:val="nil"/>
              <w:left w:val="nil"/>
              <w:bottom w:val="single" w:sz="4" w:space="0" w:color="auto"/>
              <w:right w:val="single" w:sz="4" w:space="0" w:color="auto"/>
            </w:tcBorders>
            <w:shd w:val="clear" w:color="auto" w:fill="C6EFCE"/>
            <w:noWrap/>
          </w:tcPr>
          <w:p w14:paraId="7A6F426E" w14:textId="77777777" w:rsidR="00553430" w:rsidRDefault="00212577">
            <w:pPr>
              <w:pStyle w:val="P68B1DB1-Normal66"/>
              <w:spacing w:after="200" w:line="276" w:lineRule="auto"/>
              <w:jc w:val="center"/>
              <w:rPr>
                <w:noProof/>
                <w:color w:val="000000" w:themeColor="text1"/>
              </w:rPr>
            </w:pPr>
            <w:r>
              <w:rPr>
                <w:noProof/>
              </w:rPr>
              <w:t> </w:t>
            </w:r>
          </w:p>
        </w:tc>
        <w:tc>
          <w:tcPr>
            <w:tcW w:w="850" w:type="dxa"/>
            <w:tcBorders>
              <w:top w:val="nil"/>
              <w:left w:val="nil"/>
              <w:bottom w:val="single" w:sz="4" w:space="0" w:color="auto"/>
              <w:right w:val="single" w:sz="4" w:space="0" w:color="auto"/>
            </w:tcBorders>
            <w:shd w:val="clear" w:color="auto" w:fill="C6EFCE"/>
            <w:noWrap/>
          </w:tcPr>
          <w:p w14:paraId="19547CC3" w14:textId="77777777" w:rsidR="00553430" w:rsidRDefault="00212577">
            <w:pPr>
              <w:pStyle w:val="P68B1DB1-Normal66"/>
              <w:spacing w:after="200" w:line="276" w:lineRule="auto"/>
              <w:jc w:val="center"/>
              <w:rPr>
                <w:noProof/>
                <w:color w:val="000000" w:themeColor="text1"/>
              </w:rPr>
            </w:pPr>
            <w:r>
              <w:rPr>
                <w:noProof/>
              </w:rPr>
              <w:t> </w:t>
            </w:r>
          </w:p>
        </w:tc>
        <w:tc>
          <w:tcPr>
            <w:tcW w:w="992" w:type="dxa"/>
            <w:tcBorders>
              <w:top w:val="nil"/>
              <w:left w:val="nil"/>
              <w:bottom w:val="single" w:sz="4" w:space="0" w:color="auto"/>
              <w:right w:val="single" w:sz="4" w:space="0" w:color="auto"/>
            </w:tcBorders>
            <w:shd w:val="clear" w:color="auto" w:fill="C6EFCE"/>
            <w:noWrap/>
          </w:tcPr>
          <w:p w14:paraId="5943068D" w14:textId="77777777" w:rsidR="00553430" w:rsidRDefault="00212577">
            <w:pPr>
              <w:pStyle w:val="P68B1DB1-Normal66"/>
              <w:spacing w:after="200" w:line="276" w:lineRule="auto"/>
              <w:jc w:val="center"/>
              <w:rPr>
                <w:noProof/>
                <w:color w:val="000000" w:themeColor="text1"/>
              </w:rPr>
            </w:pPr>
            <w:r>
              <w:rPr>
                <w:noProof/>
              </w:rPr>
              <w:t> </w:t>
            </w:r>
          </w:p>
        </w:tc>
        <w:tc>
          <w:tcPr>
            <w:tcW w:w="756" w:type="dxa"/>
            <w:tcBorders>
              <w:top w:val="nil"/>
              <w:left w:val="nil"/>
              <w:bottom w:val="single" w:sz="4" w:space="0" w:color="auto"/>
              <w:right w:val="single" w:sz="4" w:space="0" w:color="auto"/>
            </w:tcBorders>
            <w:shd w:val="clear" w:color="auto" w:fill="C6EFCE"/>
            <w:noWrap/>
          </w:tcPr>
          <w:p w14:paraId="7B5F3486" w14:textId="77777777" w:rsidR="00553430" w:rsidRDefault="00212577">
            <w:pPr>
              <w:pStyle w:val="P68B1DB1-Normal66"/>
              <w:spacing w:after="200" w:line="276" w:lineRule="auto"/>
              <w:jc w:val="center"/>
              <w:rPr>
                <w:noProof/>
                <w:color w:val="000000" w:themeColor="text1"/>
              </w:rPr>
            </w:pPr>
            <w:r>
              <w:rPr>
                <w:noProof/>
              </w:rPr>
              <w:t>T3</w:t>
            </w:r>
          </w:p>
        </w:tc>
        <w:tc>
          <w:tcPr>
            <w:tcW w:w="708" w:type="dxa"/>
            <w:tcBorders>
              <w:top w:val="nil"/>
              <w:left w:val="nil"/>
              <w:bottom w:val="single" w:sz="4" w:space="0" w:color="auto"/>
              <w:right w:val="single" w:sz="4" w:space="0" w:color="auto"/>
            </w:tcBorders>
            <w:shd w:val="clear" w:color="auto" w:fill="C6EFCE"/>
            <w:noWrap/>
          </w:tcPr>
          <w:p w14:paraId="0E6EE8B3" w14:textId="77777777" w:rsidR="00553430" w:rsidRDefault="00212577">
            <w:pPr>
              <w:pStyle w:val="P68B1DB1-Normal66"/>
              <w:spacing w:after="200" w:line="276" w:lineRule="auto"/>
              <w:jc w:val="center"/>
              <w:rPr>
                <w:noProof/>
                <w:color w:val="000000" w:themeColor="text1"/>
              </w:rPr>
            </w:pPr>
            <w:r>
              <w:rPr>
                <w:noProof/>
              </w:rPr>
              <w:t>2022</w:t>
            </w:r>
          </w:p>
        </w:tc>
        <w:tc>
          <w:tcPr>
            <w:tcW w:w="5103" w:type="dxa"/>
            <w:tcBorders>
              <w:top w:val="nil"/>
              <w:left w:val="nil"/>
              <w:bottom w:val="single" w:sz="4" w:space="0" w:color="auto"/>
              <w:right w:val="single" w:sz="4" w:space="0" w:color="auto"/>
            </w:tcBorders>
            <w:shd w:val="clear" w:color="auto" w:fill="C6EFCE"/>
            <w:noWrap/>
          </w:tcPr>
          <w:p w14:paraId="4FE1E3C8" w14:textId="7A40697B" w:rsidR="00553430" w:rsidRDefault="00212577">
            <w:pPr>
              <w:pStyle w:val="P68B1DB1-Normal66"/>
              <w:spacing w:after="200" w:line="276" w:lineRule="auto"/>
              <w:rPr>
                <w:noProof/>
                <w:color w:val="000000" w:themeColor="text1"/>
              </w:rPr>
            </w:pPr>
            <w:r>
              <w:rPr>
                <w:noProof/>
              </w:rPr>
              <w:t>La documentation relative à l’appel</w:t>
            </w:r>
            <w:r>
              <w:rPr>
                <w:noProof/>
              </w:rPr>
              <w:t xml:space="preserve"> d’offres précise que les investissements doivent se concentrer sur des projets susceptibles d’améliorer la qualité écologique et numérique des infrastructures touristiques et de réduire l’incidence environnementale et, par conséquent, la concentration des</w:t>
            </w:r>
            <w:r>
              <w:rPr>
                <w:noProof/>
              </w:rPr>
              <w:t xml:space="preserve"> invités au cours de la saison. Dans les principales zones touristiques et côtières, selon l’indice de développement du tourisme, seuls les investissements dans la transition écologique et numérique des infrastructures touristiques existantes et jusqu’à 29</w:t>
            </w:r>
            <w:r>
              <w:rPr>
                <w:noProof/>
              </w:rPr>
              <w:t xml:space="preserve"> 623 731 EUR du budget total de l’investissement sont éligibles pour contribuer à la gestion durable des destinations, en réduisant les incidences environnementales pendant la saison touristique. Les critères d’éligibilité comprennent le respect des orient</w:t>
            </w:r>
            <w:r>
              <w:rPr>
                <w:noProof/>
              </w:rPr>
              <w:t>ations techniques «Ne pas causer de préjudice important» (2021/C58/01).</w:t>
            </w:r>
          </w:p>
        </w:tc>
      </w:tr>
      <w:tr w:rsidR="00553430" w14:paraId="42FD0EB3"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0F1661C" w14:textId="77777777" w:rsidR="00553430" w:rsidRDefault="00212577">
            <w:pPr>
              <w:pStyle w:val="P68B1DB1-Normal66"/>
              <w:spacing w:after="0" w:line="276" w:lineRule="auto"/>
              <w:jc w:val="center"/>
              <w:rPr>
                <w:noProof/>
                <w:color w:val="000000" w:themeColor="text1"/>
              </w:rPr>
            </w:pPr>
            <w:r>
              <w:rPr>
                <w:noProof/>
              </w:rPr>
              <w:t>145</w:t>
            </w:r>
          </w:p>
        </w:tc>
        <w:tc>
          <w:tcPr>
            <w:tcW w:w="1076" w:type="dxa"/>
            <w:tcBorders>
              <w:top w:val="single" w:sz="4" w:space="0" w:color="auto"/>
              <w:left w:val="nil"/>
              <w:bottom w:val="single" w:sz="4" w:space="0" w:color="auto"/>
              <w:right w:val="single" w:sz="4" w:space="0" w:color="auto"/>
            </w:tcBorders>
            <w:shd w:val="clear" w:color="auto" w:fill="C6EFCE"/>
            <w:noWrap/>
          </w:tcPr>
          <w:p w14:paraId="37E705B5" w14:textId="77777777" w:rsidR="00553430" w:rsidRDefault="00212577">
            <w:pPr>
              <w:pStyle w:val="P68B1DB1-Normal66"/>
              <w:spacing w:after="0" w:line="276" w:lineRule="auto"/>
              <w:jc w:val="center"/>
              <w:rPr>
                <w:noProof/>
                <w:color w:val="000000" w:themeColor="text1"/>
              </w:rPr>
            </w:pPr>
            <w:r>
              <w:rPr>
                <w:noProof/>
              </w:rPr>
              <w:t>C1.6. R1-I1</w:t>
            </w:r>
          </w:p>
        </w:tc>
        <w:tc>
          <w:tcPr>
            <w:tcW w:w="1069" w:type="dxa"/>
            <w:tcBorders>
              <w:top w:val="single" w:sz="4" w:space="0" w:color="auto"/>
              <w:left w:val="nil"/>
              <w:bottom w:val="single" w:sz="4" w:space="0" w:color="auto"/>
              <w:right w:val="single" w:sz="4" w:space="0" w:color="auto"/>
            </w:tcBorders>
            <w:shd w:val="clear" w:color="auto" w:fill="C6EFCE"/>
            <w:noWrap/>
          </w:tcPr>
          <w:p w14:paraId="34D2B9CF" w14:textId="77777777" w:rsidR="00553430" w:rsidRDefault="00212577">
            <w:pPr>
              <w:pStyle w:val="P68B1DB1-Normal66"/>
              <w:spacing w:after="0" w:line="276" w:lineRule="auto"/>
              <w:jc w:val="center"/>
              <w:rPr>
                <w:noProof/>
                <w:color w:val="000000" w:themeColor="text1"/>
              </w:rPr>
            </w:pPr>
            <w:r>
              <w:rPr>
                <w:noProof/>
              </w:rPr>
              <w:t>M</w:t>
            </w:r>
          </w:p>
        </w:tc>
        <w:tc>
          <w:tcPr>
            <w:tcW w:w="1766" w:type="dxa"/>
            <w:tcBorders>
              <w:top w:val="single" w:sz="4" w:space="0" w:color="auto"/>
              <w:left w:val="nil"/>
              <w:bottom w:val="single" w:sz="4" w:space="0" w:color="auto"/>
              <w:right w:val="single" w:sz="4" w:space="0" w:color="auto"/>
            </w:tcBorders>
            <w:shd w:val="clear" w:color="auto" w:fill="C6EFCE"/>
            <w:noWrap/>
          </w:tcPr>
          <w:p w14:paraId="132F17DD" w14:textId="77777777" w:rsidR="00553430" w:rsidRDefault="00212577">
            <w:pPr>
              <w:pStyle w:val="P68B1DB1-Normal66"/>
              <w:spacing w:after="0" w:line="276" w:lineRule="auto"/>
              <w:rPr>
                <w:noProof/>
                <w:color w:val="000000" w:themeColor="text1"/>
              </w:rPr>
            </w:pPr>
            <w:r>
              <w:rPr>
                <w:noProof/>
              </w:rPr>
              <w:t xml:space="preserve">Finalisation des projets primés pour la construction et l'adaptation des infrastructures touristiques publiques </w:t>
            </w:r>
          </w:p>
        </w:tc>
        <w:tc>
          <w:tcPr>
            <w:tcW w:w="1984" w:type="dxa"/>
            <w:tcBorders>
              <w:top w:val="single" w:sz="4" w:space="0" w:color="auto"/>
              <w:left w:val="nil"/>
              <w:bottom w:val="single" w:sz="4" w:space="0" w:color="auto"/>
              <w:right w:val="single" w:sz="4" w:space="0" w:color="auto"/>
            </w:tcBorders>
            <w:shd w:val="clear" w:color="auto" w:fill="C6EFCE"/>
            <w:noWrap/>
          </w:tcPr>
          <w:p w14:paraId="10B32EB6" w14:textId="77777777" w:rsidR="00553430" w:rsidRDefault="00212577">
            <w:pPr>
              <w:pStyle w:val="P68B1DB1-Normal66"/>
              <w:spacing w:after="0" w:line="276" w:lineRule="auto"/>
              <w:rPr>
                <w:noProof/>
                <w:color w:val="000000" w:themeColor="text1"/>
              </w:rPr>
            </w:pPr>
            <w:r>
              <w:rPr>
                <w:noProof/>
              </w:rPr>
              <w:t xml:space="preserve"> Certificat d'achèvement de l'ingénieur superviseur.</w:t>
            </w:r>
          </w:p>
        </w:tc>
        <w:tc>
          <w:tcPr>
            <w:tcW w:w="712" w:type="dxa"/>
            <w:tcBorders>
              <w:top w:val="single" w:sz="4" w:space="0" w:color="auto"/>
              <w:left w:val="nil"/>
              <w:bottom w:val="single" w:sz="4" w:space="0" w:color="auto"/>
              <w:right w:val="single" w:sz="4" w:space="0" w:color="auto"/>
            </w:tcBorders>
            <w:shd w:val="clear" w:color="auto" w:fill="C6EFCE"/>
            <w:noWrap/>
          </w:tcPr>
          <w:p w14:paraId="4513C326" w14:textId="77777777" w:rsidR="00553430" w:rsidRDefault="00553430">
            <w:pPr>
              <w:spacing w:after="0" w:line="276" w:lineRule="auto"/>
              <w:rPr>
                <w:rFonts w:ascii="Times New Roman" w:eastAsia="Calibri" w:hAnsi="Times New Roman" w:cs="Times New Roman"/>
                <w:noProof/>
                <w:color w:val="000000" w:themeColor="text1"/>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22326A24" w14:textId="77777777" w:rsidR="00553430" w:rsidRDefault="00553430">
            <w:pPr>
              <w:spacing w:after="0" w:line="276" w:lineRule="auto"/>
              <w:jc w:val="center"/>
              <w:rPr>
                <w:rFonts w:ascii="Times New Roman" w:eastAsia="Calibri" w:hAnsi="Times New Roman" w:cs="Times New Roman"/>
                <w:noProof/>
                <w:color w:val="000000" w:themeColor="text1"/>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031E98AF" w14:textId="77777777" w:rsidR="00553430" w:rsidRDefault="00553430">
            <w:pPr>
              <w:spacing w:after="0" w:line="276" w:lineRule="auto"/>
              <w:jc w:val="center"/>
              <w:rPr>
                <w:rFonts w:ascii="Times New Roman" w:eastAsia="Calibri" w:hAnsi="Times New Roman" w:cs="Times New Roman"/>
                <w:noProof/>
                <w:color w:val="000000" w:themeColor="text1"/>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47D42E7E" w14:textId="77777777" w:rsidR="00553430" w:rsidRDefault="00212577">
            <w:pPr>
              <w:pStyle w:val="P68B1DB1-Normal66"/>
              <w:spacing w:after="0" w:line="276" w:lineRule="auto"/>
              <w:jc w:val="center"/>
              <w:rPr>
                <w:noProof/>
                <w:color w:val="000000" w:themeColor="text1"/>
              </w:rPr>
            </w:pPr>
            <w:r>
              <w:rPr>
                <w:noProof/>
              </w:rPr>
              <w:t>T2</w:t>
            </w:r>
          </w:p>
        </w:tc>
        <w:tc>
          <w:tcPr>
            <w:tcW w:w="708" w:type="dxa"/>
            <w:tcBorders>
              <w:top w:val="single" w:sz="4" w:space="0" w:color="auto"/>
              <w:left w:val="nil"/>
              <w:bottom w:val="single" w:sz="4" w:space="0" w:color="auto"/>
              <w:right w:val="single" w:sz="4" w:space="0" w:color="auto"/>
            </w:tcBorders>
            <w:shd w:val="clear" w:color="auto" w:fill="C6EFCE"/>
            <w:noWrap/>
          </w:tcPr>
          <w:p w14:paraId="3208651A" w14:textId="77777777" w:rsidR="00553430" w:rsidRDefault="00212577">
            <w:pPr>
              <w:pStyle w:val="P68B1DB1-Normal66"/>
              <w:spacing w:after="0" w:line="276" w:lineRule="auto"/>
              <w:jc w:val="center"/>
              <w:rPr>
                <w:noProof/>
                <w:color w:val="000000" w:themeColor="text1"/>
              </w:rPr>
            </w:pPr>
            <w:r>
              <w:rPr>
                <w:noProof/>
              </w:rPr>
              <w:t>2026</w:t>
            </w:r>
          </w:p>
        </w:tc>
        <w:tc>
          <w:tcPr>
            <w:tcW w:w="5103" w:type="dxa"/>
            <w:tcBorders>
              <w:top w:val="single" w:sz="4" w:space="0" w:color="auto"/>
              <w:left w:val="nil"/>
              <w:bottom w:val="single" w:sz="4" w:space="0" w:color="auto"/>
              <w:right w:val="single" w:sz="4" w:space="0" w:color="auto"/>
            </w:tcBorders>
            <w:shd w:val="clear" w:color="auto" w:fill="C6EFCE"/>
            <w:noWrap/>
          </w:tcPr>
          <w:p w14:paraId="071B7250" w14:textId="77777777" w:rsidR="00553430" w:rsidRDefault="00212577">
            <w:pPr>
              <w:pStyle w:val="P68B1DB1-Normal66"/>
              <w:spacing w:after="0" w:line="276" w:lineRule="auto"/>
              <w:rPr>
                <w:noProof/>
                <w:color w:val="000000" w:themeColor="text1"/>
              </w:rPr>
            </w:pPr>
            <w:r>
              <w:rPr>
                <w:noProof/>
              </w:rPr>
              <w:t xml:space="preserve">Finalisation de 10 projets primés de l'investissement pour la construction et l'adaptation d'infrastructures touristiques publiques. </w:t>
            </w:r>
          </w:p>
        </w:tc>
      </w:tr>
      <w:tr w:rsidR="00553430" w14:paraId="717F8413"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129C63E" w14:textId="77777777" w:rsidR="00553430" w:rsidRDefault="00212577">
            <w:pPr>
              <w:pStyle w:val="P68B1DB1-Normal66"/>
              <w:spacing w:after="0" w:line="276" w:lineRule="auto"/>
              <w:jc w:val="center"/>
              <w:rPr>
                <w:noProof/>
                <w:color w:val="000000" w:themeColor="text1"/>
              </w:rPr>
            </w:pPr>
            <w:r>
              <w:rPr>
                <w:noProof/>
              </w:rPr>
              <w:t>146</w:t>
            </w:r>
          </w:p>
        </w:tc>
        <w:tc>
          <w:tcPr>
            <w:tcW w:w="1076" w:type="dxa"/>
            <w:tcBorders>
              <w:top w:val="single" w:sz="4" w:space="0" w:color="auto"/>
              <w:left w:val="nil"/>
              <w:bottom w:val="single" w:sz="4" w:space="0" w:color="auto"/>
              <w:right w:val="single" w:sz="4" w:space="0" w:color="auto"/>
            </w:tcBorders>
            <w:shd w:val="clear" w:color="auto" w:fill="C6EFCE"/>
            <w:noWrap/>
          </w:tcPr>
          <w:p w14:paraId="3AA6EA80" w14:textId="77777777" w:rsidR="00553430" w:rsidRDefault="00212577">
            <w:pPr>
              <w:pStyle w:val="P68B1DB1-Normal66"/>
              <w:spacing w:after="0" w:line="276" w:lineRule="auto"/>
              <w:jc w:val="center"/>
              <w:rPr>
                <w:noProof/>
                <w:color w:val="000000" w:themeColor="text1"/>
              </w:rPr>
            </w:pPr>
            <w:r>
              <w:rPr>
                <w:noProof/>
              </w:rPr>
              <w:t>C1.6. R1-I2</w:t>
            </w:r>
          </w:p>
        </w:tc>
        <w:tc>
          <w:tcPr>
            <w:tcW w:w="1069" w:type="dxa"/>
            <w:tcBorders>
              <w:top w:val="single" w:sz="4" w:space="0" w:color="auto"/>
              <w:left w:val="nil"/>
              <w:bottom w:val="single" w:sz="4" w:space="0" w:color="auto"/>
              <w:right w:val="single" w:sz="4" w:space="0" w:color="auto"/>
            </w:tcBorders>
            <w:shd w:val="clear" w:color="auto" w:fill="C6EFCE"/>
            <w:noWrap/>
          </w:tcPr>
          <w:p w14:paraId="307F1043" w14:textId="77777777" w:rsidR="00553430" w:rsidRDefault="00212577">
            <w:pPr>
              <w:pStyle w:val="P68B1DB1-Normal66"/>
              <w:spacing w:after="0" w:line="276" w:lineRule="auto"/>
              <w:jc w:val="center"/>
              <w:rPr>
                <w:noProof/>
                <w:color w:val="000000" w:themeColor="text1"/>
              </w:rPr>
            </w:pPr>
            <w:r>
              <w:rPr>
                <w:noProof/>
              </w:rPr>
              <w:t>M</w:t>
            </w:r>
          </w:p>
        </w:tc>
        <w:tc>
          <w:tcPr>
            <w:tcW w:w="1766" w:type="dxa"/>
            <w:tcBorders>
              <w:top w:val="single" w:sz="4" w:space="0" w:color="auto"/>
              <w:left w:val="nil"/>
              <w:bottom w:val="single" w:sz="4" w:space="0" w:color="auto"/>
              <w:right w:val="single" w:sz="4" w:space="0" w:color="auto"/>
            </w:tcBorders>
            <w:shd w:val="clear" w:color="auto" w:fill="C6EFCE"/>
            <w:noWrap/>
          </w:tcPr>
          <w:p w14:paraId="159F9E87" w14:textId="77777777" w:rsidR="00553430" w:rsidRDefault="00212577">
            <w:pPr>
              <w:pStyle w:val="P68B1DB1-Normal66"/>
              <w:spacing w:after="0" w:line="276" w:lineRule="auto"/>
              <w:rPr>
                <w:noProof/>
                <w:color w:val="000000" w:themeColor="text1"/>
              </w:rPr>
            </w:pPr>
            <w:r>
              <w:rPr>
                <w:noProof/>
              </w:rPr>
              <w:t>Lancer des appels publics pour renforcer la durabilité et stimuler la transition écologique</w:t>
            </w:r>
            <w:r>
              <w:rPr>
                <w:noProof/>
              </w:rPr>
              <w:t xml:space="preserve"> et numérique des entrepreneurs du tourisme, avec au moins 50 % du total des investissements soutenant la transition écologique</w:t>
            </w:r>
          </w:p>
        </w:tc>
        <w:tc>
          <w:tcPr>
            <w:tcW w:w="1984" w:type="dxa"/>
            <w:tcBorders>
              <w:top w:val="single" w:sz="4" w:space="0" w:color="auto"/>
              <w:left w:val="nil"/>
              <w:bottom w:val="single" w:sz="4" w:space="0" w:color="auto"/>
              <w:right w:val="single" w:sz="4" w:space="0" w:color="auto"/>
            </w:tcBorders>
            <w:shd w:val="clear" w:color="auto" w:fill="C6EFCE"/>
            <w:noWrap/>
          </w:tcPr>
          <w:p w14:paraId="27915FC3" w14:textId="77777777" w:rsidR="00553430" w:rsidRDefault="00212577">
            <w:pPr>
              <w:pStyle w:val="P68B1DB1-Normal66"/>
              <w:spacing w:after="0" w:line="276" w:lineRule="auto"/>
              <w:rPr>
                <w:noProof/>
                <w:color w:val="000000" w:themeColor="text1"/>
              </w:rPr>
            </w:pPr>
            <w:r>
              <w:rPr>
                <w:noProof/>
              </w:rPr>
              <w:t>Publication du dossier d’appel d’offres visant à renforcer la durabilité et à favoriser la transition écologique et numérique de</w:t>
            </w:r>
            <w:r>
              <w:rPr>
                <w:noProof/>
              </w:rPr>
              <w:t>s entrepreneurs du tourisme</w:t>
            </w:r>
          </w:p>
        </w:tc>
        <w:tc>
          <w:tcPr>
            <w:tcW w:w="712" w:type="dxa"/>
            <w:tcBorders>
              <w:top w:val="single" w:sz="4" w:space="0" w:color="auto"/>
              <w:left w:val="nil"/>
              <w:bottom w:val="single" w:sz="4" w:space="0" w:color="auto"/>
              <w:right w:val="single" w:sz="4" w:space="0" w:color="auto"/>
            </w:tcBorders>
            <w:shd w:val="clear" w:color="auto" w:fill="C6EFCE"/>
            <w:noWrap/>
          </w:tcPr>
          <w:p w14:paraId="0F137098" w14:textId="77777777" w:rsidR="00553430" w:rsidRDefault="00212577">
            <w:pPr>
              <w:pStyle w:val="P68B1DB1-Normal66"/>
              <w:spacing w:after="0" w:line="276" w:lineRule="auto"/>
              <w:jc w:val="center"/>
              <w:rPr>
                <w:noProof/>
                <w:color w:val="000000" w:themeColor="text1"/>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77D325E5" w14:textId="77777777" w:rsidR="00553430" w:rsidRDefault="00212577">
            <w:pPr>
              <w:pStyle w:val="P68B1DB1-Normal66"/>
              <w:spacing w:after="0" w:line="276" w:lineRule="auto"/>
              <w:jc w:val="center"/>
              <w:rPr>
                <w:noProof/>
                <w:color w:val="000000" w:themeColor="text1"/>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7A61C89C" w14:textId="77777777" w:rsidR="00553430" w:rsidRDefault="00212577">
            <w:pPr>
              <w:pStyle w:val="P68B1DB1-Normal66"/>
              <w:spacing w:after="0" w:line="276" w:lineRule="auto"/>
              <w:jc w:val="center"/>
              <w:rPr>
                <w:noProof/>
                <w:color w:val="000000" w:themeColor="text1"/>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145A03C8" w14:textId="77777777" w:rsidR="00553430" w:rsidRDefault="00212577">
            <w:pPr>
              <w:pStyle w:val="P68B1DB1-Normal66"/>
              <w:spacing w:after="0" w:line="276" w:lineRule="auto"/>
              <w:jc w:val="center"/>
              <w:rPr>
                <w:noProof/>
                <w:color w:val="000000" w:themeColor="text1"/>
              </w:rPr>
            </w:pPr>
            <w:r>
              <w:rPr>
                <w:noProof/>
              </w:rPr>
              <w:t>T3</w:t>
            </w:r>
          </w:p>
        </w:tc>
        <w:tc>
          <w:tcPr>
            <w:tcW w:w="708" w:type="dxa"/>
            <w:tcBorders>
              <w:top w:val="single" w:sz="4" w:space="0" w:color="auto"/>
              <w:left w:val="nil"/>
              <w:bottom w:val="single" w:sz="4" w:space="0" w:color="auto"/>
              <w:right w:val="single" w:sz="4" w:space="0" w:color="auto"/>
            </w:tcBorders>
            <w:shd w:val="clear" w:color="auto" w:fill="C6EFCE"/>
            <w:noWrap/>
          </w:tcPr>
          <w:p w14:paraId="5C4FD3EA" w14:textId="77777777" w:rsidR="00553430" w:rsidRDefault="00212577">
            <w:pPr>
              <w:pStyle w:val="P68B1DB1-Normal66"/>
              <w:spacing w:after="0" w:line="276" w:lineRule="auto"/>
              <w:jc w:val="center"/>
              <w:rPr>
                <w:noProof/>
                <w:color w:val="000000" w:themeColor="text1"/>
              </w:rPr>
            </w:pPr>
            <w:r>
              <w:rPr>
                <w:noProof/>
              </w:rPr>
              <w:t>2022</w:t>
            </w:r>
          </w:p>
        </w:tc>
        <w:tc>
          <w:tcPr>
            <w:tcW w:w="5103" w:type="dxa"/>
            <w:tcBorders>
              <w:top w:val="single" w:sz="4" w:space="0" w:color="auto"/>
              <w:left w:val="nil"/>
              <w:bottom w:val="single" w:sz="4" w:space="0" w:color="auto"/>
              <w:right w:val="single" w:sz="4" w:space="0" w:color="auto"/>
            </w:tcBorders>
            <w:shd w:val="clear" w:color="auto" w:fill="C6EFCE"/>
            <w:noWrap/>
          </w:tcPr>
          <w:p w14:paraId="7D81A40D" w14:textId="77777777" w:rsidR="00553430" w:rsidRDefault="00212577">
            <w:pPr>
              <w:pStyle w:val="P68B1DB1-Normal66"/>
              <w:spacing w:after="0" w:line="276" w:lineRule="auto"/>
              <w:rPr>
                <w:noProof/>
                <w:color w:val="000000" w:themeColor="text1"/>
              </w:rPr>
            </w:pPr>
            <w:r>
              <w:rPr>
                <w:noProof/>
              </w:rPr>
              <w:t>Le dossier d’appel d’offres précise qu’au moins 29 862 632 EUR du total des investissements seront attribués à des investissements axés sur l’atténuation du changement climatique ou l’adaptation à celui-ci, la numé</w:t>
            </w:r>
            <w:r>
              <w:rPr>
                <w:noProof/>
              </w:rPr>
              <w:t>risation des activités conformément aux critères de réduction des émissions de gaz à effet de serre ou d’efficacité énergétique et de réduction des déchets, ainsi que la transition vers une économie circulaire.</w:t>
            </w:r>
            <w:r>
              <w:rPr>
                <w:noProof/>
              </w:rPr>
              <w:br/>
              <w:t>Les critères de sélection des projets contrib</w:t>
            </w:r>
            <w:r>
              <w:rPr>
                <w:noProof/>
              </w:rPr>
              <w:t>uent à la transition écologique, conformément à la SNR, au traité vert pour l’Europe, aux indicateurs de durabilité définis dans l’étude de faisabilité pour la création d’un compte satellite du tourisme durable de la République de Croatie et aux lignes dir</w:t>
            </w:r>
            <w:r>
              <w:rPr>
                <w:noProof/>
              </w:rPr>
              <w:t>ectrices pour l’élaboration de la stratégie de développement du tourisme durable à l’horizon 2030. Conformément aux principes des orientations techniques DNSH, les demandeurs doivent démontrer comment ils atténueront les incidences négatives sur l’environn</w:t>
            </w:r>
            <w:r>
              <w:rPr>
                <w:noProof/>
              </w:rPr>
              <w:t xml:space="preserve">ement qui peuvent être associées au projet et comment ils contribueront à des incidences positives pendant la mise en œuvre du projet. </w:t>
            </w:r>
            <w:r>
              <w:rPr>
                <w:noProof/>
              </w:rPr>
              <w:br/>
            </w:r>
            <w:r>
              <w:rPr>
                <w:noProof/>
              </w:rPr>
              <w:br/>
              <w:t>Le document d’appel d’offres attribue au moins 29 862 632 EUR du total des investissements destinés à soutenir la trans</w:t>
            </w:r>
            <w:r>
              <w:rPr>
                <w:noProof/>
              </w:rPr>
              <w:t>ition écologique et précise, pour ces investissements, les critères de sélection/d’éligibilité reflétant les exigences des domaines d’intervention applicables [3-100] de l’annexe [VI/VII] et le respect des orientations techniques DNSH (2021/C58/01) et la c</w:t>
            </w:r>
            <w:r>
              <w:rPr>
                <w:noProof/>
              </w:rPr>
              <w:t xml:space="preserve">onformité des projets soutenus avec l’acquis environnemental national et de l’UE pertinent. </w:t>
            </w:r>
            <w:r>
              <w:rPr>
                <w:noProof/>
              </w:rPr>
              <w:br/>
            </w:r>
          </w:p>
        </w:tc>
      </w:tr>
      <w:tr w:rsidR="00553430" w14:paraId="09F7E2C9"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3FAC8C2" w14:textId="77777777" w:rsidR="00553430" w:rsidRDefault="00212577">
            <w:pPr>
              <w:pStyle w:val="P68B1DB1-Normal66"/>
              <w:spacing w:after="0" w:line="276" w:lineRule="auto"/>
              <w:jc w:val="center"/>
              <w:rPr>
                <w:noProof/>
                <w:color w:val="000000" w:themeColor="text1"/>
              </w:rPr>
            </w:pPr>
            <w:r>
              <w:rPr>
                <w:noProof/>
              </w:rPr>
              <w:t>147</w:t>
            </w:r>
          </w:p>
        </w:tc>
        <w:tc>
          <w:tcPr>
            <w:tcW w:w="1076" w:type="dxa"/>
            <w:tcBorders>
              <w:top w:val="single" w:sz="4" w:space="0" w:color="auto"/>
              <w:left w:val="nil"/>
              <w:bottom w:val="single" w:sz="4" w:space="0" w:color="auto"/>
              <w:right w:val="single" w:sz="4" w:space="0" w:color="auto"/>
            </w:tcBorders>
            <w:shd w:val="clear" w:color="auto" w:fill="C6EFCE"/>
            <w:noWrap/>
          </w:tcPr>
          <w:p w14:paraId="06F49E0F" w14:textId="77777777" w:rsidR="00553430" w:rsidRDefault="00212577">
            <w:pPr>
              <w:pStyle w:val="P68B1DB1-Normal66"/>
              <w:spacing w:after="0" w:line="276" w:lineRule="auto"/>
              <w:jc w:val="center"/>
              <w:rPr>
                <w:noProof/>
                <w:color w:val="000000" w:themeColor="text1"/>
              </w:rPr>
            </w:pPr>
            <w:r>
              <w:rPr>
                <w:noProof/>
              </w:rPr>
              <w:t>C1.6. R1-I2</w:t>
            </w:r>
          </w:p>
        </w:tc>
        <w:tc>
          <w:tcPr>
            <w:tcW w:w="1069" w:type="dxa"/>
            <w:tcBorders>
              <w:top w:val="single" w:sz="4" w:space="0" w:color="auto"/>
              <w:left w:val="nil"/>
              <w:bottom w:val="single" w:sz="4" w:space="0" w:color="auto"/>
              <w:right w:val="single" w:sz="4" w:space="0" w:color="auto"/>
            </w:tcBorders>
            <w:shd w:val="clear" w:color="auto" w:fill="C6EFCE"/>
            <w:noWrap/>
          </w:tcPr>
          <w:p w14:paraId="71606848" w14:textId="77777777" w:rsidR="00553430" w:rsidRDefault="00212577">
            <w:pPr>
              <w:pStyle w:val="P68B1DB1-Normal66"/>
              <w:spacing w:after="0" w:line="276" w:lineRule="auto"/>
              <w:jc w:val="center"/>
              <w:rPr>
                <w:noProof/>
                <w:color w:val="000000" w:themeColor="text1"/>
              </w:rPr>
            </w:pPr>
            <w:r>
              <w:rPr>
                <w:noProof/>
              </w:rPr>
              <w:t>M</w:t>
            </w:r>
          </w:p>
        </w:tc>
        <w:tc>
          <w:tcPr>
            <w:tcW w:w="1766" w:type="dxa"/>
            <w:tcBorders>
              <w:top w:val="single" w:sz="4" w:space="0" w:color="auto"/>
              <w:left w:val="nil"/>
              <w:bottom w:val="single" w:sz="4" w:space="0" w:color="auto"/>
              <w:right w:val="single" w:sz="4" w:space="0" w:color="auto"/>
            </w:tcBorders>
            <w:shd w:val="clear" w:color="auto" w:fill="C6EFCE"/>
            <w:noWrap/>
          </w:tcPr>
          <w:p w14:paraId="1A8D9343" w14:textId="00617B97" w:rsidR="00553430" w:rsidRDefault="00212577">
            <w:pPr>
              <w:pStyle w:val="P68B1DB1-Normal66"/>
              <w:spacing w:after="0" w:line="276" w:lineRule="auto"/>
              <w:rPr>
                <w:noProof/>
                <w:color w:val="000000" w:themeColor="text1"/>
              </w:rPr>
            </w:pPr>
            <w:r>
              <w:rPr>
                <w:noProof/>
              </w:rPr>
              <w:t xml:space="preserve">Finaliser les projets primés de l'investissement pour renforcer la durabilité et favoriser la transition écologique et numérique des </w:t>
            </w:r>
            <w:r>
              <w:rPr>
                <w:noProof/>
              </w:rPr>
              <w:t>entrepreneurs du tourisme</w:t>
            </w:r>
          </w:p>
        </w:tc>
        <w:tc>
          <w:tcPr>
            <w:tcW w:w="1984" w:type="dxa"/>
            <w:tcBorders>
              <w:top w:val="single" w:sz="4" w:space="0" w:color="auto"/>
              <w:left w:val="nil"/>
              <w:bottom w:val="single" w:sz="4" w:space="0" w:color="auto"/>
              <w:right w:val="single" w:sz="4" w:space="0" w:color="auto"/>
            </w:tcBorders>
            <w:shd w:val="clear" w:color="auto" w:fill="C6EFCE"/>
            <w:noWrap/>
          </w:tcPr>
          <w:p w14:paraId="4457239E" w14:textId="77777777" w:rsidR="00553430" w:rsidRDefault="00212577">
            <w:pPr>
              <w:pStyle w:val="P68B1DB1-Normal66"/>
              <w:spacing w:after="0" w:line="276" w:lineRule="auto"/>
              <w:rPr>
                <w:noProof/>
                <w:color w:val="000000" w:themeColor="text1"/>
              </w:rPr>
            </w:pPr>
            <w:r>
              <w:rPr>
                <w:noProof/>
              </w:rPr>
              <w:t xml:space="preserve"> Certificat d'achèvement de l'ingénieur superviseur.</w:t>
            </w:r>
          </w:p>
        </w:tc>
        <w:tc>
          <w:tcPr>
            <w:tcW w:w="712" w:type="dxa"/>
            <w:tcBorders>
              <w:top w:val="single" w:sz="4" w:space="0" w:color="auto"/>
              <w:left w:val="nil"/>
              <w:bottom w:val="single" w:sz="4" w:space="0" w:color="auto"/>
              <w:right w:val="single" w:sz="4" w:space="0" w:color="auto"/>
            </w:tcBorders>
            <w:shd w:val="clear" w:color="auto" w:fill="C6EFCE"/>
            <w:noWrap/>
          </w:tcPr>
          <w:p w14:paraId="5DFE39AA" w14:textId="77777777" w:rsidR="00553430" w:rsidRDefault="00553430">
            <w:pPr>
              <w:spacing w:after="0" w:line="276" w:lineRule="auto"/>
              <w:jc w:val="center"/>
              <w:rPr>
                <w:rFonts w:ascii="Times New Roman" w:eastAsia="Calibri" w:hAnsi="Times New Roman" w:cs="Times New Roman"/>
                <w:noProof/>
                <w:color w:val="000000" w:themeColor="text1"/>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7CF723B8" w14:textId="77777777" w:rsidR="00553430" w:rsidRDefault="00553430">
            <w:pPr>
              <w:spacing w:after="0" w:line="276" w:lineRule="auto"/>
              <w:jc w:val="center"/>
              <w:rPr>
                <w:rFonts w:ascii="Times New Roman" w:eastAsia="Calibri" w:hAnsi="Times New Roman" w:cs="Times New Roman"/>
                <w:noProof/>
                <w:color w:val="000000" w:themeColor="text1"/>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30223870" w14:textId="77777777" w:rsidR="00553430" w:rsidRDefault="00553430">
            <w:pPr>
              <w:spacing w:after="0" w:line="276" w:lineRule="auto"/>
              <w:jc w:val="center"/>
              <w:rPr>
                <w:rFonts w:ascii="Times New Roman" w:eastAsia="Calibri" w:hAnsi="Times New Roman" w:cs="Times New Roman"/>
                <w:noProof/>
                <w:color w:val="000000" w:themeColor="text1"/>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2BDBFE6D" w14:textId="77777777" w:rsidR="00553430" w:rsidRDefault="00212577">
            <w:pPr>
              <w:pStyle w:val="P68B1DB1-Normal66"/>
              <w:spacing w:after="0" w:line="276" w:lineRule="auto"/>
              <w:jc w:val="center"/>
              <w:rPr>
                <w:noProof/>
                <w:color w:val="000000" w:themeColor="text1"/>
              </w:rPr>
            </w:pPr>
            <w:r>
              <w:rPr>
                <w:noProof/>
              </w:rPr>
              <w:t>T2</w:t>
            </w:r>
          </w:p>
        </w:tc>
        <w:tc>
          <w:tcPr>
            <w:tcW w:w="708" w:type="dxa"/>
            <w:tcBorders>
              <w:top w:val="single" w:sz="4" w:space="0" w:color="auto"/>
              <w:left w:val="nil"/>
              <w:bottom w:val="single" w:sz="4" w:space="0" w:color="auto"/>
              <w:right w:val="single" w:sz="4" w:space="0" w:color="auto"/>
            </w:tcBorders>
            <w:shd w:val="clear" w:color="auto" w:fill="C6EFCE"/>
            <w:noWrap/>
          </w:tcPr>
          <w:p w14:paraId="31BC57FE" w14:textId="77777777" w:rsidR="00553430" w:rsidRDefault="00212577">
            <w:pPr>
              <w:pStyle w:val="P68B1DB1-Normal66"/>
              <w:spacing w:after="0" w:line="276" w:lineRule="auto"/>
              <w:jc w:val="center"/>
              <w:rPr>
                <w:noProof/>
                <w:color w:val="000000" w:themeColor="text1"/>
              </w:rPr>
            </w:pPr>
            <w:r>
              <w:rPr>
                <w:noProof/>
              </w:rPr>
              <w:t>2026</w:t>
            </w:r>
          </w:p>
        </w:tc>
        <w:tc>
          <w:tcPr>
            <w:tcW w:w="5103" w:type="dxa"/>
            <w:tcBorders>
              <w:top w:val="single" w:sz="4" w:space="0" w:color="auto"/>
              <w:left w:val="nil"/>
              <w:bottom w:val="single" w:sz="4" w:space="0" w:color="auto"/>
              <w:right w:val="single" w:sz="4" w:space="0" w:color="auto"/>
            </w:tcBorders>
            <w:shd w:val="clear" w:color="auto" w:fill="C6EFCE"/>
            <w:noWrap/>
          </w:tcPr>
          <w:p w14:paraId="21886E30" w14:textId="77777777" w:rsidR="00553430" w:rsidRDefault="00212577">
            <w:pPr>
              <w:pStyle w:val="P68B1DB1-Normal66"/>
              <w:spacing w:after="0" w:line="276" w:lineRule="auto"/>
              <w:rPr>
                <w:noProof/>
                <w:color w:val="000000" w:themeColor="text1"/>
              </w:rPr>
            </w:pPr>
            <w:r>
              <w:rPr>
                <w:noProof/>
              </w:rPr>
              <w:t>Finalisation de 37 projets primés de l'investissement visant à renforcer la durabilité et à favoriser la transition écologique et numérique des entrepreneurs du touri</w:t>
            </w:r>
            <w:r>
              <w:rPr>
                <w:noProof/>
              </w:rPr>
              <w:t>sme.</w:t>
            </w:r>
          </w:p>
        </w:tc>
      </w:tr>
      <w:tr w:rsidR="00553430" w14:paraId="07A36005"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5C3E71B" w14:textId="77777777" w:rsidR="00553430" w:rsidRDefault="00212577">
            <w:pPr>
              <w:pStyle w:val="P68B1DB1-Normal66"/>
              <w:spacing w:after="0" w:line="276" w:lineRule="auto"/>
              <w:jc w:val="center"/>
              <w:rPr>
                <w:noProof/>
                <w:color w:val="000000" w:themeColor="text1"/>
              </w:rPr>
            </w:pPr>
            <w:r>
              <w:rPr>
                <w:noProof/>
              </w:rPr>
              <w:t>148</w:t>
            </w:r>
          </w:p>
        </w:tc>
        <w:tc>
          <w:tcPr>
            <w:tcW w:w="1076" w:type="dxa"/>
            <w:tcBorders>
              <w:top w:val="single" w:sz="4" w:space="0" w:color="auto"/>
              <w:left w:val="nil"/>
              <w:bottom w:val="single" w:sz="4" w:space="0" w:color="auto"/>
              <w:right w:val="single" w:sz="4" w:space="0" w:color="auto"/>
            </w:tcBorders>
            <w:shd w:val="clear" w:color="auto" w:fill="C6EFCE"/>
            <w:noWrap/>
          </w:tcPr>
          <w:p w14:paraId="47859F1F" w14:textId="77777777" w:rsidR="00553430" w:rsidRDefault="00212577">
            <w:pPr>
              <w:pStyle w:val="P68B1DB1-Normal66"/>
              <w:spacing w:after="0" w:line="276" w:lineRule="auto"/>
              <w:jc w:val="center"/>
              <w:rPr>
                <w:noProof/>
                <w:color w:val="000000" w:themeColor="text1"/>
              </w:rPr>
            </w:pPr>
            <w:r>
              <w:rPr>
                <w:noProof/>
              </w:rPr>
              <w:t>C1.6. R1-I3</w:t>
            </w:r>
          </w:p>
        </w:tc>
        <w:tc>
          <w:tcPr>
            <w:tcW w:w="1069" w:type="dxa"/>
            <w:tcBorders>
              <w:top w:val="single" w:sz="4" w:space="0" w:color="auto"/>
              <w:left w:val="nil"/>
              <w:bottom w:val="single" w:sz="4" w:space="0" w:color="auto"/>
              <w:right w:val="single" w:sz="4" w:space="0" w:color="auto"/>
            </w:tcBorders>
            <w:shd w:val="clear" w:color="auto" w:fill="C6EFCE"/>
            <w:noWrap/>
          </w:tcPr>
          <w:p w14:paraId="6C363775" w14:textId="77777777" w:rsidR="00553430" w:rsidRDefault="00212577">
            <w:pPr>
              <w:pStyle w:val="P68B1DB1-Normal110"/>
              <w:spacing w:after="0" w:line="276" w:lineRule="auto"/>
              <w:jc w:val="center"/>
              <w:rPr>
                <w:noProof/>
              </w:rPr>
            </w:pPr>
            <w:r>
              <w:rPr>
                <w:noProof/>
              </w:rPr>
              <w:t>T</w:t>
            </w:r>
          </w:p>
        </w:tc>
        <w:tc>
          <w:tcPr>
            <w:tcW w:w="1766" w:type="dxa"/>
            <w:tcBorders>
              <w:top w:val="single" w:sz="4" w:space="0" w:color="auto"/>
              <w:left w:val="nil"/>
              <w:bottom w:val="single" w:sz="4" w:space="0" w:color="auto"/>
              <w:right w:val="single" w:sz="4" w:space="0" w:color="auto"/>
            </w:tcBorders>
            <w:shd w:val="clear" w:color="auto" w:fill="C6EFCE"/>
            <w:noWrap/>
          </w:tcPr>
          <w:p w14:paraId="76FA837A" w14:textId="77777777" w:rsidR="00553430" w:rsidRDefault="00212577">
            <w:pPr>
              <w:pStyle w:val="P68B1DB1-Normal66"/>
              <w:spacing w:after="0" w:line="276" w:lineRule="auto"/>
              <w:rPr>
                <w:noProof/>
                <w:color w:val="000000" w:themeColor="text1"/>
              </w:rPr>
            </w:pPr>
            <w:r>
              <w:rPr>
                <w:noProof/>
              </w:rPr>
              <w:t>Programmes éducatifs visant à renforcer les connaissances et les compétences en matière de tourisme</w:t>
            </w:r>
          </w:p>
        </w:tc>
        <w:tc>
          <w:tcPr>
            <w:tcW w:w="1984" w:type="dxa"/>
            <w:tcBorders>
              <w:top w:val="single" w:sz="4" w:space="0" w:color="auto"/>
              <w:left w:val="nil"/>
              <w:bottom w:val="single" w:sz="4" w:space="0" w:color="auto"/>
              <w:right w:val="single" w:sz="4" w:space="0" w:color="auto"/>
            </w:tcBorders>
            <w:shd w:val="clear" w:color="auto" w:fill="C6EFCE"/>
            <w:noWrap/>
          </w:tcPr>
          <w:p w14:paraId="0392E8D1" w14:textId="77777777" w:rsidR="00553430" w:rsidRDefault="00553430">
            <w:pPr>
              <w:spacing w:after="0" w:line="276" w:lineRule="auto"/>
              <w:rPr>
                <w:rFonts w:ascii="Times New Roman" w:eastAsia="Calibri" w:hAnsi="Times New Roman" w:cs="Times New Roman"/>
                <w:noProof/>
                <w:color w:val="000000" w:themeColor="text1"/>
                <w:sz w:val="20"/>
                <w:szCs w:val="20"/>
                <w:u w:val="single"/>
              </w:rPr>
            </w:pPr>
          </w:p>
        </w:tc>
        <w:tc>
          <w:tcPr>
            <w:tcW w:w="712" w:type="dxa"/>
            <w:tcBorders>
              <w:top w:val="single" w:sz="4" w:space="0" w:color="auto"/>
              <w:left w:val="nil"/>
              <w:bottom w:val="single" w:sz="4" w:space="0" w:color="auto"/>
              <w:right w:val="single" w:sz="4" w:space="0" w:color="auto"/>
            </w:tcBorders>
            <w:shd w:val="clear" w:color="auto" w:fill="C6EFCE"/>
            <w:noWrap/>
          </w:tcPr>
          <w:p w14:paraId="35FA5964" w14:textId="77777777" w:rsidR="00553430" w:rsidRDefault="00212577">
            <w:pPr>
              <w:pStyle w:val="P68B1DB1-Normal66"/>
              <w:spacing w:after="0" w:line="276" w:lineRule="auto"/>
              <w:jc w:val="center"/>
              <w:rPr>
                <w:noProof/>
                <w:color w:val="000000" w:themeColor="text1"/>
              </w:rPr>
            </w:pPr>
            <w:r>
              <w:rPr>
                <w:noProof/>
              </w:rPr>
              <w:t>Numéro</w:t>
            </w:r>
          </w:p>
        </w:tc>
        <w:tc>
          <w:tcPr>
            <w:tcW w:w="850" w:type="dxa"/>
            <w:tcBorders>
              <w:top w:val="single" w:sz="4" w:space="0" w:color="auto"/>
              <w:left w:val="nil"/>
              <w:bottom w:val="single" w:sz="4" w:space="0" w:color="auto"/>
              <w:right w:val="single" w:sz="4" w:space="0" w:color="auto"/>
            </w:tcBorders>
            <w:shd w:val="clear" w:color="auto" w:fill="C6EFCE"/>
            <w:noWrap/>
          </w:tcPr>
          <w:p w14:paraId="60442565" w14:textId="77777777" w:rsidR="00553430" w:rsidRDefault="00212577">
            <w:pPr>
              <w:pStyle w:val="P68B1DB1-Normal66"/>
              <w:spacing w:after="0" w:line="276" w:lineRule="auto"/>
              <w:jc w:val="center"/>
              <w:rPr>
                <w:noProof/>
                <w:color w:val="000000" w:themeColor="text1"/>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315B8C41" w14:textId="77777777" w:rsidR="00553430" w:rsidRDefault="00212577">
            <w:pPr>
              <w:pStyle w:val="P68B1DB1-Normal66"/>
              <w:spacing w:after="0" w:line="276" w:lineRule="auto"/>
              <w:jc w:val="center"/>
              <w:rPr>
                <w:noProof/>
                <w:color w:val="000000" w:themeColor="text1"/>
              </w:rPr>
            </w:pPr>
            <w:r>
              <w:rPr>
                <w:noProof/>
              </w:rPr>
              <w:t>10</w:t>
            </w:r>
          </w:p>
        </w:tc>
        <w:tc>
          <w:tcPr>
            <w:tcW w:w="756" w:type="dxa"/>
            <w:tcBorders>
              <w:top w:val="single" w:sz="4" w:space="0" w:color="auto"/>
              <w:left w:val="nil"/>
              <w:bottom w:val="single" w:sz="4" w:space="0" w:color="auto"/>
              <w:right w:val="single" w:sz="4" w:space="0" w:color="auto"/>
            </w:tcBorders>
            <w:shd w:val="clear" w:color="auto" w:fill="C6EFCE"/>
            <w:noWrap/>
          </w:tcPr>
          <w:p w14:paraId="2020570F" w14:textId="77777777" w:rsidR="00553430" w:rsidRDefault="00212577">
            <w:pPr>
              <w:pStyle w:val="P68B1DB1-Normal66"/>
              <w:spacing w:after="0" w:line="276" w:lineRule="auto"/>
              <w:jc w:val="center"/>
              <w:rPr>
                <w:noProof/>
                <w:color w:val="000000" w:themeColor="text1"/>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tcPr>
          <w:p w14:paraId="13B88BD4" w14:textId="77777777" w:rsidR="00553430" w:rsidRDefault="00212577">
            <w:pPr>
              <w:pStyle w:val="P68B1DB1-Normal66"/>
              <w:spacing w:after="0" w:line="276" w:lineRule="auto"/>
              <w:jc w:val="center"/>
              <w:rPr>
                <w:noProof/>
                <w:color w:val="000000" w:themeColor="text1"/>
              </w:rPr>
            </w:pPr>
            <w:r>
              <w:rPr>
                <w:noProof/>
              </w:rPr>
              <w:t>2024</w:t>
            </w:r>
          </w:p>
        </w:tc>
        <w:tc>
          <w:tcPr>
            <w:tcW w:w="5103" w:type="dxa"/>
            <w:tcBorders>
              <w:top w:val="single" w:sz="4" w:space="0" w:color="auto"/>
              <w:left w:val="nil"/>
              <w:bottom w:val="single" w:sz="4" w:space="0" w:color="auto"/>
              <w:right w:val="single" w:sz="4" w:space="0" w:color="auto"/>
            </w:tcBorders>
            <w:shd w:val="clear" w:color="auto" w:fill="C6EFCE"/>
            <w:noWrap/>
          </w:tcPr>
          <w:p w14:paraId="29D91264" w14:textId="77777777" w:rsidR="00553430" w:rsidRDefault="00212577">
            <w:pPr>
              <w:pStyle w:val="P68B1DB1-Normal66"/>
              <w:spacing w:after="0" w:line="276" w:lineRule="auto"/>
              <w:rPr>
                <w:noProof/>
                <w:color w:val="000000" w:themeColor="text1"/>
              </w:rPr>
            </w:pPr>
            <w:r>
              <w:rPr>
                <w:noProof/>
              </w:rPr>
              <w:t xml:space="preserve">Élaboration de programmes éducatifs visant à renforcer les connaissances et les compétences en matière de </w:t>
            </w:r>
            <w:r>
              <w:rPr>
                <w:noProof/>
              </w:rPr>
              <w:t>tourisme, y compris les compétences numériques pour les fonctionnaires et les fonctionnaires du système touristique, les chômeurs et l’éducation des employeurs</w:t>
            </w:r>
            <w:r>
              <w:rPr>
                <w:noProof/>
              </w:rPr>
              <w:br/>
              <w:t>Les programmes éducatifs élaborés seront fondés sur des analyses des besoins du marché du travai</w:t>
            </w:r>
            <w:r>
              <w:rPr>
                <w:noProof/>
              </w:rPr>
              <w:t>l et permettront de renforcer les connaissances et les compétences dans le domaine du tourisme, y compris les compétences numériques pour les fonctionnaires du système touristique et employés dans le système communautaire du tourisme, les chômeurs et l'édu</w:t>
            </w:r>
            <w:r>
              <w:rPr>
                <w:noProof/>
              </w:rPr>
              <w:t xml:space="preserve">cation des employeurs. Les critères de sélection des programmes à développer seront de contribuer à la réalisation des objectifs de la transition numérique et écologique, à savoir l’acquisition des connaissances et des compétences nécessaires à la mise en </w:t>
            </w:r>
            <w:r>
              <w:rPr>
                <w:noProof/>
              </w:rPr>
              <w:t>œuvre de projets financés par les investissements C1.6 I2 et I1 de cette sous-composante, tels que les connaissances liées à la construction verte, aux énergies renouvelables, aux produits innovants, aux compétences entrepreneuriales et à la gestion durabl</w:t>
            </w:r>
            <w:r>
              <w:rPr>
                <w:noProof/>
              </w:rPr>
              <w:t>e des destinations.</w:t>
            </w:r>
          </w:p>
        </w:tc>
      </w:tr>
      <w:tr w:rsidR="00553430" w14:paraId="63DE7AB8"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1A7638E" w14:textId="77777777" w:rsidR="00553430" w:rsidRDefault="00212577">
            <w:pPr>
              <w:pStyle w:val="P68B1DB1-Normal66"/>
              <w:spacing w:after="0" w:line="276" w:lineRule="auto"/>
              <w:jc w:val="center"/>
              <w:rPr>
                <w:noProof/>
                <w:color w:val="000000" w:themeColor="text1"/>
              </w:rPr>
            </w:pPr>
            <w:r>
              <w:rPr>
                <w:noProof/>
              </w:rPr>
              <w:t>149</w:t>
            </w:r>
          </w:p>
        </w:tc>
        <w:tc>
          <w:tcPr>
            <w:tcW w:w="1076" w:type="dxa"/>
            <w:tcBorders>
              <w:top w:val="single" w:sz="4" w:space="0" w:color="auto"/>
              <w:left w:val="nil"/>
              <w:bottom w:val="single" w:sz="4" w:space="0" w:color="auto"/>
              <w:right w:val="single" w:sz="4" w:space="0" w:color="auto"/>
            </w:tcBorders>
            <w:shd w:val="clear" w:color="auto" w:fill="C6EFCE"/>
            <w:noWrap/>
          </w:tcPr>
          <w:p w14:paraId="2DA2F9DB" w14:textId="77777777" w:rsidR="00553430" w:rsidRDefault="00212577">
            <w:pPr>
              <w:pStyle w:val="P68B1DB1-Normal66"/>
              <w:spacing w:after="0" w:line="276" w:lineRule="auto"/>
              <w:jc w:val="center"/>
              <w:rPr>
                <w:noProof/>
                <w:color w:val="000000" w:themeColor="text1"/>
              </w:rPr>
            </w:pPr>
            <w:r>
              <w:rPr>
                <w:noProof/>
              </w:rPr>
              <w:t>C1.6. R1-I3</w:t>
            </w:r>
          </w:p>
        </w:tc>
        <w:tc>
          <w:tcPr>
            <w:tcW w:w="1069" w:type="dxa"/>
            <w:tcBorders>
              <w:top w:val="single" w:sz="4" w:space="0" w:color="auto"/>
              <w:left w:val="nil"/>
              <w:bottom w:val="single" w:sz="4" w:space="0" w:color="auto"/>
              <w:right w:val="single" w:sz="4" w:space="0" w:color="auto"/>
            </w:tcBorders>
            <w:shd w:val="clear" w:color="auto" w:fill="C6EFCE"/>
            <w:noWrap/>
          </w:tcPr>
          <w:p w14:paraId="60581408" w14:textId="77777777" w:rsidR="00553430" w:rsidRDefault="00212577">
            <w:pPr>
              <w:pStyle w:val="P68B1DB1-Normal66"/>
              <w:spacing w:after="0" w:line="276" w:lineRule="auto"/>
              <w:jc w:val="center"/>
              <w:rPr>
                <w:noProof/>
                <w:color w:val="000000" w:themeColor="text1"/>
              </w:rPr>
            </w:pPr>
            <w:r>
              <w:rPr>
                <w:noProof/>
              </w:rPr>
              <w:t>T</w:t>
            </w:r>
          </w:p>
        </w:tc>
        <w:tc>
          <w:tcPr>
            <w:tcW w:w="1766" w:type="dxa"/>
            <w:tcBorders>
              <w:top w:val="single" w:sz="4" w:space="0" w:color="auto"/>
              <w:left w:val="nil"/>
              <w:bottom w:val="single" w:sz="4" w:space="0" w:color="auto"/>
              <w:right w:val="single" w:sz="4" w:space="0" w:color="auto"/>
            </w:tcBorders>
            <w:shd w:val="clear" w:color="auto" w:fill="C6EFCE"/>
            <w:noWrap/>
          </w:tcPr>
          <w:p w14:paraId="2E057011" w14:textId="77777777" w:rsidR="00553430" w:rsidRDefault="00212577">
            <w:pPr>
              <w:pStyle w:val="P68B1DB1-Normal66"/>
              <w:spacing w:after="0" w:line="276" w:lineRule="auto"/>
              <w:rPr>
                <w:noProof/>
                <w:color w:val="000000" w:themeColor="text1"/>
              </w:rPr>
            </w:pPr>
            <w:r>
              <w:rPr>
                <w:noProof/>
              </w:rPr>
              <w:t xml:space="preserve">Personnes instruites dans les programmes d'éducation liés au tourisme </w:t>
            </w:r>
          </w:p>
        </w:tc>
        <w:tc>
          <w:tcPr>
            <w:tcW w:w="1984" w:type="dxa"/>
            <w:tcBorders>
              <w:top w:val="single" w:sz="4" w:space="0" w:color="auto"/>
              <w:left w:val="nil"/>
              <w:bottom w:val="single" w:sz="4" w:space="0" w:color="auto"/>
              <w:right w:val="single" w:sz="4" w:space="0" w:color="auto"/>
            </w:tcBorders>
            <w:shd w:val="clear" w:color="auto" w:fill="C6EFCE"/>
            <w:noWrap/>
          </w:tcPr>
          <w:p w14:paraId="21A90B01" w14:textId="77777777" w:rsidR="00553430" w:rsidRDefault="00212577">
            <w:pPr>
              <w:pStyle w:val="P68B1DB1-Normal66"/>
              <w:spacing w:after="0" w:line="276" w:lineRule="auto"/>
              <w:rPr>
                <w:noProof/>
                <w:color w:val="000000" w:themeColor="text1"/>
              </w:rPr>
            </w:pPr>
            <w:r>
              <w:rPr>
                <w:noProof/>
              </w:rPr>
              <w:t xml:space="preserve"> </w:t>
            </w:r>
          </w:p>
        </w:tc>
        <w:tc>
          <w:tcPr>
            <w:tcW w:w="712" w:type="dxa"/>
            <w:tcBorders>
              <w:top w:val="single" w:sz="4" w:space="0" w:color="auto"/>
              <w:left w:val="nil"/>
              <w:bottom w:val="single" w:sz="4" w:space="0" w:color="auto"/>
              <w:right w:val="single" w:sz="4" w:space="0" w:color="auto"/>
            </w:tcBorders>
            <w:shd w:val="clear" w:color="auto" w:fill="C6EFCE"/>
            <w:noWrap/>
          </w:tcPr>
          <w:p w14:paraId="6D17DC22" w14:textId="77777777" w:rsidR="00553430" w:rsidRDefault="00212577">
            <w:pPr>
              <w:pStyle w:val="P68B1DB1-Normal66"/>
              <w:spacing w:after="0" w:line="276" w:lineRule="auto"/>
              <w:jc w:val="center"/>
              <w:rPr>
                <w:noProof/>
                <w:color w:val="000000" w:themeColor="text1"/>
              </w:rPr>
            </w:pPr>
            <w:r>
              <w:rPr>
                <w:noProof/>
              </w:rPr>
              <w:t>Numéro</w:t>
            </w:r>
          </w:p>
        </w:tc>
        <w:tc>
          <w:tcPr>
            <w:tcW w:w="850" w:type="dxa"/>
            <w:tcBorders>
              <w:top w:val="single" w:sz="4" w:space="0" w:color="auto"/>
              <w:left w:val="nil"/>
              <w:bottom w:val="single" w:sz="4" w:space="0" w:color="auto"/>
              <w:right w:val="single" w:sz="4" w:space="0" w:color="auto"/>
            </w:tcBorders>
            <w:shd w:val="clear" w:color="auto" w:fill="C6EFCE"/>
            <w:noWrap/>
          </w:tcPr>
          <w:p w14:paraId="4764FC16" w14:textId="77777777" w:rsidR="00553430" w:rsidRDefault="00212577">
            <w:pPr>
              <w:pStyle w:val="P68B1DB1-Normal66"/>
              <w:spacing w:after="0" w:line="276" w:lineRule="auto"/>
              <w:jc w:val="center"/>
              <w:rPr>
                <w:noProof/>
                <w:color w:val="000000" w:themeColor="text1"/>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0827BC06" w14:textId="77777777" w:rsidR="00553430" w:rsidRDefault="00212577">
            <w:pPr>
              <w:pStyle w:val="P68B1DB1-Normal66"/>
              <w:spacing w:after="0" w:line="276" w:lineRule="auto"/>
              <w:jc w:val="center"/>
              <w:rPr>
                <w:noProof/>
                <w:color w:val="000000" w:themeColor="text1"/>
              </w:rPr>
            </w:pPr>
            <w:r>
              <w:rPr>
                <w:noProof/>
              </w:rPr>
              <w:t>1 000</w:t>
            </w:r>
          </w:p>
        </w:tc>
        <w:tc>
          <w:tcPr>
            <w:tcW w:w="756" w:type="dxa"/>
            <w:tcBorders>
              <w:top w:val="single" w:sz="4" w:space="0" w:color="auto"/>
              <w:left w:val="nil"/>
              <w:bottom w:val="single" w:sz="4" w:space="0" w:color="auto"/>
              <w:right w:val="single" w:sz="4" w:space="0" w:color="auto"/>
            </w:tcBorders>
            <w:shd w:val="clear" w:color="auto" w:fill="C6EFCE"/>
            <w:noWrap/>
          </w:tcPr>
          <w:p w14:paraId="7764F876" w14:textId="77777777" w:rsidR="00553430" w:rsidRDefault="00212577">
            <w:pPr>
              <w:pStyle w:val="P68B1DB1-Normal66"/>
              <w:spacing w:after="0" w:line="276" w:lineRule="auto"/>
              <w:jc w:val="center"/>
              <w:rPr>
                <w:noProof/>
                <w:color w:val="000000" w:themeColor="text1"/>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tcPr>
          <w:p w14:paraId="779CAF3D" w14:textId="77777777" w:rsidR="00553430" w:rsidRDefault="00212577">
            <w:pPr>
              <w:pStyle w:val="P68B1DB1-Normal66"/>
              <w:spacing w:after="0" w:line="276" w:lineRule="auto"/>
              <w:jc w:val="center"/>
              <w:rPr>
                <w:noProof/>
                <w:color w:val="000000" w:themeColor="text1"/>
              </w:rPr>
            </w:pPr>
            <w:r>
              <w:rPr>
                <w:noProof/>
              </w:rPr>
              <w:t>2025</w:t>
            </w:r>
          </w:p>
        </w:tc>
        <w:tc>
          <w:tcPr>
            <w:tcW w:w="5103" w:type="dxa"/>
            <w:tcBorders>
              <w:top w:val="single" w:sz="4" w:space="0" w:color="auto"/>
              <w:left w:val="nil"/>
              <w:bottom w:val="single" w:sz="4" w:space="0" w:color="auto"/>
              <w:right w:val="single" w:sz="4" w:space="0" w:color="auto"/>
            </w:tcBorders>
            <w:shd w:val="clear" w:color="auto" w:fill="C6EFCE"/>
            <w:noWrap/>
          </w:tcPr>
          <w:p w14:paraId="50FBB869" w14:textId="77777777" w:rsidR="00553430" w:rsidRDefault="00212577">
            <w:pPr>
              <w:pStyle w:val="P68B1DB1-Normal66"/>
              <w:spacing w:after="0" w:line="276" w:lineRule="auto"/>
              <w:rPr>
                <w:noProof/>
                <w:color w:val="000000" w:themeColor="text1"/>
              </w:rPr>
            </w:pPr>
            <w:r>
              <w:rPr>
                <w:noProof/>
              </w:rPr>
              <w:t>Au moins 1 000 personnes participent à des cours de formation liés au tourisme.</w:t>
            </w:r>
          </w:p>
        </w:tc>
      </w:tr>
    </w:tbl>
    <w:p w14:paraId="6916D83B" w14:textId="77777777" w:rsidR="00553430" w:rsidRDefault="00553430">
      <w:pPr>
        <w:rPr>
          <w:noProof/>
          <w:color w:val="000000" w:themeColor="text1"/>
        </w:rPr>
      </w:pPr>
    </w:p>
    <w:p w14:paraId="2C724526" w14:textId="77777777" w:rsidR="00553430" w:rsidRDefault="00553430">
      <w:pPr>
        <w:rPr>
          <w:noProof/>
        </w:rPr>
      </w:pPr>
    </w:p>
    <w:p w14:paraId="36D383FE" w14:textId="77777777" w:rsidR="00553430" w:rsidRDefault="00553430">
      <w:pPr>
        <w:keepNext/>
        <w:tabs>
          <w:tab w:val="left" w:pos="850"/>
        </w:tabs>
        <w:ind w:left="850" w:hanging="850"/>
        <w:jc w:val="both"/>
        <w:outlineLvl w:val="0"/>
        <w:rPr>
          <w:rFonts w:ascii="Times New Roman" w:hAnsi="Times New Roman" w:cs="Times New Roman"/>
          <w:b/>
          <w:bCs/>
          <w:smallCaps/>
          <w:noProof/>
          <w:sz w:val="24"/>
          <w:szCs w:val="24"/>
        </w:rPr>
        <w:sectPr w:rsidR="00553430" w:rsidSect="00FA29B2">
          <w:headerReference w:type="even" r:id="rId117"/>
          <w:headerReference w:type="default" r:id="rId118"/>
          <w:footerReference w:type="even" r:id="rId119"/>
          <w:footerReference w:type="default" r:id="rId120"/>
          <w:headerReference w:type="first" r:id="rId121"/>
          <w:footerReference w:type="first" r:id="rId122"/>
          <w:pgSz w:w="16838" w:h="11906" w:orient="landscape"/>
          <w:pgMar w:top="1134" w:right="1134" w:bottom="1134" w:left="1134" w:header="567" w:footer="567" w:gutter="0"/>
          <w:cols w:space="708"/>
          <w:docGrid w:linePitch="360"/>
        </w:sectPr>
      </w:pPr>
    </w:p>
    <w:p w14:paraId="6B7B8229" w14:textId="77777777" w:rsidR="00553430" w:rsidRDefault="00212577">
      <w:pPr>
        <w:pStyle w:val="P68B1DB1-Normal111"/>
        <w:keepNext/>
        <w:tabs>
          <w:tab w:val="left" w:pos="850"/>
        </w:tabs>
        <w:ind w:left="850" w:hanging="850"/>
        <w:jc w:val="both"/>
        <w:outlineLvl w:val="0"/>
        <w:rPr>
          <w:noProof/>
        </w:rPr>
      </w:pPr>
      <w:r>
        <w:rPr>
          <w:noProof/>
        </w:rPr>
        <w:t>G. ÉLÉMENT 2.1: RENFORCEMENT DES CAPACITÉS DE CONCEPTION ET DE MISE EN ŒUVRE DES POLITIQUES ET PROJETS PUBLICS</w:t>
      </w:r>
    </w:p>
    <w:p w14:paraId="7C3D4565" w14:textId="77777777" w:rsidR="00553430" w:rsidRDefault="00212577">
      <w:pPr>
        <w:pStyle w:val="Text1"/>
        <w:spacing w:line="276" w:lineRule="auto"/>
        <w:ind w:left="0"/>
        <w:rPr>
          <w:noProof/>
          <w:szCs w:val="24"/>
        </w:rPr>
      </w:pPr>
      <w:r>
        <w:rPr>
          <w:rStyle w:val="normaltextrun"/>
          <w:noProof/>
          <w:szCs w:val="24"/>
          <w:shd w:val="clear" w:color="auto" w:fill="FFFFFF"/>
        </w:rPr>
        <w:t xml:space="preserve">Le volet </w:t>
      </w:r>
      <w:r>
        <w:rPr>
          <w:noProof/>
          <w:szCs w:val="24"/>
        </w:rPr>
        <w:t xml:space="preserve">du plan croate pour la reprise et la résilience </w:t>
      </w:r>
      <w:r>
        <w:rPr>
          <w:rStyle w:val="normaltextrun"/>
          <w:noProof/>
          <w:szCs w:val="24"/>
          <w:shd w:val="clear" w:color="auto" w:fill="FFFFFF"/>
        </w:rPr>
        <w:t xml:space="preserve">vise à améliorer la qualité de l’élaboration des politiques </w:t>
      </w:r>
      <w:r>
        <w:rPr>
          <w:rStyle w:val="normaltextrun"/>
          <w:noProof/>
          <w:szCs w:val="24"/>
          <w:shd w:val="clear" w:color="auto" w:fill="FFFFFF"/>
        </w:rPr>
        <w:t>publiques, à accroître la capacité de l’administration publique à concevoir et à mettre en œuvre des politiques publiques et à surmonter la fragmentation de l’administration publique en renforçant la coordination entre les ministères concernés et en amélio</w:t>
      </w:r>
      <w:r>
        <w:rPr>
          <w:rStyle w:val="normaltextrun"/>
          <w:noProof/>
          <w:szCs w:val="24"/>
          <w:shd w:val="clear" w:color="auto" w:fill="FFFFFF"/>
        </w:rPr>
        <w:t>rant la mise en œuvre des politiques et des projets publics. Ce volet comprend des mesures visant à:</w:t>
      </w:r>
    </w:p>
    <w:p w14:paraId="559C201D" w14:textId="77777777" w:rsidR="00553430" w:rsidRDefault="00212577">
      <w:pPr>
        <w:pStyle w:val="P68B1DB1-Text1112"/>
        <w:numPr>
          <w:ilvl w:val="0"/>
          <w:numId w:val="54"/>
        </w:numPr>
        <w:spacing w:line="276" w:lineRule="auto"/>
        <w:jc w:val="both"/>
        <w:rPr>
          <w:noProof/>
        </w:rPr>
      </w:pPr>
      <w:r>
        <w:rPr>
          <w:noProof/>
        </w:rPr>
        <w:t>faciliter, par un recours accru aux technologies numériques, la conception et la mise en œuvre de politiques et de projets publics aux niveaux central et l</w:t>
      </w:r>
      <w:r>
        <w:rPr>
          <w:noProof/>
        </w:rPr>
        <w:t>ocal;</w:t>
      </w:r>
    </w:p>
    <w:p w14:paraId="6188CC14" w14:textId="77777777" w:rsidR="00553430" w:rsidRDefault="00212577">
      <w:pPr>
        <w:pStyle w:val="P68B1DB1-Text1112"/>
        <w:numPr>
          <w:ilvl w:val="0"/>
          <w:numId w:val="54"/>
        </w:numPr>
        <w:spacing w:line="276" w:lineRule="auto"/>
        <w:jc w:val="both"/>
        <w:rPr>
          <w:noProof/>
        </w:rPr>
      </w:pPr>
      <w:r>
        <w:rPr>
          <w:noProof/>
        </w:rPr>
        <w:t xml:space="preserve">fournir une assistance aux bénéficiaires dans la préparation des projets et de la documentation technique pour les projets dans le domaine des transitions écologique et numérique, et </w:t>
      </w:r>
    </w:p>
    <w:p w14:paraId="580A0969" w14:textId="77777777" w:rsidR="00553430" w:rsidRDefault="00212577">
      <w:pPr>
        <w:pStyle w:val="P68B1DB1-Text1112"/>
        <w:numPr>
          <w:ilvl w:val="0"/>
          <w:numId w:val="54"/>
        </w:numPr>
        <w:spacing w:line="276" w:lineRule="auto"/>
        <w:jc w:val="both"/>
        <w:rPr>
          <w:noProof/>
        </w:rPr>
      </w:pPr>
      <w:r>
        <w:rPr>
          <w:noProof/>
        </w:rPr>
        <w:t>Renforcer les mécanismes de coordination et de gestion des politiq</w:t>
      </w:r>
      <w:r>
        <w:rPr>
          <w:noProof/>
        </w:rPr>
        <w:t xml:space="preserve">ues publiques. </w:t>
      </w:r>
    </w:p>
    <w:p w14:paraId="1417DB70" w14:textId="77777777" w:rsidR="00553430" w:rsidRDefault="00212577">
      <w:pPr>
        <w:pStyle w:val="Text1"/>
        <w:spacing w:line="276" w:lineRule="auto"/>
        <w:ind w:left="0"/>
        <w:rPr>
          <w:noProof/>
          <w:szCs w:val="24"/>
        </w:rPr>
      </w:pPr>
      <w:r>
        <w:rPr>
          <w:rStyle w:val="normaltextrun"/>
          <w:noProof/>
          <w:szCs w:val="24"/>
          <w:shd w:val="clear" w:color="auto" w:fill="FFFFFF"/>
        </w:rPr>
        <w:t xml:space="preserve">Le volet contribue à donner suite aux recommandations par pays visant à accroître la capacité de l’administration à concevoir et à mettre en œuvre des projets et des politiques publics (recommandation par pays no 3, 2019) et à renforcer la </w:t>
      </w:r>
      <w:r>
        <w:rPr>
          <w:rStyle w:val="normaltextrun"/>
          <w:noProof/>
          <w:szCs w:val="24"/>
          <w:shd w:val="clear" w:color="auto" w:fill="FFFFFF"/>
        </w:rPr>
        <w:t>capacité et l’efficacité de l’administration publique à concevoir et à mettre en œuvre des projets et des politiques publics aux niveaux central et local (recommandation par pays no 4, 2020).</w:t>
      </w:r>
    </w:p>
    <w:p w14:paraId="724A0671" w14:textId="77777777" w:rsidR="00553430" w:rsidRDefault="00212577">
      <w:pPr>
        <w:pStyle w:val="P68B1DB1-Normal113"/>
        <w:keepNext/>
        <w:spacing w:line="276" w:lineRule="auto"/>
        <w:ind w:left="851"/>
        <w:jc w:val="both"/>
        <w:outlineLvl w:val="1"/>
        <w:rPr>
          <w:noProof/>
        </w:rPr>
      </w:pPr>
      <w:r>
        <w:rPr>
          <w:noProof/>
        </w:rPr>
        <w:t xml:space="preserve">G.1. </w:t>
      </w:r>
      <w:r>
        <w:rPr>
          <w:noProof/>
        </w:rPr>
        <w:tab/>
        <w:t xml:space="preserve">Description des réformes et des investissements pour le </w:t>
      </w:r>
      <w:r>
        <w:rPr>
          <w:noProof/>
        </w:rPr>
        <w:t>soutien financier non remboursable</w:t>
      </w:r>
    </w:p>
    <w:p w14:paraId="1CE60414" w14:textId="77777777" w:rsidR="00553430" w:rsidRDefault="00212577">
      <w:pPr>
        <w:pStyle w:val="P68B1DB1-Normal81"/>
        <w:keepNext/>
        <w:spacing w:line="276" w:lineRule="auto"/>
        <w:ind w:left="850"/>
        <w:jc w:val="both"/>
        <w:rPr>
          <w:noProof/>
        </w:rPr>
      </w:pPr>
      <w:r>
        <w:rPr>
          <w:noProof/>
        </w:rPr>
        <w:t>Réforme C2.1 R1 - Renforcement des mécanismes d'intégration et de gestion des politiques publiques par la professionnalisation de la planification stratégique</w:t>
      </w:r>
    </w:p>
    <w:p w14:paraId="3F3743D0" w14:textId="77777777" w:rsidR="00553430" w:rsidRDefault="00212577">
      <w:pPr>
        <w:pStyle w:val="Text1"/>
        <w:spacing w:line="276" w:lineRule="auto"/>
        <w:ind w:left="0"/>
        <w:rPr>
          <w:rStyle w:val="normaltextrun"/>
          <w:noProof/>
          <w:szCs w:val="24"/>
        </w:rPr>
      </w:pPr>
      <w:r>
        <w:rPr>
          <w:rStyle w:val="normaltextrun"/>
          <w:noProof/>
          <w:szCs w:val="24"/>
        </w:rPr>
        <w:t>L'objectif de cette réforme est d'améliorer la manière dont le</w:t>
      </w:r>
      <w:r>
        <w:rPr>
          <w:rStyle w:val="normaltextrun"/>
          <w:noProof/>
          <w:szCs w:val="24"/>
        </w:rPr>
        <w:t xml:space="preserve">s politiques publiques sont gérées et mises en œuvre. </w:t>
      </w:r>
    </w:p>
    <w:p w14:paraId="46316684" w14:textId="77777777" w:rsidR="00553430" w:rsidRDefault="00212577">
      <w:pPr>
        <w:pStyle w:val="Text1"/>
        <w:spacing w:line="276" w:lineRule="auto"/>
        <w:ind w:left="0"/>
        <w:rPr>
          <w:rStyle w:val="normaltextrun"/>
          <w:noProof/>
          <w:szCs w:val="24"/>
        </w:rPr>
      </w:pPr>
      <w:r>
        <w:rPr>
          <w:rStyle w:val="normaltextrun"/>
          <w:noProof/>
          <w:szCs w:val="24"/>
        </w:rPr>
        <w:t>Cette mesure consiste à mettre en place une législation visant à améliorer la coordination des politiques publiques et, partant, à professionnaliser la planification stratégique et l’analyse d’impact d</w:t>
      </w:r>
      <w:r>
        <w:rPr>
          <w:rStyle w:val="normaltextrun"/>
          <w:noProof/>
          <w:szCs w:val="24"/>
        </w:rPr>
        <w:t xml:space="preserve">es réglementations. </w:t>
      </w:r>
    </w:p>
    <w:p w14:paraId="7036BBA1" w14:textId="77777777" w:rsidR="00553430" w:rsidRDefault="00212577">
      <w:pPr>
        <w:pStyle w:val="P68B1DB1-Text1114"/>
        <w:keepNext/>
        <w:spacing w:line="276" w:lineRule="auto"/>
        <w:ind w:left="851"/>
        <w:rPr>
          <w:noProof/>
        </w:rPr>
      </w:pPr>
      <w:r>
        <w:rPr>
          <w:noProof/>
        </w:rPr>
        <w:t>Réforme C2.1 R2 - Renforcement de la capacité de préparation et de mise en œuvre des projets de l'UE</w:t>
      </w:r>
    </w:p>
    <w:p w14:paraId="7EC8FBFB" w14:textId="77777777" w:rsidR="00553430" w:rsidRDefault="00212577">
      <w:pPr>
        <w:pStyle w:val="P68B1DB1-Text1112"/>
        <w:spacing w:line="276" w:lineRule="auto"/>
        <w:ind w:left="0"/>
        <w:jc w:val="both"/>
        <w:rPr>
          <w:noProof/>
        </w:rPr>
      </w:pPr>
      <w:r>
        <w:rPr>
          <w:noProof/>
        </w:rPr>
        <w:t xml:space="preserve">Dans le but d’accroître l’absorption des fonds de l’Union, cette réforme accroît la capacité de préparation et de mise en œuvre des </w:t>
      </w:r>
      <w:r>
        <w:rPr>
          <w:noProof/>
        </w:rPr>
        <w:t>fonds de l’Union. En outre, la décision du gouvernement relative aux organes du système de mise en œuvre du plan pour la reprise et la résilience définit les autorités compétentes et les responsabilités pour l’exécution des tâches liées à la mise en œuvre,</w:t>
      </w:r>
      <w:r>
        <w:rPr>
          <w:noProof/>
        </w:rPr>
        <w:t xml:space="preserve"> met en place un organisme central de coordination relevant du ministère des finances pour la mise en œuvre et le suivi du plan national pour la reprise et la résilience (PNRR) et charge le comité de mise en œuvre de veiller à la cohérence et à la cohérenc</w:t>
      </w:r>
      <w:r>
        <w:rPr>
          <w:noProof/>
        </w:rPr>
        <w:t>e dans l’utilisation des fonds de l’Union. Une analyse de la charge de travail pour le renforcement des capacités administratives dans tous les programmes opérationnels est préparée. Le statut de l’Agence pour l’audit du système de mise en œuvre des progra</w:t>
      </w:r>
      <w:r>
        <w:rPr>
          <w:noProof/>
        </w:rPr>
        <w:t>mmes de l’Union européenne (ARPA) est adapté afin de le mettre en conformité avec le règlement (UE) 2021/241 et de prévoir le mandat juridique pour la réalisation d’audits dans le cadre du PNRR. Le système informatique utilisé pour les Fonds structurels et</w:t>
      </w:r>
      <w:r>
        <w:rPr>
          <w:noProof/>
        </w:rPr>
        <w:t xml:space="preserve"> d’investissement européens est mis à niveau afin de permettre la collecte, le stockage et le suivi des données relatives aux jalons et cibles, y compris au niveau des bénéficiaires finaux. </w:t>
      </w:r>
    </w:p>
    <w:p w14:paraId="7F77CCFB" w14:textId="77777777" w:rsidR="00553430" w:rsidRDefault="00212577">
      <w:pPr>
        <w:pStyle w:val="P68B1DB1-Text1112"/>
        <w:spacing w:line="276" w:lineRule="auto"/>
        <w:ind w:left="0"/>
        <w:jc w:val="both"/>
        <w:rPr>
          <w:noProof/>
        </w:rPr>
      </w:pPr>
      <w:r>
        <w:rPr>
          <w:noProof/>
        </w:rPr>
        <w:t>Cette réforme est achevée au plus tard le 31 janvier 2022, et ava</w:t>
      </w:r>
      <w:r>
        <w:rPr>
          <w:noProof/>
        </w:rPr>
        <w:t>nt que la première demande de paiement ne soit soumise à la Commission.</w:t>
      </w:r>
    </w:p>
    <w:p w14:paraId="31FFC2AE" w14:textId="77777777" w:rsidR="00553430" w:rsidRDefault="00212577">
      <w:pPr>
        <w:pStyle w:val="P68B1DB1-Normal81"/>
        <w:keepNext/>
        <w:spacing w:line="276" w:lineRule="auto"/>
        <w:ind w:left="850"/>
        <w:jc w:val="both"/>
        <w:rPr>
          <w:noProof/>
        </w:rPr>
      </w:pPr>
      <w:r>
        <w:rPr>
          <w:noProof/>
        </w:rPr>
        <w:t>Investissement C2.1 R1-I1 – Optimisation, normalisation et numérisation des processus de planification stratégique et d’analyse d’impact des politiques publiques</w:t>
      </w:r>
    </w:p>
    <w:p w14:paraId="3BDC4CAD" w14:textId="77777777" w:rsidR="00553430" w:rsidRDefault="00212577">
      <w:pPr>
        <w:pStyle w:val="Text1"/>
        <w:spacing w:line="276" w:lineRule="auto"/>
        <w:ind w:left="0"/>
        <w:jc w:val="both"/>
        <w:rPr>
          <w:rStyle w:val="normaltextrun"/>
          <w:noProof/>
          <w:szCs w:val="24"/>
        </w:rPr>
      </w:pPr>
      <w:r>
        <w:rPr>
          <w:rStyle w:val="normaltextrun"/>
          <w:noProof/>
          <w:szCs w:val="24"/>
        </w:rPr>
        <w:t>L’objectif de cet inve</w:t>
      </w:r>
      <w:r>
        <w:rPr>
          <w:rStyle w:val="normaltextrun"/>
          <w:noProof/>
          <w:szCs w:val="24"/>
        </w:rPr>
        <w:t xml:space="preserve">stissement est de soutenir la numérisation de la planification stratégique, de la mise en œuvre et de l’évaluation des politiques publiques. </w:t>
      </w:r>
    </w:p>
    <w:p w14:paraId="0D765CEC" w14:textId="77777777" w:rsidR="00553430" w:rsidRDefault="00212577">
      <w:pPr>
        <w:pStyle w:val="Text1"/>
        <w:spacing w:line="276" w:lineRule="auto"/>
        <w:ind w:left="0"/>
        <w:jc w:val="both"/>
        <w:rPr>
          <w:rStyle w:val="normaltextrun"/>
          <w:noProof/>
          <w:szCs w:val="24"/>
        </w:rPr>
      </w:pPr>
      <w:r>
        <w:rPr>
          <w:rStyle w:val="normaltextrun"/>
          <w:noProof/>
          <w:szCs w:val="24"/>
        </w:rPr>
        <w:t>Cette mesure consiste en la mise au point d’une plateforme informatique, le système d’information sur la planifica</w:t>
      </w:r>
      <w:r>
        <w:rPr>
          <w:rStyle w:val="normaltextrun"/>
          <w:noProof/>
          <w:szCs w:val="24"/>
        </w:rPr>
        <w:t xml:space="preserve">tion stratégique, afin de permettre le suivi de l’élaboration des documents stratégiques. </w:t>
      </w:r>
    </w:p>
    <w:p w14:paraId="10D77592" w14:textId="77777777" w:rsidR="00553430" w:rsidRDefault="00212577">
      <w:pPr>
        <w:pStyle w:val="P68B1DB1-Normal81"/>
        <w:keepNext/>
        <w:spacing w:line="276" w:lineRule="auto"/>
        <w:ind w:left="850"/>
        <w:jc w:val="both"/>
        <w:rPr>
          <w:noProof/>
        </w:rPr>
      </w:pPr>
      <w:r>
        <w:rPr>
          <w:noProof/>
        </w:rPr>
        <w:t>Investissement C2.1 R2-I1 - Fournir une assistance aux bénéficiaires dans la préparation de la documentation technique du projet</w:t>
      </w:r>
    </w:p>
    <w:p w14:paraId="34C61F7B" w14:textId="77777777" w:rsidR="00553430" w:rsidRDefault="00212577">
      <w:pPr>
        <w:pStyle w:val="P68B1DB1-Bodytext20115"/>
        <w:shd w:val="clear" w:color="auto" w:fill="auto"/>
        <w:spacing w:before="0" w:after="240" w:line="276" w:lineRule="auto"/>
        <w:ind w:right="580" w:firstLine="0"/>
        <w:rPr>
          <w:noProof/>
        </w:rPr>
      </w:pPr>
      <w:r>
        <w:rPr>
          <w:noProof/>
        </w:rPr>
        <w:t>L’objectif de cette mesure est d’aug</w:t>
      </w:r>
      <w:r>
        <w:rPr>
          <w:noProof/>
        </w:rPr>
        <w:t xml:space="preserve">menter le taux de réussite et l’absorption des fonds de l’UE. </w:t>
      </w:r>
    </w:p>
    <w:p w14:paraId="2FB2896D" w14:textId="3F1301CD" w:rsidR="00553430" w:rsidRDefault="00212577">
      <w:pPr>
        <w:pStyle w:val="P68B1DB1-Bodytext20115"/>
        <w:shd w:val="clear" w:color="auto" w:fill="auto"/>
        <w:spacing w:before="0" w:after="240" w:line="276" w:lineRule="auto"/>
        <w:ind w:right="580" w:firstLine="0"/>
        <w:rPr>
          <w:noProof/>
        </w:rPr>
      </w:pPr>
      <w:r>
        <w:rPr>
          <w:noProof/>
        </w:rPr>
        <w:t>Cette mesure consiste en des appels à fournir une assistance aux bénéficiaires potentiels de divers fonds de l’UE afin d’accélérer et d’optimiser la préparation de la documentation technique de</w:t>
      </w:r>
      <w:r>
        <w:rPr>
          <w:noProof/>
        </w:rPr>
        <w:t>s projets.</w:t>
      </w:r>
    </w:p>
    <w:p w14:paraId="6F4EE8F8" w14:textId="77777777" w:rsidR="00553430" w:rsidRDefault="00553430">
      <w:pPr>
        <w:jc w:val="both"/>
        <w:rPr>
          <w:b/>
          <w:bCs/>
          <w:noProof/>
          <w:szCs w:val="24"/>
          <w:u w:val="single"/>
        </w:rPr>
        <w:sectPr w:rsidR="00553430" w:rsidSect="00FA29B2">
          <w:headerReference w:type="even" r:id="rId123"/>
          <w:headerReference w:type="default" r:id="rId124"/>
          <w:footerReference w:type="even" r:id="rId125"/>
          <w:footerReference w:type="default" r:id="rId126"/>
          <w:headerReference w:type="first" r:id="rId127"/>
          <w:footerReference w:type="first" r:id="rId128"/>
          <w:pgSz w:w="11906" w:h="16838"/>
          <w:pgMar w:top="1134" w:right="1134" w:bottom="1134" w:left="1134" w:header="567" w:footer="567" w:gutter="0"/>
          <w:cols w:space="708"/>
          <w:docGrid w:linePitch="360"/>
        </w:sectPr>
      </w:pPr>
    </w:p>
    <w:p w14:paraId="414C7225" w14:textId="77777777" w:rsidR="00553430" w:rsidRDefault="00212577">
      <w:pPr>
        <w:pStyle w:val="P68B1DB1-Normal113"/>
        <w:keepNext/>
        <w:tabs>
          <w:tab w:val="num" w:pos="850"/>
        </w:tabs>
        <w:ind w:left="851"/>
        <w:jc w:val="both"/>
        <w:outlineLvl w:val="1"/>
        <w:rPr>
          <w:bCs/>
          <w:noProof/>
        </w:rPr>
      </w:pPr>
      <w:r>
        <w:rPr>
          <w:noProof/>
        </w:rPr>
        <w:t xml:space="preserve">G.2. </w:t>
      </w:r>
      <w:r>
        <w:rPr>
          <w:noProof/>
        </w:rPr>
        <w:tab/>
        <w:t>Étapes, cibles, indicateurs et calendrier pour le suivi et la mise en œuvre du soutien financier non remboursable</w:t>
      </w:r>
    </w:p>
    <w:tbl>
      <w:tblPr>
        <w:tblW w:w="15986" w:type="dxa"/>
        <w:tblInd w:w="-823" w:type="dxa"/>
        <w:tblLayout w:type="fixed"/>
        <w:tblCellMar>
          <w:top w:w="28" w:type="dxa"/>
          <w:left w:w="28" w:type="dxa"/>
          <w:bottom w:w="28" w:type="dxa"/>
          <w:right w:w="28" w:type="dxa"/>
        </w:tblCellMar>
        <w:tblLook w:val="04A0" w:firstRow="1" w:lastRow="0" w:firstColumn="1" w:lastColumn="0" w:noHBand="0" w:noVBand="1"/>
      </w:tblPr>
      <w:tblGrid>
        <w:gridCol w:w="851"/>
        <w:gridCol w:w="1243"/>
        <w:gridCol w:w="1124"/>
        <w:gridCol w:w="1784"/>
        <w:gridCol w:w="1912"/>
        <w:gridCol w:w="1134"/>
        <w:gridCol w:w="1025"/>
        <w:gridCol w:w="817"/>
        <w:gridCol w:w="1167"/>
        <w:gridCol w:w="709"/>
        <w:gridCol w:w="4220"/>
      </w:tblGrid>
      <w:tr w:rsidR="00553430" w14:paraId="102301CB" w14:textId="77777777" w:rsidTr="0019760D">
        <w:trPr>
          <w:trHeight w:val="300"/>
          <w:tblHeader/>
        </w:trPr>
        <w:tc>
          <w:tcPr>
            <w:tcW w:w="8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CC3DF9E" w14:textId="77777777" w:rsidR="00553430" w:rsidRDefault="00212577">
            <w:pPr>
              <w:pStyle w:val="P68B1DB1-Normal109"/>
              <w:spacing w:after="0" w:line="276" w:lineRule="auto"/>
              <w:jc w:val="center"/>
              <w:rPr>
                <w:bCs/>
                <w:noProof/>
              </w:rPr>
            </w:pPr>
            <w:r>
              <w:rPr>
                <w:noProof/>
              </w:rPr>
              <w:t>Numéro</w:t>
            </w:r>
          </w:p>
        </w:tc>
        <w:tc>
          <w:tcPr>
            <w:tcW w:w="12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6672A2" w14:textId="77777777" w:rsidR="00553430" w:rsidRDefault="00212577">
            <w:pPr>
              <w:pStyle w:val="P68B1DB1-Normal109"/>
              <w:spacing w:after="0" w:line="276" w:lineRule="auto"/>
              <w:jc w:val="center"/>
              <w:rPr>
                <w:bCs/>
                <w:noProof/>
              </w:rPr>
            </w:pPr>
            <w:r>
              <w:rPr>
                <w:noProof/>
              </w:rPr>
              <w:t>Mesure</w:t>
            </w:r>
          </w:p>
        </w:tc>
        <w:tc>
          <w:tcPr>
            <w:tcW w:w="11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248A093" w14:textId="77777777" w:rsidR="00553430" w:rsidRDefault="00212577">
            <w:pPr>
              <w:pStyle w:val="P68B1DB1-Normal109"/>
              <w:spacing w:after="0" w:line="276" w:lineRule="auto"/>
              <w:jc w:val="center"/>
              <w:rPr>
                <w:bCs/>
                <w:noProof/>
              </w:rPr>
            </w:pPr>
            <w:r>
              <w:rPr>
                <w:noProof/>
              </w:rPr>
              <w:t>Étape/cible</w:t>
            </w:r>
          </w:p>
        </w:tc>
        <w:tc>
          <w:tcPr>
            <w:tcW w:w="17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744D449" w14:textId="77777777" w:rsidR="00553430" w:rsidRDefault="00212577">
            <w:pPr>
              <w:pStyle w:val="P68B1DB1-Normal109"/>
              <w:spacing w:after="0" w:line="276" w:lineRule="auto"/>
              <w:jc w:val="center"/>
              <w:rPr>
                <w:bCs/>
                <w:noProof/>
              </w:rPr>
            </w:pPr>
            <w:r>
              <w:rPr>
                <w:noProof/>
              </w:rPr>
              <w:t>Nom</w:t>
            </w:r>
          </w:p>
        </w:tc>
        <w:tc>
          <w:tcPr>
            <w:tcW w:w="191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690C6CB" w14:textId="77777777" w:rsidR="00553430" w:rsidRDefault="00212577">
            <w:pPr>
              <w:pStyle w:val="P68B1DB1-Normal109"/>
              <w:spacing w:after="0" w:line="276" w:lineRule="auto"/>
              <w:jc w:val="center"/>
              <w:rPr>
                <w:bCs/>
                <w:noProof/>
              </w:rPr>
            </w:pPr>
            <w:r>
              <w:rPr>
                <w:noProof/>
              </w:rPr>
              <w:t xml:space="preserve">Indicateurs qualitatifs </w:t>
            </w:r>
            <w:r>
              <w:rPr>
                <w:noProof/>
              </w:rPr>
              <w:br/>
              <w:t xml:space="preserve">(pour </w:t>
            </w:r>
            <w:r>
              <w:rPr>
                <w:noProof/>
              </w:rPr>
              <w:t>les jalons)</w:t>
            </w:r>
          </w:p>
        </w:tc>
        <w:tc>
          <w:tcPr>
            <w:tcW w:w="2976" w:type="dxa"/>
            <w:gridSpan w:val="3"/>
            <w:tcBorders>
              <w:top w:val="single" w:sz="4" w:space="0" w:color="auto"/>
              <w:left w:val="nil"/>
              <w:bottom w:val="single" w:sz="4" w:space="0" w:color="auto"/>
              <w:right w:val="single" w:sz="4" w:space="0" w:color="auto"/>
            </w:tcBorders>
            <w:shd w:val="clear" w:color="auto" w:fill="BDD7EE"/>
            <w:vAlign w:val="center"/>
            <w:hideMark/>
          </w:tcPr>
          <w:p w14:paraId="5B273528" w14:textId="77777777" w:rsidR="00553430" w:rsidRDefault="00212577">
            <w:pPr>
              <w:pStyle w:val="P68B1DB1-Normal109"/>
              <w:spacing w:after="0" w:line="276" w:lineRule="auto"/>
              <w:jc w:val="center"/>
              <w:rPr>
                <w:bCs/>
                <w:noProof/>
              </w:rPr>
            </w:pPr>
            <w:r>
              <w:rPr>
                <w:noProof/>
              </w:rPr>
              <w:t xml:space="preserve">Indicateurs quantitatifs </w:t>
            </w:r>
            <w:r>
              <w:rPr>
                <w:noProof/>
              </w:rPr>
              <w:br/>
              <w:t>(pour les objectifs)</w:t>
            </w:r>
          </w:p>
        </w:tc>
        <w:tc>
          <w:tcPr>
            <w:tcW w:w="1876" w:type="dxa"/>
            <w:gridSpan w:val="2"/>
            <w:tcBorders>
              <w:top w:val="single" w:sz="4" w:space="0" w:color="auto"/>
              <w:left w:val="nil"/>
              <w:bottom w:val="single" w:sz="4" w:space="0" w:color="auto"/>
              <w:right w:val="single" w:sz="4" w:space="0" w:color="auto"/>
            </w:tcBorders>
            <w:shd w:val="clear" w:color="auto" w:fill="BDD7EE"/>
            <w:vAlign w:val="center"/>
            <w:hideMark/>
          </w:tcPr>
          <w:p w14:paraId="0A2F3074" w14:textId="77777777" w:rsidR="00553430" w:rsidRDefault="00212577">
            <w:pPr>
              <w:pStyle w:val="P68B1DB1-Normal109"/>
              <w:spacing w:after="0" w:line="276" w:lineRule="auto"/>
              <w:jc w:val="center"/>
              <w:rPr>
                <w:bCs/>
                <w:noProof/>
              </w:rPr>
            </w:pPr>
            <w:r>
              <w:rPr>
                <w:noProof/>
              </w:rPr>
              <w:t>Temps</w:t>
            </w:r>
          </w:p>
        </w:tc>
        <w:tc>
          <w:tcPr>
            <w:tcW w:w="42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F627B5A" w14:textId="77777777" w:rsidR="00553430" w:rsidRDefault="00212577">
            <w:pPr>
              <w:pStyle w:val="P68B1DB1-Normal109"/>
              <w:spacing w:after="0" w:line="276" w:lineRule="auto"/>
              <w:jc w:val="center"/>
              <w:rPr>
                <w:bCs/>
                <w:noProof/>
              </w:rPr>
            </w:pPr>
            <w:r>
              <w:rPr>
                <w:noProof/>
              </w:rPr>
              <w:t>Description de chaque jalon et cible</w:t>
            </w:r>
          </w:p>
        </w:tc>
      </w:tr>
      <w:tr w:rsidR="00553430" w14:paraId="4380FE97" w14:textId="77777777" w:rsidTr="0019760D">
        <w:trPr>
          <w:trHeight w:val="300"/>
          <w:tblHeader/>
        </w:trPr>
        <w:tc>
          <w:tcPr>
            <w:tcW w:w="851" w:type="dxa"/>
            <w:vMerge/>
            <w:tcBorders>
              <w:top w:val="single" w:sz="4" w:space="0" w:color="auto"/>
              <w:left w:val="single" w:sz="4" w:space="0" w:color="auto"/>
              <w:bottom w:val="single" w:sz="4" w:space="0" w:color="auto"/>
              <w:right w:val="single" w:sz="4" w:space="0" w:color="auto"/>
            </w:tcBorders>
            <w:hideMark/>
          </w:tcPr>
          <w:p w14:paraId="2A0870E9" w14:textId="77777777" w:rsidR="00553430" w:rsidRDefault="00553430">
            <w:pPr>
              <w:spacing w:after="0" w:line="276" w:lineRule="auto"/>
              <w:jc w:val="center"/>
              <w:rPr>
                <w:rFonts w:ascii="Times New Roman" w:eastAsia="Times New Roman" w:hAnsi="Times New Roman" w:cs="Times New Roman"/>
                <w:b/>
                <w:noProof/>
                <w:color w:val="000000" w:themeColor="text1"/>
                <w:sz w:val="20"/>
                <w:szCs w:val="20"/>
              </w:rPr>
            </w:pPr>
          </w:p>
        </w:tc>
        <w:tc>
          <w:tcPr>
            <w:tcW w:w="1243" w:type="dxa"/>
            <w:vMerge/>
            <w:tcBorders>
              <w:top w:val="single" w:sz="4" w:space="0" w:color="auto"/>
              <w:left w:val="single" w:sz="4" w:space="0" w:color="auto"/>
              <w:bottom w:val="single" w:sz="4" w:space="0" w:color="auto"/>
              <w:right w:val="single" w:sz="4" w:space="0" w:color="auto"/>
            </w:tcBorders>
            <w:hideMark/>
          </w:tcPr>
          <w:p w14:paraId="20E05BE9" w14:textId="77777777" w:rsidR="00553430" w:rsidRDefault="00553430">
            <w:pPr>
              <w:spacing w:after="0" w:line="276" w:lineRule="auto"/>
              <w:jc w:val="center"/>
              <w:rPr>
                <w:rFonts w:ascii="Times New Roman" w:eastAsia="Times New Roman" w:hAnsi="Times New Roman" w:cs="Times New Roman"/>
                <w:b/>
                <w:noProof/>
                <w:color w:val="000000" w:themeColor="text1"/>
                <w:sz w:val="20"/>
                <w:szCs w:val="20"/>
              </w:rPr>
            </w:pPr>
          </w:p>
        </w:tc>
        <w:tc>
          <w:tcPr>
            <w:tcW w:w="1124" w:type="dxa"/>
            <w:vMerge/>
            <w:tcBorders>
              <w:top w:val="single" w:sz="4" w:space="0" w:color="auto"/>
              <w:left w:val="single" w:sz="4" w:space="0" w:color="auto"/>
              <w:bottom w:val="single" w:sz="4" w:space="0" w:color="auto"/>
              <w:right w:val="single" w:sz="4" w:space="0" w:color="auto"/>
            </w:tcBorders>
            <w:hideMark/>
          </w:tcPr>
          <w:p w14:paraId="5A32B523" w14:textId="77777777" w:rsidR="00553430" w:rsidRDefault="00553430">
            <w:pPr>
              <w:spacing w:after="0" w:line="276" w:lineRule="auto"/>
              <w:jc w:val="center"/>
              <w:rPr>
                <w:rFonts w:ascii="Times New Roman" w:eastAsia="Times New Roman" w:hAnsi="Times New Roman" w:cs="Times New Roman"/>
                <w:b/>
                <w:noProof/>
                <w:color w:val="000000" w:themeColor="text1"/>
                <w:sz w:val="20"/>
                <w:szCs w:val="20"/>
              </w:rPr>
            </w:pPr>
          </w:p>
        </w:tc>
        <w:tc>
          <w:tcPr>
            <w:tcW w:w="1784" w:type="dxa"/>
            <w:vMerge/>
            <w:tcBorders>
              <w:top w:val="single" w:sz="4" w:space="0" w:color="auto"/>
              <w:left w:val="single" w:sz="4" w:space="0" w:color="auto"/>
              <w:bottom w:val="single" w:sz="4" w:space="0" w:color="auto"/>
              <w:right w:val="single" w:sz="4" w:space="0" w:color="auto"/>
            </w:tcBorders>
            <w:hideMark/>
          </w:tcPr>
          <w:p w14:paraId="665BE218" w14:textId="77777777" w:rsidR="00553430" w:rsidRDefault="00553430">
            <w:pPr>
              <w:spacing w:after="0" w:line="276" w:lineRule="auto"/>
              <w:rPr>
                <w:rFonts w:ascii="Times New Roman" w:eastAsia="Times New Roman" w:hAnsi="Times New Roman" w:cs="Times New Roman"/>
                <w:b/>
                <w:noProof/>
                <w:color w:val="000000" w:themeColor="text1"/>
                <w:sz w:val="20"/>
                <w:szCs w:val="20"/>
              </w:rPr>
            </w:pPr>
          </w:p>
        </w:tc>
        <w:tc>
          <w:tcPr>
            <w:tcW w:w="1912" w:type="dxa"/>
            <w:vMerge/>
            <w:tcBorders>
              <w:top w:val="single" w:sz="4" w:space="0" w:color="auto"/>
              <w:left w:val="single" w:sz="4" w:space="0" w:color="auto"/>
              <w:bottom w:val="single" w:sz="4" w:space="0" w:color="auto"/>
              <w:right w:val="single" w:sz="4" w:space="0" w:color="auto"/>
            </w:tcBorders>
            <w:hideMark/>
          </w:tcPr>
          <w:p w14:paraId="6DFD9F83" w14:textId="77777777" w:rsidR="00553430" w:rsidRDefault="00553430">
            <w:pPr>
              <w:spacing w:after="0" w:line="276" w:lineRule="auto"/>
              <w:rPr>
                <w:rFonts w:ascii="Times New Roman" w:eastAsia="Times New Roman" w:hAnsi="Times New Roman" w:cs="Times New Roman"/>
                <w:b/>
                <w:noProof/>
                <w:color w:val="000000" w:themeColor="text1"/>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BDD7EE"/>
            <w:hideMark/>
          </w:tcPr>
          <w:p w14:paraId="35DD5AE7" w14:textId="77777777" w:rsidR="00553430" w:rsidRDefault="00212577">
            <w:pPr>
              <w:pStyle w:val="P68B1DB1-Normal109"/>
              <w:spacing w:after="0" w:line="276" w:lineRule="auto"/>
              <w:jc w:val="center"/>
              <w:rPr>
                <w:bCs/>
                <w:noProof/>
              </w:rPr>
            </w:pPr>
            <w:r>
              <w:rPr>
                <w:noProof/>
              </w:rPr>
              <w:t>Unité</w:t>
            </w:r>
          </w:p>
        </w:tc>
        <w:tc>
          <w:tcPr>
            <w:tcW w:w="1025" w:type="dxa"/>
            <w:tcBorders>
              <w:top w:val="single" w:sz="4" w:space="0" w:color="auto"/>
              <w:left w:val="single" w:sz="4" w:space="0" w:color="auto"/>
              <w:bottom w:val="single" w:sz="4" w:space="0" w:color="auto"/>
              <w:right w:val="single" w:sz="4" w:space="0" w:color="auto"/>
            </w:tcBorders>
            <w:shd w:val="clear" w:color="auto" w:fill="BDD7EE"/>
            <w:hideMark/>
          </w:tcPr>
          <w:p w14:paraId="07F52291" w14:textId="77777777" w:rsidR="00553430" w:rsidRDefault="00212577">
            <w:pPr>
              <w:pStyle w:val="P68B1DB1-Normal109"/>
              <w:spacing w:after="0" w:line="276" w:lineRule="auto"/>
              <w:jc w:val="center"/>
              <w:rPr>
                <w:bCs/>
                <w:noProof/>
              </w:rPr>
            </w:pPr>
            <w:r>
              <w:rPr>
                <w:noProof/>
              </w:rPr>
              <w:t>Données de référence</w:t>
            </w:r>
          </w:p>
        </w:tc>
        <w:tc>
          <w:tcPr>
            <w:tcW w:w="817" w:type="dxa"/>
            <w:tcBorders>
              <w:top w:val="single" w:sz="4" w:space="0" w:color="auto"/>
              <w:left w:val="single" w:sz="4" w:space="0" w:color="auto"/>
              <w:bottom w:val="single" w:sz="4" w:space="0" w:color="auto"/>
              <w:right w:val="single" w:sz="4" w:space="0" w:color="auto"/>
            </w:tcBorders>
            <w:shd w:val="clear" w:color="auto" w:fill="BDD7EE"/>
            <w:hideMark/>
          </w:tcPr>
          <w:p w14:paraId="623BD590" w14:textId="77777777" w:rsidR="00553430" w:rsidRDefault="00212577">
            <w:pPr>
              <w:pStyle w:val="P68B1DB1-Normal109"/>
              <w:spacing w:after="0" w:line="276" w:lineRule="auto"/>
              <w:jc w:val="center"/>
              <w:rPr>
                <w:bCs/>
                <w:noProof/>
              </w:rPr>
            </w:pPr>
            <w:r>
              <w:rPr>
                <w:noProof/>
              </w:rPr>
              <w:t>Objectif</w:t>
            </w:r>
          </w:p>
        </w:tc>
        <w:tc>
          <w:tcPr>
            <w:tcW w:w="1167" w:type="dxa"/>
            <w:tcBorders>
              <w:top w:val="single" w:sz="4" w:space="0" w:color="auto"/>
              <w:left w:val="single" w:sz="4" w:space="0" w:color="auto"/>
              <w:bottom w:val="single" w:sz="4" w:space="0" w:color="auto"/>
              <w:right w:val="single" w:sz="4" w:space="0" w:color="auto"/>
            </w:tcBorders>
            <w:shd w:val="clear" w:color="auto" w:fill="BDD7EE"/>
            <w:hideMark/>
          </w:tcPr>
          <w:p w14:paraId="2C7CDAB1" w14:textId="77777777" w:rsidR="00553430" w:rsidRDefault="00212577">
            <w:pPr>
              <w:pStyle w:val="P68B1DB1-Normal109"/>
              <w:spacing w:after="0" w:line="276" w:lineRule="auto"/>
              <w:jc w:val="center"/>
              <w:rPr>
                <w:bCs/>
                <w:noProof/>
              </w:rPr>
            </w:pPr>
            <w:r>
              <w:rPr>
                <w:noProof/>
              </w:rPr>
              <w:t>Trimestre</w:t>
            </w:r>
          </w:p>
        </w:tc>
        <w:tc>
          <w:tcPr>
            <w:tcW w:w="709" w:type="dxa"/>
            <w:tcBorders>
              <w:top w:val="single" w:sz="4" w:space="0" w:color="auto"/>
              <w:left w:val="single" w:sz="4" w:space="0" w:color="auto"/>
              <w:bottom w:val="single" w:sz="4" w:space="0" w:color="auto"/>
              <w:right w:val="single" w:sz="4" w:space="0" w:color="auto"/>
            </w:tcBorders>
            <w:shd w:val="clear" w:color="auto" w:fill="BDD7EE"/>
            <w:hideMark/>
          </w:tcPr>
          <w:p w14:paraId="4CDE88EC" w14:textId="77777777" w:rsidR="00553430" w:rsidRDefault="00212577">
            <w:pPr>
              <w:pStyle w:val="P68B1DB1-Normal109"/>
              <w:spacing w:after="0" w:line="276" w:lineRule="auto"/>
              <w:jc w:val="center"/>
              <w:rPr>
                <w:bCs/>
                <w:noProof/>
              </w:rPr>
            </w:pPr>
            <w:r>
              <w:rPr>
                <w:noProof/>
              </w:rPr>
              <w:t>Année</w:t>
            </w:r>
          </w:p>
        </w:tc>
        <w:tc>
          <w:tcPr>
            <w:tcW w:w="4220" w:type="dxa"/>
            <w:vMerge/>
            <w:tcBorders>
              <w:top w:val="single" w:sz="4" w:space="0" w:color="auto"/>
              <w:left w:val="single" w:sz="4" w:space="0" w:color="auto"/>
              <w:bottom w:val="single" w:sz="4" w:space="0" w:color="auto"/>
              <w:right w:val="single" w:sz="4" w:space="0" w:color="auto"/>
            </w:tcBorders>
            <w:hideMark/>
          </w:tcPr>
          <w:p w14:paraId="1037B0A9" w14:textId="77777777" w:rsidR="00553430" w:rsidRDefault="00553430">
            <w:pPr>
              <w:spacing w:after="0" w:line="276" w:lineRule="auto"/>
              <w:rPr>
                <w:rFonts w:ascii="Times New Roman" w:eastAsia="Calibri" w:hAnsi="Times New Roman" w:cs="Times New Roman"/>
                <w:b/>
                <w:bCs/>
                <w:noProof/>
                <w:color w:val="000000" w:themeColor="text1"/>
                <w:sz w:val="20"/>
                <w:szCs w:val="20"/>
              </w:rPr>
            </w:pPr>
          </w:p>
        </w:tc>
      </w:tr>
      <w:tr w:rsidR="00553430" w14:paraId="3EF76411" w14:textId="77777777" w:rsidTr="0019760D">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6B3AD5D" w14:textId="77777777" w:rsidR="00553430" w:rsidRDefault="00212577">
            <w:pPr>
              <w:pStyle w:val="P68B1DB1-Normal102"/>
              <w:spacing w:after="200" w:line="276" w:lineRule="auto"/>
              <w:jc w:val="center"/>
              <w:rPr>
                <w:rFonts w:eastAsia="Calibri"/>
                <w:noProof/>
                <w:color w:val="000000" w:themeColor="text1"/>
              </w:rPr>
            </w:pPr>
            <w:r>
              <w:rPr>
                <w:noProof/>
              </w:rPr>
              <w:t>150</w:t>
            </w:r>
          </w:p>
        </w:tc>
        <w:tc>
          <w:tcPr>
            <w:tcW w:w="1243" w:type="dxa"/>
            <w:tcBorders>
              <w:top w:val="single" w:sz="4" w:space="0" w:color="auto"/>
              <w:left w:val="nil"/>
              <w:bottom w:val="single" w:sz="4" w:space="0" w:color="auto"/>
              <w:right w:val="single" w:sz="4" w:space="0" w:color="auto"/>
            </w:tcBorders>
            <w:shd w:val="clear" w:color="auto" w:fill="C6EFCE"/>
            <w:noWrap/>
          </w:tcPr>
          <w:p w14:paraId="760E9FB3" w14:textId="77777777" w:rsidR="00553430" w:rsidRDefault="00212577">
            <w:pPr>
              <w:pStyle w:val="P68B1DB1-Normal102"/>
              <w:spacing w:after="200" w:line="276" w:lineRule="auto"/>
              <w:jc w:val="center"/>
              <w:rPr>
                <w:rFonts w:eastAsia="Calibri"/>
                <w:noProof/>
                <w:color w:val="000000" w:themeColor="text1"/>
              </w:rPr>
            </w:pPr>
            <w:r>
              <w:rPr>
                <w:noProof/>
              </w:rPr>
              <w:t>C2.1. R1</w:t>
            </w:r>
          </w:p>
        </w:tc>
        <w:tc>
          <w:tcPr>
            <w:tcW w:w="1124" w:type="dxa"/>
            <w:tcBorders>
              <w:top w:val="single" w:sz="4" w:space="0" w:color="auto"/>
              <w:left w:val="nil"/>
              <w:bottom w:val="single" w:sz="4" w:space="0" w:color="auto"/>
              <w:right w:val="single" w:sz="4" w:space="0" w:color="auto"/>
            </w:tcBorders>
            <w:shd w:val="clear" w:color="auto" w:fill="C6EFCE"/>
            <w:noWrap/>
          </w:tcPr>
          <w:p w14:paraId="2A118AD8" w14:textId="77777777" w:rsidR="00553430" w:rsidRDefault="00212577">
            <w:pPr>
              <w:pStyle w:val="P68B1DB1-Normal102"/>
              <w:spacing w:after="200" w:line="276" w:lineRule="auto"/>
              <w:jc w:val="center"/>
              <w:rPr>
                <w:rFonts w:eastAsia="Calibri"/>
                <w:noProof/>
                <w:color w:val="000000" w:themeColor="text1"/>
              </w:rPr>
            </w:pPr>
            <w:r>
              <w:rPr>
                <w:noProof/>
              </w:rPr>
              <w:t>M</w:t>
            </w:r>
          </w:p>
        </w:tc>
        <w:tc>
          <w:tcPr>
            <w:tcW w:w="1784" w:type="dxa"/>
            <w:tcBorders>
              <w:top w:val="single" w:sz="4" w:space="0" w:color="auto"/>
              <w:left w:val="nil"/>
              <w:bottom w:val="single" w:sz="4" w:space="0" w:color="auto"/>
              <w:right w:val="single" w:sz="4" w:space="0" w:color="auto"/>
            </w:tcBorders>
            <w:shd w:val="clear" w:color="auto" w:fill="C6EFCE"/>
            <w:noWrap/>
          </w:tcPr>
          <w:p w14:paraId="7E083AD6" w14:textId="77777777" w:rsidR="00553430" w:rsidRDefault="00212577">
            <w:pPr>
              <w:pStyle w:val="P68B1DB1-Normal102"/>
              <w:spacing w:after="200" w:line="276" w:lineRule="auto"/>
              <w:rPr>
                <w:rFonts w:eastAsia="Calibri"/>
                <w:noProof/>
                <w:color w:val="000000" w:themeColor="text1"/>
              </w:rPr>
            </w:pPr>
            <w:r>
              <w:rPr>
                <w:noProof/>
              </w:rPr>
              <w:t xml:space="preserve">Amendements à la loi sur le système de planification stratégique et de gestion </w:t>
            </w:r>
            <w:r>
              <w:rPr>
                <w:noProof/>
              </w:rPr>
              <w:t>du développement de la République de Croatie et règlements administratifs</w:t>
            </w:r>
          </w:p>
        </w:tc>
        <w:tc>
          <w:tcPr>
            <w:tcW w:w="1912" w:type="dxa"/>
            <w:tcBorders>
              <w:top w:val="single" w:sz="4" w:space="0" w:color="auto"/>
              <w:left w:val="nil"/>
              <w:bottom w:val="single" w:sz="4" w:space="0" w:color="auto"/>
              <w:right w:val="single" w:sz="4" w:space="0" w:color="auto"/>
            </w:tcBorders>
            <w:shd w:val="clear" w:color="auto" w:fill="C6EFCE"/>
            <w:noWrap/>
          </w:tcPr>
          <w:p w14:paraId="1CC610B1" w14:textId="77777777" w:rsidR="00553430" w:rsidRDefault="00212577">
            <w:pPr>
              <w:pStyle w:val="P68B1DB1-Normal102"/>
              <w:spacing w:after="200" w:line="276" w:lineRule="auto"/>
              <w:rPr>
                <w:rFonts w:eastAsia="Calibri"/>
                <w:noProof/>
                <w:color w:val="000000" w:themeColor="text1"/>
              </w:rPr>
            </w:pPr>
            <w:r>
              <w:rPr>
                <w:noProof/>
              </w:rPr>
              <w:t>Entrée en vigueur de la loi modifiant la loi sur le système de planification stratégique et de gouvernance pour le développement de la République de Croatie et des règlements qui l’a</w:t>
            </w:r>
            <w:r>
              <w:rPr>
                <w:noProof/>
              </w:rPr>
              <w:t xml:space="preserve">ccompagnent </w:t>
            </w:r>
          </w:p>
        </w:tc>
        <w:tc>
          <w:tcPr>
            <w:tcW w:w="1134" w:type="dxa"/>
            <w:tcBorders>
              <w:top w:val="single" w:sz="4" w:space="0" w:color="auto"/>
              <w:left w:val="nil"/>
              <w:bottom w:val="single" w:sz="4" w:space="0" w:color="auto"/>
              <w:right w:val="single" w:sz="4" w:space="0" w:color="auto"/>
            </w:tcBorders>
            <w:shd w:val="clear" w:color="auto" w:fill="C6EFCE"/>
            <w:noWrap/>
          </w:tcPr>
          <w:p w14:paraId="757B0DF8" w14:textId="77777777" w:rsidR="00553430" w:rsidRDefault="00212577">
            <w:pPr>
              <w:pStyle w:val="P68B1DB1-Normal102"/>
              <w:spacing w:after="200" w:line="276" w:lineRule="auto"/>
              <w:jc w:val="center"/>
              <w:rPr>
                <w:rFonts w:eastAsia="Calibri"/>
                <w:noProof/>
                <w:color w:val="000000" w:themeColor="text1"/>
              </w:rPr>
            </w:pPr>
            <w:r>
              <w:rPr>
                <w:noProof/>
              </w:rPr>
              <w:t> </w:t>
            </w:r>
          </w:p>
        </w:tc>
        <w:tc>
          <w:tcPr>
            <w:tcW w:w="1025" w:type="dxa"/>
            <w:tcBorders>
              <w:top w:val="single" w:sz="4" w:space="0" w:color="auto"/>
              <w:left w:val="nil"/>
              <w:bottom w:val="single" w:sz="4" w:space="0" w:color="auto"/>
              <w:right w:val="single" w:sz="4" w:space="0" w:color="auto"/>
            </w:tcBorders>
            <w:shd w:val="clear" w:color="auto" w:fill="C6EFCE"/>
            <w:noWrap/>
          </w:tcPr>
          <w:p w14:paraId="0CD3E1BA" w14:textId="77777777" w:rsidR="00553430" w:rsidRDefault="00212577">
            <w:pPr>
              <w:pStyle w:val="P68B1DB1-Normal102"/>
              <w:spacing w:after="200" w:line="276" w:lineRule="auto"/>
              <w:jc w:val="center"/>
              <w:rPr>
                <w:rFonts w:eastAsia="Calibri"/>
                <w:noProof/>
                <w:color w:val="000000" w:themeColor="text1"/>
              </w:rPr>
            </w:pPr>
            <w:r>
              <w:rPr>
                <w:noProof/>
              </w:rPr>
              <w:t> </w:t>
            </w:r>
          </w:p>
        </w:tc>
        <w:tc>
          <w:tcPr>
            <w:tcW w:w="817" w:type="dxa"/>
            <w:tcBorders>
              <w:top w:val="single" w:sz="4" w:space="0" w:color="auto"/>
              <w:left w:val="nil"/>
              <w:bottom w:val="single" w:sz="4" w:space="0" w:color="auto"/>
              <w:right w:val="single" w:sz="4" w:space="0" w:color="auto"/>
            </w:tcBorders>
            <w:shd w:val="clear" w:color="auto" w:fill="C6EFCE"/>
            <w:noWrap/>
          </w:tcPr>
          <w:p w14:paraId="37874F26" w14:textId="77777777" w:rsidR="00553430" w:rsidRDefault="00212577">
            <w:pPr>
              <w:pStyle w:val="P68B1DB1-Normal102"/>
              <w:spacing w:after="200" w:line="276" w:lineRule="auto"/>
              <w:jc w:val="center"/>
              <w:rPr>
                <w:rFonts w:eastAsia="Calibri"/>
                <w:noProof/>
                <w:color w:val="000000" w:themeColor="text1"/>
              </w:rPr>
            </w:pPr>
            <w:r>
              <w:rPr>
                <w:noProof/>
              </w:rPr>
              <w:t> </w:t>
            </w:r>
          </w:p>
        </w:tc>
        <w:tc>
          <w:tcPr>
            <w:tcW w:w="1167" w:type="dxa"/>
            <w:tcBorders>
              <w:top w:val="single" w:sz="4" w:space="0" w:color="auto"/>
              <w:left w:val="nil"/>
              <w:bottom w:val="single" w:sz="4" w:space="0" w:color="auto"/>
              <w:right w:val="single" w:sz="4" w:space="0" w:color="auto"/>
            </w:tcBorders>
            <w:shd w:val="clear" w:color="auto" w:fill="C6EFCE"/>
            <w:noWrap/>
          </w:tcPr>
          <w:p w14:paraId="5CF42F95" w14:textId="77777777" w:rsidR="00553430" w:rsidRDefault="00212577">
            <w:pPr>
              <w:pStyle w:val="P68B1DB1-Normal102"/>
              <w:spacing w:after="200" w:line="276" w:lineRule="auto"/>
              <w:jc w:val="center"/>
              <w:rPr>
                <w:rFonts w:eastAsia="Calibri"/>
                <w:noProof/>
                <w:color w:val="000000" w:themeColor="text1"/>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1ED24B9C" w14:textId="77777777" w:rsidR="00553430" w:rsidRDefault="00212577">
            <w:pPr>
              <w:pStyle w:val="P68B1DB1-Normal102"/>
              <w:spacing w:after="200" w:line="276" w:lineRule="auto"/>
              <w:jc w:val="center"/>
              <w:rPr>
                <w:rFonts w:eastAsia="Calibri"/>
                <w:noProof/>
                <w:color w:val="000000" w:themeColor="text1"/>
              </w:rPr>
            </w:pPr>
            <w:r>
              <w:rPr>
                <w:noProof/>
              </w:rPr>
              <w:t>2022</w:t>
            </w:r>
          </w:p>
        </w:tc>
        <w:tc>
          <w:tcPr>
            <w:tcW w:w="4220" w:type="dxa"/>
            <w:tcBorders>
              <w:top w:val="single" w:sz="4" w:space="0" w:color="auto"/>
              <w:left w:val="nil"/>
              <w:bottom w:val="single" w:sz="4" w:space="0" w:color="auto"/>
              <w:right w:val="single" w:sz="4" w:space="0" w:color="auto"/>
            </w:tcBorders>
            <w:shd w:val="clear" w:color="auto" w:fill="C6EFCE"/>
            <w:noWrap/>
          </w:tcPr>
          <w:p w14:paraId="04AB6968" w14:textId="77777777" w:rsidR="00553430" w:rsidRDefault="00212577">
            <w:pPr>
              <w:pStyle w:val="P68B1DB1-Normal102"/>
              <w:spacing w:after="240" w:line="276" w:lineRule="auto"/>
              <w:rPr>
                <w:noProof/>
                <w:color w:val="000000" w:themeColor="text1"/>
              </w:rPr>
            </w:pPr>
            <w:r>
              <w:rPr>
                <w:noProof/>
              </w:rPr>
              <w:t>Les modifications apportées à la loi sur le système de planification stratégique et de gestion du développement de la République de Croatie et aux règlements qui l’accompagnent améliorent l’efficacité de la planification stratégi</w:t>
            </w:r>
            <w:r>
              <w:rPr>
                <w:noProof/>
              </w:rPr>
              <w:t>que et la professionnalisation de l’élaboration des documents stratégiques. Il comprend également une base pour les descriptions de poste et les compétences des fonctionnaires en matière de planification stratégique;</w:t>
            </w:r>
          </w:p>
        </w:tc>
      </w:tr>
      <w:tr w:rsidR="00553430" w14:paraId="57612A92" w14:textId="77777777" w:rsidTr="0019760D">
        <w:trPr>
          <w:trHeight w:val="300"/>
        </w:trPr>
        <w:tc>
          <w:tcPr>
            <w:tcW w:w="851" w:type="dxa"/>
            <w:tcBorders>
              <w:top w:val="nil"/>
              <w:left w:val="single" w:sz="4" w:space="0" w:color="auto"/>
              <w:bottom w:val="single" w:sz="4" w:space="0" w:color="auto"/>
              <w:right w:val="single" w:sz="4" w:space="0" w:color="auto"/>
            </w:tcBorders>
            <w:shd w:val="clear" w:color="auto" w:fill="C6EFCE"/>
            <w:noWrap/>
          </w:tcPr>
          <w:p w14:paraId="33C6BD3D" w14:textId="77777777" w:rsidR="00553430" w:rsidRDefault="00212577">
            <w:pPr>
              <w:pStyle w:val="P68B1DB1-Normal102"/>
              <w:spacing w:after="200" w:line="276" w:lineRule="auto"/>
              <w:jc w:val="center"/>
              <w:rPr>
                <w:rFonts w:eastAsia="Calibri"/>
                <w:noProof/>
                <w:color w:val="000000" w:themeColor="text1"/>
              </w:rPr>
            </w:pPr>
            <w:r>
              <w:rPr>
                <w:noProof/>
              </w:rPr>
              <w:t>151</w:t>
            </w:r>
          </w:p>
        </w:tc>
        <w:tc>
          <w:tcPr>
            <w:tcW w:w="1243" w:type="dxa"/>
            <w:tcBorders>
              <w:top w:val="nil"/>
              <w:left w:val="nil"/>
              <w:bottom w:val="single" w:sz="4" w:space="0" w:color="auto"/>
              <w:right w:val="single" w:sz="4" w:space="0" w:color="auto"/>
            </w:tcBorders>
            <w:shd w:val="clear" w:color="auto" w:fill="C6EFCE"/>
            <w:noWrap/>
          </w:tcPr>
          <w:p w14:paraId="6A569790" w14:textId="77777777" w:rsidR="00553430" w:rsidRDefault="00212577">
            <w:pPr>
              <w:pStyle w:val="P68B1DB1-Normal102"/>
              <w:spacing w:after="200" w:line="276" w:lineRule="auto"/>
              <w:jc w:val="center"/>
              <w:rPr>
                <w:rFonts w:eastAsia="Calibri"/>
                <w:noProof/>
                <w:color w:val="000000" w:themeColor="text1"/>
              </w:rPr>
            </w:pPr>
            <w:r>
              <w:rPr>
                <w:noProof/>
              </w:rPr>
              <w:t>C2.1. R1</w:t>
            </w:r>
          </w:p>
        </w:tc>
        <w:tc>
          <w:tcPr>
            <w:tcW w:w="1124" w:type="dxa"/>
            <w:tcBorders>
              <w:top w:val="nil"/>
              <w:left w:val="nil"/>
              <w:bottom w:val="single" w:sz="4" w:space="0" w:color="auto"/>
              <w:right w:val="single" w:sz="4" w:space="0" w:color="auto"/>
            </w:tcBorders>
            <w:shd w:val="clear" w:color="auto" w:fill="C6EFCE"/>
            <w:noWrap/>
          </w:tcPr>
          <w:p w14:paraId="17015751" w14:textId="77777777" w:rsidR="00553430" w:rsidRDefault="00212577">
            <w:pPr>
              <w:pStyle w:val="P68B1DB1-Normal102"/>
              <w:spacing w:after="200" w:line="276" w:lineRule="auto"/>
              <w:jc w:val="center"/>
              <w:rPr>
                <w:rFonts w:eastAsia="Calibri"/>
                <w:noProof/>
                <w:color w:val="000000" w:themeColor="text1"/>
              </w:rPr>
            </w:pPr>
            <w:r>
              <w:rPr>
                <w:noProof/>
              </w:rPr>
              <w:t>M</w:t>
            </w:r>
          </w:p>
        </w:tc>
        <w:tc>
          <w:tcPr>
            <w:tcW w:w="1784" w:type="dxa"/>
            <w:tcBorders>
              <w:top w:val="nil"/>
              <w:left w:val="nil"/>
              <w:bottom w:val="single" w:sz="4" w:space="0" w:color="auto"/>
              <w:right w:val="single" w:sz="4" w:space="0" w:color="auto"/>
            </w:tcBorders>
            <w:shd w:val="clear" w:color="auto" w:fill="C6EFCE"/>
            <w:noWrap/>
          </w:tcPr>
          <w:p w14:paraId="297F7666" w14:textId="77777777" w:rsidR="00553430" w:rsidRDefault="00212577">
            <w:pPr>
              <w:pStyle w:val="P68B1DB1-Normal102"/>
              <w:spacing w:after="200" w:line="276" w:lineRule="auto"/>
              <w:rPr>
                <w:rFonts w:eastAsia="Calibri"/>
                <w:noProof/>
                <w:color w:val="000000" w:themeColor="text1"/>
              </w:rPr>
            </w:pPr>
            <w:r>
              <w:rPr>
                <w:noProof/>
              </w:rPr>
              <w:t xml:space="preserve">Modifications à la Loi </w:t>
            </w:r>
            <w:r>
              <w:rPr>
                <w:noProof/>
              </w:rPr>
              <w:t>sur l'évaluation d'impact de la réglementation</w:t>
            </w:r>
          </w:p>
        </w:tc>
        <w:tc>
          <w:tcPr>
            <w:tcW w:w="1912" w:type="dxa"/>
            <w:tcBorders>
              <w:top w:val="nil"/>
              <w:left w:val="nil"/>
              <w:bottom w:val="single" w:sz="4" w:space="0" w:color="auto"/>
              <w:right w:val="single" w:sz="4" w:space="0" w:color="auto"/>
            </w:tcBorders>
            <w:shd w:val="clear" w:color="auto" w:fill="C6EFCE"/>
            <w:noWrap/>
          </w:tcPr>
          <w:p w14:paraId="19EDF4D5" w14:textId="77777777" w:rsidR="00553430" w:rsidRDefault="00212577">
            <w:pPr>
              <w:pStyle w:val="P68B1DB1-Normal102"/>
              <w:spacing w:after="200" w:line="276" w:lineRule="auto"/>
              <w:rPr>
                <w:rFonts w:eastAsia="Calibri"/>
                <w:noProof/>
                <w:color w:val="000000" w:themeColor="text1"/>
              </w:rPr>
            </w:pPr>
            <w:r>
              <w:rPr>
                <w:noProof/>
              </w:rPr>
              <w:t xml:space="preserve">Entrée en vigueur de l’acte modifiant la loi sur l’analyse d’impact de la réglementation </w:t>
            </w:r>
          </w:p>
        </w:tc>
        <w:tc>
          <w:tcPr>
            <w:tcW w:w="1134" w:type="dxa"/>
            <w:tcBorders>
              <w:top w:val="nil"/>
              <w:left w:val="nil"/>
              <w:bottom w:val="single" w:sz="4" w:space="0" w:color="auto"/>
              <w:right w:val="single" w:sz="4" w:space="0" w:color="auto"/>
            </w:tcBorders>
            <w:shd w:val="clear" w:color="auto" w:fill="C6EFCE"/>
            <w:noWrap/>
          </w:tcPr>
          <w:p w14:paraId="58D657AF" w14:textId="77777777" w:rsidR="00553430" w:rsidRDefault="00212577">
            <w:pPr>
              <w:pStyle w:val="P68B1DB1-Normal102"/>
              <w:spacing w:after="200" w:line="276" w:lineRule="auto"/>
              <w:jc w:val="center"/>
              <w:rPr>
                <w:rFonts w:eastAsia="Calibri"/>
                <w:noProof/>
                <w:color w:val="000000" w:themeColor="text1"/>
              </w:rPr>
            </w:pPr>
            <w:r>
              <w:rPr>
                <w:noProof/>
              </w:rPr>
              <w:t> </w:t>
            </w:r>
          </w:p>
        </w:tc>
        <w:tc>
          <w:tcPr>
            <w:tcW w:w="1025" w:type="dxa"/>
            <w:tcBorders>
              <w:top w:val="nil"/>
              <w:left w:val="nil"/>
              <w:bottom w:val="single" w:sz="4" w:space="0" w:color="auto"/>
              <w:right w:val="single" w:sz="4" w:space="0" w:color="auto"/>
            </w:tcBorders>
            <w:shd w:val="clear" w:color="auto" w:fill="C6EFCE"/>
            <w:noWrap/>
          </w:tcPr>
          <w:p w14:paraId="31EEB947" w14:textId="77777777" w:rsidR="00553430" w:rsidRDefault="00212577">
            <w:pPr>
              <w:pStyle w:val="P68B1DB1-Normal102"/>
              <w:rPr>
                <w:rFonts w:eastAsia="Calibri"/>
                <w:noProof/>
              </w:rPr>
            </w:pPr>
            <w:r>
              <w:rPr>
                <w:noProof/>
              </w:rPr>
              <w:t> </w:t>
            </w:r>
          </w:p>
        </w:tc>
        <w:tc>
          <w:tcPr>
            <w:tcW w:w="817" w:type="dxa"/>
            <w:tcBorders>
              <w:top w:val="nil"/>
              <w:left w:val="nil"/>
              <w:bottom w:val="single" w:sz="4" w:space="0" w:color="auto"/>
              <w:right w:val="single" w:sz="4" w:space="0" w:color="auto"/>
            </w:tcBorders>
            <w:shd w:val="clear" w:color="auto" w:fill="C6EFCE"/>
            <w:noWrap/>
          </w:tcPr>
          <w:p w14:paraId="2E46B76E" w14:textId="77777777" w:rsidR="00553430" w:rsidRDefault="00212577">
            <w:pPr>
              <w:pStyle w:val="P68B1DB1-Normal102"/>
              <w:spacing w:after="200" w:line="276" w:lineRule="auto"/>
              <w:jc w:val="center"/>
              <w:rPr>
                <w:rFonts w:eastAsia="Calibri"/>
                <w:noProof/>
                <w:color w:val="000000" w:themeColor="text1"/>
              </w:rPr>
            </w:pPr>
            <w:r>
              <w:rPr>
                <w:noProof/>
              </w:rPr>
              <w:t> </w:t>
            </w:r>
          </w:p>
        </w:tc>
        <w:tc>
          <w:tcPr>
            <w:tcW w:w="1167" w:type="dxa"/>
            <w:tcBorders>
              <w:top w:val="nil"/>
              <w:left w:val="nil"/>
              <w:bottom w:val="single" w:sz="4" w:space="0" w:color="auto"/>
              <w:right w:val="single" w:sz="4" w:space="0" w:color="auto"/>
            </w:tcBorders>
            <w:shd w:val="clear" w:color="auto" w:fill="C6EFCE"/>
            <w:noWrap/>
          </w:tcPr>
          <w:p w14:paraId="69F7BA3F" w14:textId="77777777" w:rsidR="00553430" w:rsidRDefault="00212577">
            <w:pPr>
              <w:pStyle w:val="P68B1DB1-Normal102"/>
              <w:spacing w:after="200" w:line="276" w:lineRule="auto"/>
              <w:jc w:val="center"/>
              <w:rPr>
                <w:rFonts w:eastAsia="Calibri"/>
                <w:noProof/>
                <w:color w:val="000000" w:themeColor="text1"/>
              </w:rPr>
            </w:pPr>
            <w:r>
              <w:rPr>
                <w:noProof/>
              </w:rPr>
              <w:t>T4</w:t>
            </w:r>
          </w:p>
        </w:tc>
        <w:tc>
          <w:tcPr>
            <w:tcW w:w="709" w:type="dxa"/>
            <w:tcBorders>
              <w:top w:val="nil"/>
              <w:left w:val="nil"/>
              <w:bottom w:val="single" w:sz="4" w:space="0" w:color="auto"/>
              <w:right w:val="single" w:sz="4" w:space="0" w:color="auto"/>
            </w:tcBorders>
            <w:shd w:val="clear" w:color="auto" w:fill="C6EFCE"/>
            <w:noWrap/>
          </w:tcPr>
          <w:p w14:paraId="5FB0E112" w14:textId="77777777" w:rsidR="00553430" w:rsidRDefault="00212577">
            <w:pPr>
              <w:pStyle w:val="P68B1DB1-Normal102"/>
              <w:spacing w:after="200" w:line="276" w:lineRule="auto"/>
              <w:jc w:val="center"/>
              <w:rPr>
                <w:rFonts w:eastAsia="Calibri"/>
                <w:noProof/>
                <w:color w:val="000000" w:themeColor="text1"/>
              </w:rPr>
            </w:pPr>
            <w:r>
              <w:rPr>
                <w:noProof/>
              </w:rPr>
              <w:t>2023</w:t>
            </w:r>
          </w:p>
        </w:tc>
        <w:tc>
          <w:tcPr>
            <w:tcW w:w="4220" w:type="dxa"/>
            <w:tcBorders>
              <w:top w:val="nil"/>
              <w:left w:val="nil"/>
              <w:bottom w:val="single" w:sz="4" w:space="0" w:color="auto"/>
              <w:right w:val="single" w:sz="4" w:space="0" w:color="auto"/>
            </w:tcBorders>
            <w:shd w:val="clear" w:color="auto" w:fill="C6EFCE"/>
            <w:noWrap/>
          </w:tcPr>
          <w:p w14:paraId="1FB755BE" w14:textId="77777777" w:rsidR="00553430" w:rsidRDefault="00212577">
            <w:pPr>
              <w:pStyle w:val="P68B1DB1-Normal102"/>
              <w:spacing w:after="200" w:line="276" w:lineRule="auto"/>
              <w:rPr>
                <w:rFonts w:eastAsia="Calibri"/>
                <w:noProof/>
                <w:color w:val="000000" w:themeColor="text1"/>
              </w:rPr>
            </w:pPr>
            <w:r>
              <w:rPr>
                <w:noProof/>
              </w:rPr>
              <w:t xml:space="preserve">Les modifications apportées à la loi sur l’analyse d’impact de la réglementation simplifient les </w:t>
            </w:r>
            <w:r>
              <w:rPr>
                <w:noProof/>
              </w:rPr>
              <w:t>processus d’analyse d’impact de la réglementation ex post, y compris la méthodologie et les procédures, sur la base des recommandations de l’instrument d’appui technique du projet relatives à l’analyse d’impact de la réglementation ex post. Les modificatio</w:t>
            </w:r>
            <w:r>
              <w:rPr>
                <w:noProof/>
              </w:rPr>
              <w:t>ns comprennent également des modifications des descriptions de poste et des compétences des fonctionnaires liées à l’analyse d’impact en vue de la professionnalisation de la coordination, de la rédaction et du suivi des effets de la réglementation dans l’a</w:t>
            </w:r>
            <w:r>
              <w:rPr>
                <w:noProof/>
              </w:rPr>
              <w:t>dministration publique.</w:t>
            </w:r>
          </w:p>
        </w:tc>
      </w:tr>
      <w:tr w:rsidR="00553430" w14:paraId="5249A98C" w14:textId="77777777" w:rsidTr="0019760D">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5AB06FE" w14:textId="77777777" w:rsidR="00553430" w:rsidRDefault="00212577">
            <w:pPr>
              <w:pStyle w:val="P68B1DB1-Normal102"/>
              <w:spacing w:after="0" w:line="276" w:lineRule="auto"/>
              <w:jc w:val="center"/>
              <w:rPr>
                <w:rFonts w:eastAsia="Calibri"/>
                <w:noProof/>
                <w:color w:val="000000" w:themeColor="text1"/>
              </w:rPr>
            </w:pPr>
            <w:r>
              <w:rPr>
                <w:noProof/>
              </w:rPr>
              <w:t>152</w:t>
            </w:r>
          </w:p>
        </w:tc>
        <w:tc>
          <w:tcPr>
            <w:tcW w:w="1243" w:type="dxa"/>
            <w:tcBorders>
              <w:top w:val="single" w:sz="4" w:space="0" w:color="auto"/>
              <w:left w:val="nil"/>
              <w:bottom w:val="single" w:sz="4" w:space="0" w:color="auto"/>
              <w:right w:val="single" w:sz="4" w:space="0" w:color="auto"/>
            </w:tcBorders>
            <w:shd w:val="clear" w:color="auto" w:fill="C6EFCE"/>
            <w:noWrap/>
          </w:tcPr>
          <w:p w14:paraId="4D3823F3" w14:textId="77777777" w:rsidR="00553430" w:rsidRDefault="00212577">
            <w:pPr>
              <w:pStyle w:val="P68B1DB1-Normal102"/>
              <w:spacing w:after="200" w:line="276" w:lineRule="auto"/>
              <w:jc w:val="center"/>
              <w:rPr>
                <w:rFonts w:eastAsia="Calibri"/>
                <w:noProof/>
                <w:color w:val="000000" w:themeColor="text1"/>
              </w:rPr>
            </w:pPr>
            <w:r>
              <w:rPr>
                <w:noProof/>
              </w:rPr>
              <w:t>C2.1. R1</w:t>
            </w:r>
          </w:p>
        </w:tc>
        <w:tc>
          <w:tcPr>
            <w:tcW w:w="1124" w:type="dxa"/>
            <w:tcBorders>
              <w:top w:val="single" w:sz="4" w:space="0" w:color="auto"/>
              <w:left w:val="nil"/>
              <w:bottom w:val="single" w:sz="4" w:space="0" w:color="auto"/>
              <w:right w:val="single" w:sz="4" w:space="0" w:color="auto"/>
            </w:tcBorders>
            <w:shd w:val="clear" w:color="auto" w:fill="C6EFCE"/>
            <w:noWrap/>
          </w:tcPr>
          <w:p w14:paraId="7DC80DC5" w14:textId="77777777" w:rsidR="00553430" w:rsidRDefault="00212577">
            <w:pPr>
              <w:pStyle w:val="P68B1DB1-Normal102"/>
              <w:spacing w:after="200" w:line="276" w:lineRule="auto"/>
              <w:jc w:val="center"/>
              <w:rPr>
                <w:rFonts w:eastAsia="Calibri"/>
                <w:noProof/>
                <w:color w:val="000000" w:themeColor="text1"/>
              </w:rPr>
            </w:pPr>
            <w:r>
              <w:rPr>
                <w:noProof/>
              </w:rPr>
              <w:t>T</w:t>
            </w:r>
          </w:p>
        </w:tc>
        <w:tc>
          <w:tcPr>
            <w:tcW w:w="1784" w:type="dxa"/>
            <w:tcBorders>
              <w:top w:val="single" w:sz="4" w:space="0" w:color="auto"/>
              <w:left w:val="nil"/>
              <w:bottom w:val="single" w:sz="4" w:space="0" w:color="auto"/>
              <w:right w:val="single" w:sz="4" w:space="0" w:color="auto"/>
            </w:tcBorders>
            <w:shd w:val="clear" w:color="auto" w:fill="C6EFCE"/>
            <w:noWrap/>
          </w:tcPr>
          <w:p w14:paraId="7EC53F5D" w14:textId="3FAEB14F" w:rsidR="00553430" w:rsidRDefault="00212577">
            <w:pPr>
              <w:pStyle w:val="P68B1DB1-Normal102"/>
              <w:spacing w:after="200" w:line="276" w:lineRule="auto"/>
              <w:rPr>
                <w:rFonts w:eastAsia="Calibri"/>
                <w:noProof/>
                <w:color w:val="000000" w:themeColor="text1"/>
              </w:rPr>
            </w:pPr>
            <w:r>
              <w:rPr>
                <w:noProof/>
              </w:rPr>
              <w:t>Réduction de la charge administrative qui pèse directement sur les citoyens, grâce à la numérisation et à la simplification des procédures</w:t>
            </w:r>
          </w:p>
        </w:tc>
        <w:tc>
          <w:tcPr>
            <w:tcW w:w="1912" w:type="dxa"/>
            <w:tcBorders>
              <w:top w:val="single" w:sz="4" w:space="0" w:color="auto"/>
              <w:left w:val="nil"/>
              <w:bottom w:val="single" w:sz="4" w:space="0" w:color="auto"/>
              <w:right w:val="single" w:sz="4" w:space="0" w:color="auto"/>
            </w:tcBorders>
            <w:shd w:val="clear" w:color="auto" w:fill="C6EFCE"/>
            <w:noWrap/>
          </w:tcPr>
          <w:p w14:paraId="701CDC47" w14:textId="77777777" w:rsidR="00553430" w:rsidRDefault="00212577">
            <w:pPr>
              <w:pStyle w:val="P68B1DB1-Normal102"/>
              <w:spacing w:after="200" w:line="276" w:lineRule="auto"/>
              <w:rPr>
                <w:rFonts w:eastAsia="Calibri"/>
                <w:noProof/>
                <w:color w:val="000000" w:themeColor="text1"/>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1E3B759F" w14:textId="77777777" w:rsidR="00553430" w:rsidRDefault="00212577">
            <w:pPr>
              <w:pStyle w:val="P68B1DB1-Normal102"/>
              <w:spacing w:after="200" w:line="276" w:lineRule="auto"/>
              <w:jc w:val="center"/>
              <w:rPr>
                <w:rFonts w:eastAsia="Calibri"/>
                <w:noProof/>
                <w:color w:val="000000" w:themeColor="text1"/>
              </w:rPr>
            </w:pPr>
            <w:r>
              <w:rPr>
                <w:noProof/>
              </w:rPr>
              <w:t>% (pourcentage)</w:t>
            </w:r>
          </w:p>
        </w:tc>
        <w:tc>
          <w:tcPr>
            <w:tcW w:w="1025" w:type="dxa"/>
            <w:tcBorders>
              <w:top w:val="nil"/>
              <w:left w:val="nil"/>
              <w:bottom w:val="single" w:sz="4" w:space="0" w:color="auto"/>
              <w:right w:val="single" w:sz="4" w:space="0" w:color="auto"/>
            </w:tcBorders>
            <w:shd w:val="clear" w:color="auto" w:fill="C6EFCE"/>
            <w:noWrap/>
          </w:tcPr>
          <w:p w14:paraId="6A1C28E7" w14:textId="77777777" w:rsidR="00553430" w:rsidRDefault="00212577">
            <w:pPr>
              <w:pStyle w:val="P68B1DB1-Normal102"/>
              <w:spacing w:line="276" w:lineRule="auto"/>
              <w:jc w:val="center"/>
              <w:rPr>
                <w:noProof/>
              </w:rPr>
            </w:pPr>
            <w:r>
              <w:rPr>
                <w:noProof/>
              </w:rPr>
              <w:t>0</w:t>
            </w:r>
          </w:p>
          <w:p w14:paraId="555A2572" w14:textId="77777777" w:rsidR="00553430" w:rsidRDefault="00553430">
            <w:pPr>
              <w:spacing w:line="276" w:lineRule="auto"/>
              <w:rPr>
                <w:rFonts w:ascii="Times New Roman" w:eastAsia="Calibri" w:hAnsi="Times New Roman" w:cs="Times New Roman"/>
                <w:noProof/>
                <w:color w:val="000000" w:themeColor="text1"/>
                <w:sz w:val="20"/>
                <w:szCs w:val="20"/>
              </w:rPr>
            </w:pPr>
          </w:p>
        </w:tc>
        <w:tc>
          <w:tcPr>
            <w:tcW w:w="817" w:type="dxa"/>
            <w:tcBorders>
              <w:top w:val="nil"/>
              <w:left w:val="nil"/>
              <w:bottom w:val="single" w:sz="4" w:space="0" w:color="auto"/>
              <w:right w:val="single" w:sz="4" w:space="0" w:color="auto"/>
            </w:tcBorders>
            <w:shd w:val="clear" w:color="auto" w:fill="C6EFCE"/>
            <w:noWrap/>
          </w:tcPr>
          <w:p w14:paraId="7E5B6618" w14:textId="77777777" w:rsidR="00553430" w:rsidRDefault="00212577">
            <w:pPr>
              <w:pStyle w:val="P68B1DB1-Normal102"/>
              <w:spacing w:after="200" w:line="276" w:lineRule="auto"/>
              <w:jc w:val="center"/>
              <w:rPr>
                <w:rFonts w:eastAsia="Calibri"/>
                <w:noProof/>
                <w:color w:val="000000" w:themeColor="text1"/>
              </w:rPr>
            </w:pPr>
            <w:r>
              <w:rPr>
                <w:noProof/>
              </w:rPr>
              <w:t>20</w:t>
            </w:r>
          </w:p>
        </w:tc>
        <w:tc>
          <w:tcPr>
            <w:tcW w:w="1167" w:type="dxa"/>
            <w:tcBorders>
              <w:top w:val="nil"/>
              <w:left w:val="nil"/>
              <w:bottom w:val="single" w:sz="4" w:space="0" w:color="auto"/>
              <w:right w:val="single" w:sz="4" w:space="0" w:color="auto"/>
            </w:tcBorders>
            <w:shd w:val="clear" w:color="auto" w:fill="C6EFCE"/>
            <w:noWrap/>
          </w:tcPr>
          <w:p w14:paraId="1368A533" w14:textId="77777777" w:rsidR="00553430" w:rsidRDefault="00212577">
            <w:pPr>
              <w:pStyle w:val="P68B1DB1-Normal102"/>
              <w:spacing w:after="200" w:line="276" w:lineRule="auto"/>
              <w:jc w:val="center"/>
              <w:rPr>
                <w:rFonts w:eastAsia="Calibri"/>
                <w:noProof/>
                <w:color w:val="000000" w:themeColor="text1"/>
              </w:rPr>
            </w:pPr>
            <w:r>
              <w:rPr>
                <w:noProof/>
              </w:rPr>
              <w:t>T4</w:t>
            </w:r>
          </w:p>
        </w:tc>
        <w:tc>
          <w:tcPr>
            <w:tcW w:w="709" w:type="dxa"/>
            <w:tcBorders>
              <w:top w:val="nil"/>
              <w:left w:val="nil"/>
              <w:bottom w:val="single" w:sz="4" w:space="0" w:color="auto"/>
              <w:right w:val="single" w:sz="4" w:space="0" w:color="auto"/>
            </w:tcBorders>
            <w:shd w:val="clear" w:color="auto" w:fill="C6EFCE"/>
            <w:noWrap/>
          </w:tcPr>
          <w:p w14:paraId="30966062" w14:textId="77777777" w:rsidR="00553430" w:rsidRDefault="00212577">
            <w:pPr>
              <w:pStyle w:val="P68B1DB1-Normal102"/>
              <w:spacing w:after="200" w:line="276" w:lineRule="auto"/>
              <w:jc w:val="center"/>
              <w:rPr>
                <w:rFonts w:eastAsia="Calibri"/>
                <w:noProof/>
                <w:color w:val="000000" w:themeColor="text1"/>
              </w:rPr>
            </w:pPr>
            <w:r>
              <w:rPr>
                <w:noProof/>
              </w:rPr>
              <w:t>2025</w:t>
            </w:r>
          </w:p>
        </w:tc>
        <w:tc>
          <w:tcPr>
            <w:tcW w:w="4220" w:type="dxa"/>
            <w:tcBorders>
              <w:top w:val="single" w:sz="4" w:space="0" w:color="auto"/>
              <w:left w:val="nil"/>
              <w:bottom w:val="single" w:sz="4" w:space="0" w:color="auto"/>
              <w:right w:val="single" w:sz="4" w:space="0" w:color="auto"/>
            </w:tcBorders>
            <w:shd w:val="clear" w:color="auto" w:fill="C6EFCE"/>
            <w:noWrap/>
          </w:tcPr>
          <w:p w14:paraId="13FC54B0" w14:textId="77777777" w:rsidR="00553430" w:rsidRDefault="00212577">
            <w:pPr>
              <w:pStyle w:val="P68B1DB1-Normal102"/>
              <w:spacing w:after="240" w:line="276" w:lineRule="auto"/>
              <w:rPr>
                <w:rFonts w:eastAsia="Calibri"/>
                <w:noProof/>
                <w:color w:val="000000" w:themeColor="text1"/>
              </w:rPr>
            </w:pPr>
            <w:r>
              <w:rPr>
                <w:noProof/>
              </w:rPr>
              <w:t xml:space="preserve">Réduction d’au moins 20 % de la charge </w:t>
            </w:r>
            <w:r>
              <w:rPr>
                <w:noProof/>
              </w:rPr>
              <w:t>administrative par rapport au 31 décembre 2019, pour les citoyens, grâce à l’utilisation de la méthodologie du modèle de coûts standard (MCS), à la numérisation et/ou à la simplification des procédures.</w:t>
            </w:r>
          </w:p>
        </w:tc>
      </w:tr>
      <w:tr w:rsidR="00553430" w14:paraId="112FDAC9" w14:textId="77777777" w:rsidTr="0019760D">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EFA2FE1" w14:textId="77777777" w:rsidR="00553430" w:rsidRDefault="00212577">
            <w:pPr>
              <w:pStyle w:val="P68B1DB1-Normal102"/>
              <w:spacing w:after="0" w:line="276" w:lineRule="auto"/>
              <w:jc w:val="center"/>
              <w:rPr>
                <w:rFonts w:eastAsia="Calibri"/>
                <w:noProof/>
                <w:color w:val="000000" w:themeColor="text1"/>
              </w:rPr>
            </w:pPr>
            <w:r>
              <w:rPr>
                <w:noProof/>
              </w:rPr>
              <w:t>153</w:t>
            </w:r>
          </w:p>
        </w:tc>
        <w:tc>
          <w:tcPr>
            <w:tcW w:w="1243" w:type="dxa"/>
            <w:tcBorders>
              <w:top w:val="single" w:sz="4" w:space="0" w:color="auto"/>
              <w:left w:val="nil"/>
              <w:bottom w:val="single" w:sz="4" w:space="0" w:color="auto"/>
              <w:right w:val="single" w:sz="4" w:space="0" w:color="auto"/>
            </w:tcBorders>
            <w:shd w:val="clear" w:color="auto" w:fill="C6EFCE"/>
            <w:noWrap/>
          </w:tcPr>
          <w:p w14:paraId="0F0BCAA5" w14:textId="77777777" w:rsidR="00553430" w:rsidRDefault="00212577">
            <w:pPr>
              <w:pStyle w:val="P68B1DB1-Normal102"/>
              <w:spacing w:after="200" w:line="276" w:lineRule="auto"/>
              <w:jc w:val="center"/>
              <w:rPr>
                <w:rFonts w:eastAsia="Calibri"/>
                <w:noProof/>
                <w:color w:val="000000" w:themeColor="text1"/>
              </w:rPr>
            </w:pPr>
            <w:r>
              <w:rPr>
                <w:noProof/>
              </w:rPr>
              <w:t>C2.1. R1-I1</w:t>
            </w:r>
          </w:p>
        </w:tc>
        <w:tc>
          <w:tcPr>
            <w:tcW w:w="1124" w:type="dxa"/>
            <w:tcBorders>
              <w:top w:val="single" w:sz="4" w:space="0" w:color="auto"/>
              <w:left w:val="nil"/>
              <w:bottom w:val="single" w:sz="4" w:space="0" w:color="auto"/>
              <w:right w:val="single" w:sz="4" w:space="0" w:color="auto"/>
            </w:tcBorders>
            <w:shd w:val="clear" w:color="auto" w:fill="C6EFCE"/>
            <w:noWrap/>
          </w:tcPr>
          <w:p w14:paraId="5269D1D0" w14:textId="77777777" w:rsidR="00553430" w:rsidRDefault="00212577">
            <w:pPr>
              <w:pStyle w:val="P68B1DB1-Normal102"/>
              <w:spacing w:after="200" w:line="276" w:lineRule="auto"/>
              <w:jc w:val="center"/>
              <w:rPr>
                <w:rFonts w:eastAsia="Calibri"/>
                <w:noProof/>
                <w:color w:val="000000" w:themeColor="text1"/>
              </w:rPr>
            </w:pPr>
            <w:r>
              <w:rPr>
                <w:noProof/>
              </w:rPr>
              <w:t>T</w:t>
            </w:r>
          </w:p>
        </w:tc>
        <w:tc>
          <w:tcPr>
            <w:tcW w:w="1784" w:type="dxa"/>
            <w:tcBorders>
              <w:top w:val="single" w:sz="4" w:space="0" w:color="auto"/>
              <w:left w:val="nil"/>
              <w:bottom w:val="single" w:sz="4" w:space="0" w:color="auto"/>
              <w:right w:val="single" w:sz="4" w:space="0" w:color="auto"/>
            </w:tcBorders>
            <w:shd w:val="clear" w:color="auto" w:fill="C6EFCE"/>
            <w:noWrap/>
          </w:tcPr>
          <w:p w14:paraId="40A30968" w14:textId="77777777" w:rsidR="00553430" w:rsidRDefault="00212577">
            <w:pPr>
              <w:pStyle w:val="P68B1DB1-Normal102"/>
              <w:spacing w:after="200" w:line="276" w:lineRule="auto"/>
              <w:rPr>
                <w:rFonts w:eastAsia="Calibri"/>
                <w:noProof/>
                <w:color w:val="000000" w:themeColor="text1"/>
              </w:rPr>
            </w:pPr>
            <w:r>
              <w:rPr>
                <w:noProof/>
              </w:rPr>
              <w:t>Numérisation de la cartographie de tous les processus opérationnels dans le domaine de la planification stratégique et de l’analyse d’impact réglementaire</w:t>
            </w:r>
          </w:p>
        </w:tc>
        <w:tc>
          <w:tcPr>
            <w:tcW w:w="1912" w:type="dxa"/>
            <w:tcBorders>
              <w:top w:val="single" w:sz="4" w:space="0" w:color="auto"/>
              <w:left w:val="nil"/>
              <w:bottom w:val="single" w:sz="4" w:space="0" w:color="auto"/>
              <w:right w:val="single" w:sz="4" w:space="0" w:color="auto"/>
            </w:tcBorders>
            <w:shd w:val="clear" w:color="auto" w:fill="C6EFCE"/>
            <w:noWrap/>
          </w:tcPr>
          <w:p w14:paraId="49ACA363" w14:textId="77777777" w:rsidR="00553430" w:rsidRDefault="00212577">
            <w:pPr>
              <w:pStyle w:val="P68B1DB1-Normal102"/>
              <w:spacing w:after="200" w:line="276" w:lineRule="auto"/>
              <w:rPr>
                <w:rFonts w:eastAsia="Calibri"/>
                <w:noProof/>
                <w:color w:val="000000" w:themeColor="text1"/>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7F04E72D" w14:textId="77777777" w:rsidR="00553430" w:rsidRDefault="00212577">
            <w:pPr>
              <w:pStyle w:val="P68B1DB1-Normal102"/>
              <w:spacing w:after="200" w:line="276" w:lineRule="auto"/>
              <w:jc w:val="center"/>
              <w:rPr>
                <w:rFonts w:eastAsia="Calibri"/>
                <w:noProof/>
                <w:color w:val="000000" w:themeColor="text1"/>
              </w:rPr>
            </w:pPr>
            <w:r>
              <w:rPr>
                <w:noProof/>
              </w:rPr>
              <w:t>% (pourcentage)</w:t>
            </w:r>
          </w:p>
        </w:tc>
        <w:tc>
          <w:tcPr>
            <w:tcW w:w="1025" w:type="dxa"/>
            <w:tcBorders>
              <w:top w:val="single" w:sz="4" w:space="0" w:color="auto"/>
              <w:left w:val="nil"/>
              <w:bottom w:val="single" w:sz="4" w:space="0" w:color="auto"/>
              <w:right w:val="single" w:sz="4" w:space="0" w:color="auto"/>
            </w:tcBorders>
            <w:shd w:val="clear" w:color="auto" w:fill="C6EFCE"/>
            <w:noWrap/>
          </w:tcPr>
          <w:p w14:paraId="7A259DDC" w14:textId="77777777" w:rsidR="00553430" w:rsidRDefault="00212577">
            <w:pPr>
              <w:pStyle w:val="P68B1DB1-Normal102"/>
              <w:spacing w:after="200" w:line="276" w:lineRule="auto"/>
              <w:jc w:val="center"/>
              <w:rPr>
                <w:rFonts w:eastAsia="Calibri"/>
                <w:noProof/>
                <w:color w:val="000000" w:themeColor="text1"/>
              </w:rPr>
            </w:pPr>
            <w:r>
              <w:rPr>
                <w:noProof/>
              </w:rPr>
              <w:t>0</w:t>
            </w:r>
          </w:p>
        </w:tc>
        <w:tc>
          <w:tcPr>
            <w:tcW w:w="817" w:type="dxa"/>
            <w:tcBorders>
              <w:top w:val="single" w:sz="4" w:space="0" w:color="auto"/>
              <w:left w:val="nil"/>
              <w:bottom w:val="single" w:sz="4" w:space="0" w:color="auto"/>
              <w:right w:val="single" w:sz="4" w:space="0" w:color="auto"/>
            </w:tcBorders>
            <w:shd w:val="clear" w:color="auto" w:fill="C6EFCE"/>
            <w:noWrap/>
          </w:tcPr>
          <w:p w14:paraId="1025EC26" w14:textId="77777777" w:rsidR="00553430" w:rsidRDefault="00212577">
            <w:pPr>
              <w:pStyle w:val="P68B1DB1-Normal102"/>
              <w:spacing w:after="200" w:line="276" w:lineRule="auto"/>
              <w:jc w:val="center"/>
              <w:rPr>
                <w:rFonts w:eastAsia="Calibri"/>
                <w:noProof/>
                <w:color w:val="000000" w:themeColor="text1"/>
              </w:rPr>
            </w:pPr>
            <w:r>
              <w:rPr>
                <w:noProof/>
              </w:rPr>
              <w:t>100</w:t>
            </w:r>
          </w:p>
        </w:tc>
        <w:tc>
          <w:tcPr>
            <w:tcW w:w="1167" w:type="dxa"/>
            <w:tcBorders>
              <w:top w:val="single" w:sz="4" w:space="0" w:color="auto"/>
              <w:left w:val="nil"/>
              <w:bottom w:val="single" w:sz="4" w:space="0" w:color="auto"/>
              <w:right w:val="single" w:sz="4" w:space="0" w:color="auto"/>
            </w:tcBorders>
            <w:shd w:val="clear" w:color="auto" w:fill="C6EFCE"/>
            <w:noWrap/>
          </w:tcPr>
          <w:p w14:paraId="19E11E96" w14:textId="77777777" w:rsidR="00553430" w:rsidRDefault="00212577">
            <w:pPr>
              <w:pStyle w:val="P68B1DB1-Normal102"/>
              <w:spacing w:after="200" w:line="276" w:lineRule="auto"/>
              <w:jc w:val="center"/>
              <w:rPr>
                <w:rFonts w:eastAsia="Calibri"/>
                <w:noProof/>
                <w:color w:val="000000" w:themeColor="text1"/>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6C5F1D7B" w14:textId="77777777" w:rsidR="00553430" w:rsidRDefault="00212577">
            <w:pPr>
              <w:pStyle w:val="P68B1DB1-Normal102"/>
              <w:spacing w:after="200" w:line="276" w:lineRule="auto"/>
              <w:jc w:val="center"/>
              <w:rPr>
                <w:rFonts w:eastAsia="Calibri"/>
                <w:noProof/>
                <w:color w:val="000000" w:themeColor="text1"/>
              </w:rPr>
            </w:pPr>
            <w:r>
              <w:rPr>
                <w:noProof/>
              </w:rPr>
              <w:t>2025</w:t>
            </w:r>
          </w:p>
        </w:tc>
        <w:tc>
          <w:tcPr>
            <w:tcW w:w="4220" w:type="dxa"/>
            <w:tcBorders>
              <w:top w:val="single" w:sz="4" w:space="0" w:color="auto"/>
              <w:left w:val="nil"/>
              <w:bottom w:val="single" w:sz="4" w:space="0" w:color="auto"/>
              <w:right w:val="single" w:sz="4" w:space="0" w:color="auto"/>
            </w:tcBorders>
            <w:shd w:val="clear" w:color="auto" w:fill="C6EFCE"/>
            <w:noWrap/>
          </w:tcPr>
          <w:p w14:paraId="17FAF258" w14:textId="270C31EA" w:rsidR="00553430" w:rsidRDefault="00212577">
            <w:pPr>
              <w:pStyle w:val="P68B1DB1-Normal102"/>
              <w:spacing w:after="240" w:line="276" w:lineRule="auto"/>
              <w:rPr>
                <w:rFonts w:eastAsia="Calibri"/>
                <w:noProof/>
                <w:color w:val="000000" w:themeColor="text1"/>
              </w:rPr>
            </w:pPr>
            <w:r>
              <w:rPr>
                <w:noProof/>
              </w:rPr>
              <w:t xml:space="preserve">Tous les processus opérationnels cartographiés dans le domaine de la </w:t>
            </w:r>
            <w:r>
              <w:rPr>
                <w:noProof/>
              </w:rPr>
              <w:t>planification stratégique et de l’analyse d’impact réglementaire sont numérisés et utilisés par l’intermédiaire de la plateforme informatique (système informatique pour la numérisation du processus de planification stratégique et analyse d’impact réglement</w:t>
            </w:r>
            <w:r>
              <w:rPr>
                <w:noProof/>
              </w:rPr>
              <w:t>aire). Le système informatique permet de suivre l’élaboration des documents stratégiques, la mise en œuvre et l’évaluation des politiques publiques ainsi que l’analyse d’impact des règlements. Le système informatique comprend également un tableau de bord d</w:t>
            </w:r>
            <w:r>
              <w:rPr>
                <w:noProof/>
              </w:rPr>
              <w:t>onnant un aperçu des résultats de la mise en œuvre des politiques publiques.</w:t>
            </w:r>
          </w:p>
        </w:tc>
      </w:tr>
      <w:tr w:rsidR="00553430" w14:paraId="104ABD62" w14:textId="77777777" w:rsidTr="0019760D">
        <w:trPr>
          <w:trHeight w:val="300"/>
        </w:trPr>
        <w:tc>
          <w:tcPr>
            <w:tcW w:w="851" w:type="dxa"/>
            <w:tcBorders>
              <w:top w:val="nil"/>
              <w:left w:val="single" w:sz="4" w:space="0" w:color="auto"/>
              <w:bottom w:val="single" w:sz="4" w:space="0" w:color="auto"/>
              <w:right w:val="single" w:sz="4" w:space="0" w:color="auto"/>
            </w:tcBorders>
            <w:shd w:val="clear" w:color="auto" w:fill="C6EFCE"/>
            <w:noWrap/>
          </w:tcPr>
          <w:p w14:paraId="73E90910" w14:textId="77777777" w:rsidR="00553430" w:rsidRDefault="00212577">
            <w:pPr>
              <w:pStyle w:val="P68B1DB1-Normal102"/>
              <w:spacing w:after="0" w:line="276" w:lineRule="auto"/>
              <w:jc w:val="center"/>
              <w:rPr>
                <w:rFonts w:eastAsia="Calibri"/>
                <w:noProof/>
                <w:color w:val="000000" w:themeColor="text1"/>
              </w:rPr>
            </w:pPr>
            <w:r>
              <w:rPr>
                <w:noProof/>
              </w:rPr>
              <w:t>156</w:t>
            </w:r>
          </w:p>
        </w:tc>
        <w:tc>
          <w:tcPr>
            <w:tcW w:w="1243" w:type="dxa"/>
            <w:tcBorders>
              <w:top w:val="nil"/>
              <w:left w:val="nil"/>
              <w:bottom w:val="single" w:sz="4" w:space="0" w:color="auto"/>
              <w:right w:val="single" w:sz="4" w:space="0" w:color="auto"/>
            </w:tcBorders>
            <w:shd w:val="clear" w:color="auto" w:fill="C6EFCE"/>
            <w:noWrap/>
          </w:tcPr>
          <w:p w14:paraId="4E0DA5EB" w14:textId="77777777" w:rsidR="00553430" w:rsidRDefault="00212577">
            <w:pPr>
              <w:pStyle w:val="P68B1DB1-Normal102"/>
              <w:spacing w:after="200" w:line="276" w:lineRule="auto"/>
              <w:jc w:val="center"/>
              <w:rPr>
                <w:rFonts w:eastAsia="Calibri"/>
                <w:noProof/>
                <w:color w:val="000000" w:themeColor="text1"/>
              </w:rPr>
            </w:pPr>
            <w:r>
              <w:rPr>
                <w:noProof/>
              </w:rPr>
              <w:t>C2.1. R2</w:t>
            </w:r>
          </w:p>
        </w:tc>
        <w:tc>
          <w:tcPr>
            <w:tcW w:w="1124" w:type="dxa"/>
            <w:tcBorders>
              <w:top w:val="nil"/>
              <w:left w:val="nil"/>
              <w:bottom w:val="single" w:sz="4" w:space="0" w:color="auto"/>
              <w:right w:val="single" w:sz="4" w:space="0" w:color="auto"/>
            </w:tcBorders>
            <w:shd w:val="clear" w:color="auto" w:fill="C6EFCE"/>
            <w:noWrap/>
          </w:tcPr>
          <w:p w14:paraId="7CA312FE" w14:textId="77777777" w:rsidR="00553430" w:rsidRDefault="00212577">
            <w:pPr>
              <w:pStyle w:val="P68B1DB1-Normal102"/>
              <w:spacing w:after="200" w:line="276" w:lineRule="auto"/>
              <w:jc w:val="center"/>
              <w:rPr>
                <w:rFonts w:eastAsia="Calibri"/>
                <w:noProof/>
                <w:color w:val="000000" w:themeColor="text1"/>
              </w:rPr>
            </w:pPr>
            <w:r>
              <w:rPr>
                <w:noProof/>
              </w:rPr>
              <w:t>M</w:t>
            </w:r>
          </w:p>
        </w:tc>
        <w:tc>
          <w:tcPr>
            <w:tcW w:w="1784" w:type="dxa"/>
            <w:tcBorders>
              <w:top w:val="nil"/>
              <w:left w:val="nil"/>
              <w:bottom w:val="single" w:sz="4" w:space="0" w:color="auto"/>
              <w:right w:val="single" w:sz="4" w:space="0" w:color="auto"/>
            </w:tcBorders>
            <w:shd w:val="clear" w:color="auto" w:fill="C6EFCE"/>
            <w:noWrap/>
          </w:tcPr>
          <w:p w14:paraId="171C8653" w14:textId="77777777" w:rsidR="00553430" w:rsidRDefault="00212577">
            <w:pPr>
              <w:pStyle w:val="P68B1DB1-Normal102"/>
              <w:spacing w:after="200" w:line="276" w:lineRule="auto"/>
              <w:rPr>
                <w:rFonts w:eastAsia="Calibri"/>
                <w:noProof/>
                <w:color w:val="000000" w:themeColor="text1"/>
              </w:rPr>
            </w:pPr>
            <w:r>
              <w:rPr>
                <w:noProof/>
              </w:rPr>
              <w:t>Modification des statuts de l’ARPA pour redéfinir son mandat</w:t>
            </w:r>
          </w:p>
        </w:tc>
        <w:tc>
          <w:tcPr>
            <w:tcW w:w="1912" w:type="dxa"/>
            <w:tcBorders>
              <w:top w:val="nil"/>
              <w:left w:val="nil"/>
              <w:bottom w:val="single" w:sz="4" w:space="0" w:color="auto"/>
              <w:right w:val="single" w:sz="4" w:space="0" w:color="auto"/>
            </w:tcBorders>
            <w:shd w:val="clear" w:color="auto" w:fill="C6EFCE"/>
            <w:noWrap/>
          </w:tcPr>
          <w:p w14:paraId="3C59CEEE" w14:textId="77777777" w:rsidR="00553430" w:rsidRDefault="00212577">
            <w:pPr>
              <w:pStyle w:val="P68B1DB1-Normal102"/>
              <w:spacing w:after="200" w:line="276" w:lineRule="auto"/>
              <w:rPr>
                <w:rFonts w:eastAsia="Calibri"/>
                <w:noProof/>
                <w:color w:val="000000" w:themeColor="text1"/>
              </w:rPr>
            </w:pPr>
            <w:r>
              <w:rPr>
                <w:noProof/>
              </w:rPr>
              <w:t xml:space="preserve">Entrée en vigueur des modifications des statuts de l’ARPA </w:t>
            </w:r>
          </w:p>
        </w:tc>
        <w:tc>
          <w:tcPr>
            <w:tcW w:w="1134" w:type="dxa"/>
            <w:tcBorders>
              <w:top w:val="nil"/>
              <w:left w:val="nil"/>
              <w:bottom w:val="single" w:sz="4" w:space="0" w:color="auto"/>
              <w:right w:val="single" w:sz="4" w:space="0" w:color="auto"/>
            </w:tcBorders>
            <w:shd w:val="clear" w:color="auto" w:fill="C6EFCE"/>
            <w:noWrap/>
          </w:tcPr>
          <w:p w14:paraId="5C6463D0" w14:textId="77777777" w:rsidR="00553430" w:rsidRDefault="00212577">
            <w:pPr>
              <w:pStyle w:val="P68B1DB1-Normal102"/>
              <w:spacing w:after="200" w:line="276" w:lineRule="auto"/>
              <w:jc w:val="center"/>
              <w:rPr>
                <w:rFonts w:eastAsia="Calibri"/>
                <w:noProof/>
                <w:color w:val="000000" w:themeColor="text1"/>
              </w:rPr>
            </w:pPr>
            <w:r>
              <w:rPr>
                <w:noProof/>
              </w:rPr>
              <w:t> </w:t>
            </w:r>
          </w:p>
        </w:tc>
        <w:tc>
          <w:tcPr>
            <w:tcW w:w="1025" w:type="dxa"/>
            <w:tcBorders>
              <w:top w:val="nil"/>
              <w:left w:val="nil"/>
              <w:bottom w:val="single" w:sz="4" w:space="0" w:color="auto"/>
              <w:right w:val="single" w:sz="4" w:space="0" w:color="auto"/>
            </w:tcBorders>
            <w:shd w:val="clear" w:color="auto" w:fill="C6EFCE"/>
            <w:noWrap/>
          </w:tcPr>
          <w:p w14:paraId="12561D39" w14:textId="77777777" w:rsidR="00553430" w:rsidRDefault="00212577">
            <w:pPr>
              <w:pStyle w:val="P68B1DB1-Normal102"/>
              <w:spacing w:after="200" w:line="276" w:lineRule="auto"/>
              <w:jc w:val="center"/>
              <w:rPr>
                <w:rFonts w:eastAsia="Calibri"/>
                <w:noProof/>
                <w:color w:val="000000" w:themeColor="text1"/>
              </w:rPr>
            </w:pPr>
            <w:r>
              <w:rPr>
                <w:noProof/>
              </w:rPr>
              <w:t> </w:t>
            </w:r>
          </w:p>
        </w:tc>
        <w:tc>
          <w:tcPr>
            <w:tcW w:w="817" w:type="dxa"/>
            <w:tcBorders>
              <w:top w:val="nil"/>
              <w:left w:val="nil"/>
              <w:bottom w:val="single" w:sz="4" w:space="0" w:color="auto"/>
              <w:right w:val="single" w:sz="4" w:space="0" w:color="auto"/>
            </w:tcBorders>
            <w:shd w:val="clear" w:color="auto" w:fill="C6EFCE"/>
            <w:noWrap/>
          </w:tcPr>
          <w:p w14:paraId="0CABD473" w14:textId="77777777" w:rsidR="00553430" w:rsidRDefault="00212577">
            <w:pPr>
              <w:pStyle w:val="P68B1DB1-Normal102"/>
              <w:spacing w:after="200" w:line="276" w:lineRule="auto"/>
              <w:jc w:val="center"/>
              <w:rPr>
                <w:rFonts w:eastAsia="Calibri"/>
                <w:noProof/>
                <w:color w:val="000000" w:themeColor="text1"/>
              </w:rPr>
            </w:pPr>
            <w:r>
              <w:rPr>
                <w:noProof/>
              </w:rPr>
              <w:t> </w:t>
            </w:r>
          </w:p>
        </w:tc>
        <w:tc>
          <w:tcPr>
            <w:tcW w:w="1167" w:type="dxa"/>
            <w:tcBorders>
              <w:top w:val="nil"/>
              <w:left w:val="nil"/>
              <w:bottom w:val="single" w:sz="4" w:space="0" w:color="auto"/>
              <w:right w:val="single" w:sz="4" w:space="0" w:color="auto"/>
            </w:tcBorders>
            <w:shd w:val="clear" w:color="auto" w:fill="C6EFCE"/>
            <w:noWrap/>
          </w:tcPr>
          <w:p w14:paraId="3701F0DB" w14:textId="77777777" w:rsidR="00553430" w:rsidRDefault="00212577">
            <w:pPr>
              <w:pStyle w:val="P68B1DB1-Normal102"/>
              <w:spacing w:after="200" w:line="276" w:lineRule="auto"/>
              <w:jc w:val="center"/>
              <w:rPr>
                <w:rFonts w:eastAsia="Calibri"/>
                <w:noProof/>
                <w:color w:val="000000" w:themeColor="text1"/>
              </w:rPr>
            </w:pPr>
            <w:r>
              <w:rPr>
                <w:noProof/>
              </w:rPr>
              <w:t>T3</w:t>
            </w:r>
          </w:p>
        </w:tc>
        <w:tc>
          <w:tcPr>
            <w:tcW w:w="709" w:type="dxa"/>
            <w:tcBorders>
              <w:top w:val="nil"/>
              <w:left w:val="nil"/>
              <w:bottom w:val="single" w:sz="4" w:space="0" w:color="auto"/>
              <w:right w:val="single" w:sz="4" w:space="0" w:color="auto"/>
            </w:tcBorders>
            <w:shd w:val="clear" w:color="auto" w:fill="C6EFCE"/>
            <w:noWrap/>
          </w:tcPr>
          <w:p w14:paraId="6081DA6C" w14:textId="77777777" w:rsidR="00553430" w:rsidRDefault="00212577">
            <w:pPr>
              <w:pStyle w:val="P68B1DB1-Normal102"/>
              <w:spacing w:after="200" w:line="276" w:lineRule="auto"/>
              <w:jc w:val="center"/>
              <w:rPr>
                <w:rFonts w:eastAsia="Calibri"/>
                <w:noProof/>
                <w:color w:val="000000" w:themeColor="text1"/>
              </w:rPr>
            </w:pPr>
            <w:r>
              <w:rPr>
                <w:noProof/>
              </w:rPr>
              <w:t>2021</w:t>
            </w:r>
          </w:p>
        </w:tc>
        <w:tc>
          <w:tcPr>
            <w:tcW w:w="4220" w:type="dxa"/>
            <w:tcBorders>
              <w:top w:val="nil"/>
              <w:left w:val="nil"/>
              <w:bottom w:val="single" w:sz="4" w:space="0" w:color="auto"/>
              <w:right w:val="single" w:sz="4" w:space="0" w:color="auto"/>
            </w:tcBorders>
            <w:shd w:val="clear" w:color="auto" w:fill="C6EFCE"/>
            <w:noWrap/>
          </w:tcPr>
          <w:p w14:paraId="70A54B68" w14:textId="77777777" w:rsidR="00553430" w:rsidRDefault="00212577">
            <w:pPr>
              <w:pStyle w:val="P68B1DB1-Normal102"/>
              <w:spacing w:after="200" w:line="276" w:lineRule="auto"/>
              <w:rPr>
                <w:rFonts w:eastAsia="Calibri"/>
                <w:noProof/>
                <w:color w:val="000000" w:themeColor="text1"/>
              </w:rPr>
            </w:pPr>
            <w:r>
              <w:rPr>
                <w:noProof/>
              </w:rPr>
              <w:t xml:space="preserve">Les modifications des statuts de l’Agence pour l’audit du système de mise en œuvre des programmes de l’Union européenne (ARPA) définissent le mandat de l’ARPA pour mettre en place et effectuer des audits et des contrôles des systèmes liés au plan national </w:t>
            </w:r>
            <w:r>
              <w:rPr>
                <w:noProof/>
              </w:rPr>
              <w:t>pour la reprise et la résiliencef.</w:t>
            </w:r>
          </w:p>
        </w:tc>
      </w:tr>
      <w:tr w:rsidR="00553430" w14:paraId="6AB45AF0" w14:textId="77777777" w:rsidTr="0019760D">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E5021F5" w14:textId="77777777" w:rsidR="00553430" w:rsidRDefault="00212577">
            <w:pPr>
              <w:pStyle w:val="P68B1DB1-Normal102"/>
              <w:spacing w:after="0" w:line="276" w:lineRule="auto"/>
              <w:jc w:val="center"/>
              <w:rPr>
                <w:rFonts w:eastAsia="Calibri"/>
                <w:noProof/>
                <w:color w:val="000000" w:themeColor="text1"/>
              </w:rPr>
            </w:pPr>
            <w:r>
              <w:rPr>
                <w:noProof/>
              </w:rPr>
              <w:t>157</w:t>
            </w:r>
          </w:p>
        </w:tc>
        <w:tc>
          <w:tcPr>
            <w:tcW w:w="1243" w:type="dxa"/>
            <w:tcBorders>
              <w:top w:val="single" w:sz="4" w:space="0" w:color="auto"/>
              <w:left w:val="nil"/>
              <w:bottom w:val="single" w:sz="4" w:space="0" w:color="auto"/>
              <w:right w:val="single" w:sz="4" w:space="0" w:color="auto"/>
            </w:tcBorders>
            <w:shd w:val="clear" w:color="auto" w:fill="C6EFCE"/>
            <w:noWrap/>
          </w:tcPr>
          <w:p w14:paraId="0333872E" w14:textId="77777777" w:rsidR="00553430" w:rsidRDefault="00212577">
            <w:pPr>
              <w:pStyle w:val="P68B1DB1-Normal102"/>
              <w:spacing w:after="0" w:line="276" w:lineRule="auto"/>
              <w:jc w:val="center"/>
              <w:rPr>
                <w:rFonts w:eastAsia="Calibri"/>
                <w:noProof/>
                <w:color w:val="000000" w:themeColor="text1"/>
              </w:rPr>
            </w:pPr>
            <w:r>
              <w:rPr>
                <w:noProof/>
              </w:rPr>
              <w:t>C2.1. R2</w:t>
            </w:r>
          </w:p>
        </w:tc>
        <w:tc>
          <w:tcPr>
            <w:tcW w:w="1124" w:type="dxa"/>
            <w:tcBorders>
              <w:top w:val="single" w:sz="4" w:space="0" w:color="auto"/>
              <w:left w:val="nil"/>
              <w:bottom w:val="single" w:sz="4" w:space="0" w:color="auto"/>
              <w:right w:val="single" w:sz="4" w:space="0" w:color="auto"/>
            </w:tcBorders>
            <w:shd w:val="clear" w:color="auto" w:fill="C6EFCE"/>
            <w:noWrap/>
          </w:tcPr>
          <w:p w14:paraId="6AD594A6" w14:textId="77777777" w:rsidR="00553430" w:rsidRDefault="00212577">
            <w:pPr>
              <w:pStyle w:val="P68B1DB1-Normal102"/>
              <w:spacing w:after="0" w:line="276" w:lineRule="auto"/>
              <w:jc w:val="center"/>
              <w:rPr>
                <w:rFonts w:eastAsia="Calibri"/>
                <w:noProof/>
                <w:color w:val="000000" w:themeColor="text1"/>
              </w:rPr>
            </w:pPr>
            <w:r>
              <w:rPr>
                <w:noProof/>
              </w:rPr>
              <w:t>M</w:t>
            </w:r>
          </w:p>
        </w:tc>
        <w:tc>
          <w:tcPr>
            <w:tcW w:w="1784" w:type="dxa"/>
            <w:tcBorders>
              <w:top w:val="single" w:sz="4" w:space="0" w:color="auto"/>
              <w:left w:val="nil"/>
              <w:bottom w:val="single" w:sz="4" w:space="0" w:color="auto"/>
              <w:right w:val="single" w:sz="4" w:space="0" w:color="auto"/>
            </w:tcBorders>
            <w:shd w:val="clear" w:color="auto" w:fill="C6EFCE"/>
            <w:noWrap/>
          </w:tcPr>
          <w:p w14:paraId="1EB49334" w14:textId="77777777" w:rsidR="00553430" w:rsidRDefault="00212577">
            <w:pPr>
              <w:pStyle w:val="P68B1DB1-Normal102"/>
              <w:spacing w:after="0" w:line="276" w:lineRule="auto"/>
              <w:rPr>
                <w:rFonts w:eastAsia="Calibri"/>
                <w:noProof/>
                <w:color w:val="000000" w:themeColor="text1"/>
              </w:rPr>
            </w:pPr>
            <w:r>
              <w:rPr>
                <w:noProof/>
              </w:rPr>
              <w:t>Mise en place du système de mise en œuvre, d’audit et de contrôle du PRR</w:t>
            </w:r>
          </w:p>
        </w:tc>
        <w:tc>
          <w:tcPr>
            <w:tcW w:w="1912" w:type="dxa"/>
            <w:tcBorders>
              <w:top w:val="single" w:sz="4" w:space="0" w:color="auto"/>
              <w:left w:val="nil"/>
              <w:bottom w:val="single" w:sz="4" w:space="0" w:color="auto"/>
              <w:right w:val="single" w:sz="4" w:space="0" w:color="auto"/>
            </w:tcBorders>
            <w:shd w:val="clear" w:color="auto" w:fill="C6EFCE"/>
            <w:noWrap/>
          </w:tcPr>
          <w:p w14:paraId="107FF5DB" w14:textId="77777777" w:rsidR="00553430" w:rsidRDefault="00212577">
            <w:pPr>
              <w:pStyle w:val="P68B1DB1-Normal102"/>
              <w:spacing w:after="0" w:line="276" w:lineRule="auto"/>
              <w:rPr>
                <w:rFonts w:eastAsia="Calibri"/>
                <w:noProof/>
                <w:color w:val="000000" w:themeColor="text1"/>
              </w:rPr>
            </w:pPr>
            <w:r>
              <w:rPr>
                <w:noProof/>
              </w:rPr>
              <w:t>Entrée en vigueur de la décision du gouvernement croate sur les organes du système de mise en œuvre du PNRR, création de l’organe de</w:t>
            </w:r>
            <w:r>
              <w:rPr>
                <w:noProof/>
              </w:rPr>
              <w:t xml:space="preserve"> coordination relevant du ministère des finances et mise à jour des procédures utilisées par les organes de mise en œuvre.</w:t>
            </w:r>
          </w:p>
        </w:tc>
        <w:tc>
          <w:tcPr>
            <w:tcW w:w="1134" w:type="dxa"/>
            <w:tcBorders>
              <w:top w:val="single" w:sz="4" w:space="0" w:color="auto"/>
              <w:left w:val="nil"/>
              <w:bottom w:val="single" w:sz="4" w:space="0" w:color="auto"/>
              <w:right w:val="single" w:sz="4" w:space="0" w:color="auto"/>
            </w:tcBorders>
            <w:shd w:val="clear" w:color="auto" w:fill="C6EFCE"/>
            <w:noWrap/>
          </w:tcPr>
          <w:p w14:paraId="18077C5F" w14:textId="77777777" w:rsidR="00553430" w:rsidRDefault="00212577">
            <w:pPr>
              <w:pStyle w:val="P68B1DB1-Normal102"/>
              <w:spacing w:after="0" w:line="276" w:lineRule="auto"/>
              <w:rPr>
                <w:rFonts w:eastAsia="Calibri"/>
                <w:noProof/>
                <w:color w:val="000000" w:themeColor="text1"/>
              </w:rPr>
            </w:pPr>
            <w:r>
              <w:rPr>
                <w:noProof/>
              </w:rPr>
              <w:t> </w:t>
            </w:r>
          </w:p>
        </w:tc>
        <w:tc>
          <w:tcPr>
            <w:tcW w:w="1025" w:type="dxa"/>
            <w:tcBorders>
              <w:top w:val="single" w:sz="4" w:space="0" w:color="auto"/>
              <w:left w:val="nil"/>
              <w:bottom w:val="single" w:sz="4" w:space="0" w:color="auto"/>
              <w:right w:val="single" w:sz="4" w:space="0" w:color="auto"/>
            </w:tcBorders>
            <w:shd w:val="clear" w:color="auto" w:fill="C6EFCE"/>
            <w:noWrap/>
          </w:tcPr>
          <w:p w14:paraId="723B099F" w14:textId="77777777" w:rsidR="00553430" w:rsidRDefault="00212577">
            <w:pPr>
              <w:pStyle w:val="P68B1DB1-Normal102"/>
              <w:spacing w:after="0" w:line="276" w:lineRule="auto"/>
              <w:jc w:val="center"/>
              <w:rPr>
                <w:rFonts w:eastAsia="Calibri"/>
                <w:noProof/>
                <w:color w:val="000000" w:themeColor="text1"/>
              </w:rPr>
            </w:pPr>
            <w:r>
              <w:rPr>
                <w:noProof/>
              </w:rPr>
              <w:t> </w:t>
            </w:r>
          </w:p>
        </w:tc>
        <w:tc>
          <w:tcPr>
            <w:tcW w:w="817" w:type="dxa"/>
            <w:tcBorders>
              <w:top w:val="single" w:sz="4" w:space="0" w:color="auto"/>
              <w:left w:val="nil"/>
              <w:bottom w:val="single" w:sz="4" w:space="0" w:color="auto"/>
              <w:right w:val="single" w:sz="4" w:space="0" w:color="auto"/>
            </w:tcBorders>
            <w:shd w:val="clear" w:color="auto" w:fill="C6EFCE"/>
            <w:noWrap/>
          </w:tcPr>
          <w:p w14:paraId="5DED130B" w14:textId="77777777" w:rsidR="00553430" w:rsidRDefault="00212577">
            <w:pPr>
              <w:pStyle w:val="P68B1DB1-Normal102"/>
              <w:spacing w:after="0" w:line="276" w:lineRule="auto"/>
              <w:jc w:val="center"/>
              <w:rPr>
                <w:rFonts w:eastAsia="Calibri"/>
                <w:noProof/>
                <w:color w:val="000000" w:themeColor="text1"/>
              </w:rPr>
            </w:pPr>
            <w:r>
              <w:rPr>
                <w:noProof/>
              </w:rPr>
              <w:t> </w:t>
            </w:r>
          </w:p>
        </w:tc>
        <w:tc>
          <w:tcPr>
            <w:tcW w:w="1167" w:type="dxa"/>
            <w:tcBorders>
              <w:top w:val="single" w:sz="4" w:space="0" w:color="auto"/>
              <w:left w:val="nil"/>
              <w:bottom w:val="single" w:sz="4" w:space="0" w:color="auto"/>
              <w:right w:val="single" w:sz="4" w:space="0" w:color="auto"/>
            </w:tcBorders>
            <w:shd w:val="clear" w:color="auto" w:fill="C6EFCE"/>
            <w:noWrap/>
          </w:tcPr>
          <w:p w14:paraId="6B00779E" w14:textId="77777777" w:rsidR="00553430" w:rsidRDefault="00212577">
            <w:pPr>
              <w:pStyle w:val="P68B1DB1-Normal102"/>
              <w:spacing w:after="0" w:line="276" w:lineRule="auto"/>
              <w:jc w:val="center"/>
              <w:rPr>
                <w:rFonts w:eastAsia="Calibri"/>
                <w:noProof/>
                <w:color w:val="000000" w:themeColor="text1"/>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0BF9D473" w14:textId="77777777" w:rsidR="00553430" w:rsidRDefault="00212577">
            <w:pPr>
              <w:pStyle w:val="P68B1DB1-Normal102"/>
              <w:spacing w:after="0" w:line="276" w:lineRule="auto"/>
              <w:jc w:val="center"/>
              <w:rPr>
                <w:rFonts w:eastAsia="Calibri"/>
                <w:noProof/>
                <w:color w:val="000000" w:themeColor="text1"/>
              </w:rPr>
            </w:pPr>
            <w:r>
              <w:rPr>
                <w:noProof/>
              </w:rPr>
              <w:t>2021</w:t>
            </w:r>
          </w:p>
        </w:tc>
        <w:tc>
          <w:tcPr>
            <w:tcW w:w="4220" w:type="dxa"/>
            <w:tcBorders>
              <w:top w:val="single" w:sz="4" w:space="0" w:color="auto"/>
              <w:left w:val="nil"/>
              <w:bottom w:val="single" w:sz="4" w:space="0" w:color="auto"/>
              <w:right w:val="single" w:sz="4" w:space="0" w:color="auto"/>
            </w:tcBorders>
            <w:shd w:val="clear" w:color="auto" w:fill="C6EFCE"/>
            <w:noWrap/>
          </w:tcPr>
          <w:p w14:paraId="0A57F08F" w14:textId="77777777" w:rsidR="00553430" w:rsidRDefault="00212577">
            <w:pPr>
              <w:pStyle w:val="P68B1DB1-Normal89"/>
              <w:spacing w:after="0" w:line="276" w:lineRule="auto"/>
              <w:rPr>
                <w:rFonts w:eastAsia="Calibri"/>
                <w:noProof/>
                <w:color w:val="000000" w:themeColor="text1"/>
              </w:rPr>
            </w:pPr>
            <w:r>
              <w:rPr>
                <w:noProof/>
                <w:color w:val="000000" w:themeColor="text1"/>
              </w:rPr>
              <w:t>La décision relative aux organes du système PRR définit les autorités compétentes et les responsabilités pour l’exécuti</w:t>
            </w:r>
            <w:r>
              <w:rPr>
                <w:noProof/>
                <w:color w:val="000000" w:themeColor="text1"/>
              </w:rPr>
              <w:t>on des tâches liées à la mise en œuvre du PRR, y compris un organe central de coordination relevant du ministère des finances chargé d’assurer la mise en œuvre et le suivi des mesures de la FRR, y compris les réformes, tandis que le comité de mise en œuvre</w:t>
            </w:r>
            <w:r>
              <w:rPr>
                <w:noProof/>
                <w:color w:val="000000" w:themeColor="text1"/>
              </w:rPr>
              <w:t xml:space="preserve"> veillera à la cohérence et à la cohérence dans l’utilisation des fonds de l’UE.</w:t>
            </w:r>
            <w:r>
              <w:rPr>
                <w:noProof/>
              </w:rPr>
              <w:br/>
            </w:r>
            <w:r>
              <w:rPr>
                <w:noProof/>
                <w:color w:val="000000" w:themeColor="text1"/>
              </w:rPr>
              <w:t>L’organe de coordination du PRR est établi et pleinement fonctionnel, au sein du ministère des finances.</w:t>
            </w:r>
            <w:r>
              <w:rPr>
                <w:noProof/>
              </w:rPr>
              <w:br/>
            </w:r>
            <w:r>
              <w:rPr>
                <w:noProof/>
                <w:color w:val="000000" w:themeColor="text1"/>
              </w:rPr>
              <w:t xml:space="preserve">Toutes les procédures utilisées par les organismes chargés de la mise </w:t>
            </w:r>
            <w:r>
              <w:rPr>
                <w:noProof/>
                <w:color w:val="000000" w:themeColor="text1"/>
              </w:rPr>
              <w:t>en œuvre du PRR sont mises à jour et mises en place.</w:t>
            </w:r>
          </w:p>
        </w:tc>
      </w:tr>
      <w:tr w:rsidR="00553430" w14:paraId="25659F7B" w14:textId="77777777" w:rsidTr="0019760D">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411A3D9" w14:textId="77777777" w:rsidR="00553430" w:rsidRDefault="00212577">
            <w:pPr>
              <w:pStyle w:val="P68B1DB1-Normal102"/>
              <w:spacing w:after="0" w:line="276" w:lineRule="auto"/>
              <w:jc w:val="center"/>
              <w:rPr>
                <w:rFonts w:eastAsia="Calibri"/>
                <w:noProof/>
                <w:color w:val="000000" w:themeColor="text1"/>
              </w:rPr>
            </w:pPr>
            <w:r>
              <w:rPr>
                <w:noProof/>
              </w:rPr>
              <w:t>158</w:t>
            </w:r>
          </w:p>
        </w:tc>
        <w:tc>
          <w:tcPr>
            <w:tcW w:w="1243" w:type="dxa"/>
            <w:tcBorders>
              <w:top w:val="single" w:sz="4" w:space="0" w:color="auto"/>
              <w:left w:val="nil"/>
              <w:bottom w:val="single" w:sz="4" w:space="0" w:color="auto"/>
              <w:right w:val="single" w:sz="4" w:space="0" w:color="auto"/>
            </w:tcBorders>
            <w:shd w:val="clear" w:color="auto" w:fill="C6EFCE"/>
            <w:noWrap/>
          </w:tcPr>
          <w:p w14:paraId="53C77C92" w14:textId="77777777" w:rsidR="00553430" w:rsidRDefault="00212577">
            <w:pPr>
              <w:pStyle w:val="P68B1DB1-Normal102"/>
              <w:spacing w:after="0" w:line="276" w:lineRule="auto"/>
              <w:jc w:val="center"/>
              <w:rPr>
                <w:rFonts w:eastAsia="Calibri"/>
                <w:noProof/>
                <w:color w:val="000000" w:themeColor="text1"/>
              </w:rPr>
            </w:pPr>
            <w:r>
              <w:rPr>
                <w:noProof/>
              </w:rPr>
              <w:t>C2.1. R2</w:t>
            </w:r>
          </w:p>
        </w:tc>
        <w:tc>
          <w:tcPr>
            <w:tcW w:w="1124" w:type="dxa"/>
            <w:tcBorders>
              <w:top w:val="single" w:sz="4" w:space="0" w:color="auto"/>
              <w:left w:val="nil"/>
              <w:bottom w:val="single" w:sz="4" w:space="0" w:color="auto"/>
              <w:right w:val="single" w:sz="4" w:space="0" w:color="auto"/>
            </w:tcBorders>
            <w:shd w:val="clear" w:color="auto" w:fill="C6EFCE"/>
            <w:noWrap/>
          </w:tcPr>
          <w:p w14:paraId="2702C47B" w14:textId="77777777" w:rsidR="00553430" w:rsidRDefault="00212577">
            <w:pPr>
              <w:pStyle w:val="P68B1DB1-Normal102"/>
              <w:spacing w:after="0" w:line="276" w:lineRule="auto"/>
              <w:jc w:val="center"/>
              <w:rPr>
                <w:rFonts w:eastAsia="Calibri"/>
                <w:noProof/>
                <w:color w:val="000000" w:themeColor="text1"/>
              </w:rPr>
            </w:pPr>
            <w:r>
              <w:rPr>
                <w:noProof/>
              </w:rPr>
              <w:t>M</w:t>
            </w:r>
          </w:p>
        </w:tc>
        <w:tc>
          <w:tcPr>
            <w:tcW w:w="1784" w:type="dxa"/>
            <w:tcBorders>
              <w:top w:val="single" w:sz="4" w:space="0" w:color="auto"/>
              <w:left w:val="nil"/>
              <w:bottom w:val="single" w:sz="4" w:space="0" w:color="auto"/>
              <w:right w:val="single" w:sz="4" w:space="0" w:color="auto"/>
            </w:tcBorders>
            <w:shd w:val="clear" w:color="auto" w:fill="C6EFCE"/>
            <w:noWrap/>
          </w:tcPr>
          <w:p w14:paraId="30387B8D" w14:textId="77777777" w:rsidR="00553430" w:rsidRDefault="00212577">
            <w:pPr>
              <w:pStyle w:val="P68B1DB1-Normal102"/>
              <w:spacing w:after="0" w:line="276" w:lineRule="auto"/>
              <w:rPr>
                <w:rFonts w:eastAsia="Calibri"/>
                <w:noProof/>
                <w:color w:val="000000" w:themeColor="text1"/>
              </w:rPr>
            </w:pPr>
            <w:r>
              <w:rPr>
                <w:noProof/>
              </w:rPr>
              <w:t>Adoption de la loi sur le cadre institutionnel des fonds de l'UE</w:t>
            </w:r>
          </w:p>
        </w:tc>
        <w:tc>
          <w:tcPr>
            <w:tcW w:w="1912" w:type="dxa"/>
            <w:tcBorders>
              <w:top w:val="single" w:sz="4" w:space="0" w:color="auto"/>
              <w:left w:val="nil"/>
              <w:bottom w:val="single" w:sz="4" w:space="0" w:color="auto"/>
              <w:right w:val="single" w:sz="4" w:space="0" w:color="auto"/>
            </w:tcBorders>
            <w:shd w:val="clear" w:color="auto" w:fill="C6EFCE"/>
            <w:noWrap/>
          </w:tcPr>
          <w:p w14:paraId="01E89409" w14:textId="77777777" w:rsidR="00553430" w:rsidRDefault="00212577">
            <w:pPr>
              <w:pStyle w:val="P68B1DB1-Normal102"/>
              <w:spacing w:after="0" w:line="276" w:lineRule="auto"/>
              <w:rPr>
                <w:rFonts w:eastAsia="Calibri"/>
                <w:noProof/>
                <w:color w:val="000000" w:themeColor="text1"/>
              </w:rPr>
            </w:pPr>
            <w:r>
              <w:rPr>
                <w:noProof/>
              </w:rPr>
              <w:t xml:space="preserve">Entrée en vigueur de la loi sur le cadre institutionnel des fonds de l’UE </w:t>
            </w:r>
          </w:p>
        </w:tc>
        <w:tc>
          <w:tcPr>
            <w:tcW w:w="1134" w:type="dxa"/>
            <w:tcBorders>
              <w:top w:val="single" w:sz="4" w:space="0" w:color="auto"/>
              <w:left w:val="nil"/>
              <w:bottom w:val="single" w:sz="4" w:space="0" w:color="auto"/>
              <w:right w:val="single" w:sz="4" w:space="0" w:color="auto"/>
            </w:tcBorders>
            <w:shd w:val="clear" w:color="auto" w:fill="C6EFCE"/>
            <w:noWrap/>
          </w:tcPr>
          <w:p w14:paraId="5283DF81" w14:textId="77777777" w:rsidR="00553430" w:rsidRDefault="00212577">
            <w:pPr>
              <w:pStyle w:val="P68B1DB1-Normal102"/>
              <w:spacing w:after="0" w:line="276" w:lineRule="auto"/>
              <w:jc w:val="center"/>
              <w:rPr>
                <w:rFonts w:eastAsia="Calibri"/>
                <w:noProof/>
                <w:color w:val="000000" w:themeColor="text1"/>
              </w:rPr>
            </w:pPr>
            <w:r>
              <w:rPr>
                <w:noProof/>
              </w:rPr>
              <w:t> </w:t>
            </w:r>
          </w:p>
        </w:tc>
        <w:tc>
          <w:tcPr>
            <w:tcW w:w="1025" w:type="dxa"/>
            <w:tcBorders>
              <w:top w:val="single" w:sz="4" w:space="0" w:color="auto"/>
              <w:left w:val="nil"/>
              <w:bottom w:val="single" w:sz="4" w:space="0" w:color="auto"/>
              <w:right w:val="single" w:sz="4" w:space="0" w:color="auto"/>
            </w:tcBorders>
            <w:shd w:val="clear" w:color="auto" w:fill="C6EFCE"/>
            <w:noWrap/>
          </w:tcPr>
          <w:p w14:paraId="28224796" w14:textId="77777777" w:rsidR="00553430" w:rsidRDefault="00212577">
            <w:pPr>
              <w:pStyle w:val="P68B1DB1-Normal102"/>
              <w:spacing w:after="0" w:line="276" w:lineRule="auto"/>
              <w:jc w:val="center"/>
              <w:rPr>
                <w:rFonts w:eastAsia="Calibri"/>
                <w:noProof/>
                <w:color w:val="000000" w:themeColor="text1"/>
              </w:rPr>
            </w:pPr>
            <w:r>
              <w:rPr>
                <w:noProof/>
              </w:rPr>
              <w:t> </w:t>
            </w:r>
          </w:p>
        </w:tc>
        <w:tc>
          <w:tcPr>
            <w:tcW w:w="817" w:type="dxa"/>
            <w:tcBorders>
              <w:top w:val="single" w:sz="4" w:space="0" w:color="auto"/>
              <w:left w:val="nil"/>
              <w:bottom w:val="single" w:sz="4" w:space="0" w:color="auto"/>
              <w:right w:val="single" w:sz="4" w:space="0" w:color="auto"/>
            </w:tcBorders>
            <w:shd w:val="clear" w:color="auto" w:fill="C6EFCE"/>
            <w:noWrap/>
          </w:tcPr>
          <w:p w14:paraId="4621094D" w14:textId="77777777" w:rsidR="00553430" w:rsidRDefault="00212577">
            <w:pPr>
              <w:pStyle w:val="P68B1DB1-Normal102"/>
              <w:spacing w:after="0" w:line="276" w:lineRule="auto"/>
              <w:jc w:val="center"/>
              <w:rPr>
                <w:rFonts w:eastAsia="Calibri"/>
                <w:noProof/>
                <w:color w:val="000000" w:themeColor="text1"/>
              </w:rPr>
            </w:pPr>
            <w:r>
              <w:rPr>
                <w:noProof/>
              </w:rPr>
              <w:t> </w:t>
            </w:r>
          </w:p>
        </w:tc>
        <w:tc>
          <w:tcPr>
            <w:tcW w:w="1167" w:type="dxa"/>
            <w:tcBorders>
              <w:top w:val="single" w:sz="4" w:space="0" w:color="auto"/>
              <w:left w:val="nil"/>
              <w:bottom w:val="single" w:sz="4" w:space="0" w:color="auto"/>
              <w:right w:val="single" w:sz="4" w:space="0" w:color="auto"/>
            </w:tcBorders>
            <w:shd w:val="clear" w:color="auto" w:fill="C6EFCE"/>
            <w:noWrap/>
          </w:tcPr>
          <w:p w14:paraId="7C6EB792" w14:textId="77777777" w:rsidR="00553430" w:rsidRDefault="00212577">
            <w:pPr>
              <w:pStyle w:val="P68B1DB1-Normal102"/>
              <w:spacing w:after="0" w:line="276" w:lineRule="auto"/>
              <w:jc w:val="center"/>
              <w:rPr>
                <w:rFonts w:eastAsia="Calibri"/>
                <w:noProof/>
                <w:color w:val="000000" w:themeColor="text1"/>
                <w:u w:val="single"/>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3E854BC2" w14:textId="77777777" w:rsidR="00553430" w:rsidRDefault="00212577">
            <w:pPr>
              <w:pStyle w:val="P68B1DB1-Normal102"/>
              <w:spacing w:after="0" w:line="276" w:lineRule="auto"/>
              <w:jc w:val="center"/>
              <w:rPr>
                <w:rFonts w:eastAsia="Calibri"/>
                <w:noProof/>
                <w:color w:val="000000" w:themeColor="text1"/>
              </w:rPr>
            </w:pPr>
            <w:r>
              <w:rPr>
                <w:noProof/>
              </w:rPr>
              <w:t>2021</w:t>
            </w:r>
          </w:p>
        </w:tc>
        <w:tc>
          <w:tcPr>
            <w:tcW w:w="4220" w:type="dxa"/>
            <w:tcBorders>
              <w:top w:val="single" w:sz="4" w:space="0" w:color="auto"/>
              <w:left w:val="nil"/>
              <w:bottom w:val="single" w:sz="4" w:space="0" w:color="auto"/>
              <w:right w:val="single" w:sz="4" w:space="0" w:color="auto"/>
            </w:tcBorders>
            <w:shd w:val="clear" w:color="auto" w:fill="C6EFCE"/>
            <w:noWrap/>
          </w:tcPr>
          <w:p w14:paraId="1AB824B9" w14:textId="77777777" w:rsidR="00553430" w:rsidRDefault="00212577">
            <w:pPr>
              <w:pStyle w:val="P68B1DB1-Normal102"/>
              <w:spacing w:after="0" w:line="276" w:lineRule="auto"/>
              <w:rPr>
                <w:rFonts w:eastAsia="Calibri"/>
                <w:noProof/>
                <w:color w:val="000000" w:themeColor="text1"/>
              </w:rPr>
            </w:pPr>
            <w:r>
              <w:rPr>
                <w:noProof/>
              </w:rPr>
              <w:t xml:space="preserve">Outre la mise en place du cadre </w:t>
            </w:r>
            <w:r>
              <w:rPr>
                <w:noProof/>
              </w:rPr>
              <w:t>institutionnel et des organes de désignation dans la loi, la loi doit également fournir un cadre pour la mise en place des activités de renforcement des capacités, qui devraient être développées davantage par le biais de la feuille de route pour le renforc</w:t>
            </w:r>
            <w:r>
              <w:rPr>
                <w:noProof/>
              </w:rPr>
              <w:t>ement des capacités administratives. Cette feuille de route est en cours d’élaboration dans le cadre de la programmation des Fonds ESI. La loi reconnaît la nécessité de renforcer encore la capacité des bénéficiaires à préparer, appliquer et mettre en œuvre</w:t>
            </w:r>
            <w:r>
              <w:rPr>
                <w:noProof/>
              </w:rPr>
              <w:t xml:space="preserve"> des projets, qui sont mis en œuvre dans le cadre de programmes (opérationnels) financés par l’UE.</w:t>
            </w:r>
          </w:p>
        </w:tc>
      </w:tr>
      <w:tr w:rsidR="00553430" w14:paraId="5D77212E" w14:textId="77777777" w:rsidTr="0019760D">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6A3F618" w14:textId="77777777" w:rsidR="00553430" w:rsidRDefault="00212577">
            <w:pPr>
              <w:pStyle w:val="P68B1DB1-Normal102"/>
              <w:spacing w:after="0" w:line="276" w:lineRule="auto"/>
              <w:jc w:val="center"/>
              <w:rPr>
                <w:noProof/>
              </w:rPr>
            </w:pPr>
            <w:r>
              <w:rPr>
                <w:noProof/>
              </w:rPr>
              <w:t>159</w:t>
            </w:r>
          </w:p>
        </w:tc>
        <w:tc>
          <w:tcPr>
            <w:tcW w:w="1243" w:type="dxa"/>
            <w:tcBorders>
              <w:top w:val="single" w:sz="4" w:space="0" w:color="auto"/>
              <w:left w:val="nil"/>
              <w:bottom w:val="single" w:sz="4" w:space="0" w:color="auto"/>
              <w:right w:val="single" w:sz="4" w:space="0" w:color="auto"/>
            </w:tcBorders>
            <w:shd w:val="clear" w:color="auto" w:fill="C6EFCE"/>
            <w:noWrap/>
          </w:tcPr>
          <w:p w14:paraId="1B24CA57" w14:textId="77777777" w:rsidR="00553430" w:rsidRDefault="00212577">
            <w:pPr>
              <w:pStyle w:val="P68B1DB1-Normal102"/>
              <w:spacing w:after="0" w:line="276" w:lineRule="auto"/>
              <w:jc w:val="center"/>
              <w:rPr>
                <w:noProof/>
              </w:rPr>
            </w:pPr>
            <w:r>
              <w:rPr>
                <w:noProof/>
              </w:rPr>
              <w:t>C2.1. R2</w:t>
            </w:r>
          </w:p>
        </w:tc>
        <w:tc>
          <w:tcPr>
            <w:tcW w:w="1124" w:type="dxa"/>
            <w:tcBorders>
              <w:top w:val="single" w:sz="4" w:space="0" w:color="auto"/>
              <w:left w:val="nil"/>
              <w:bottom w:val="single" w:sz="4" w:space="0" w:color="auto"/>
              <w:right w:val="single" w:sz="4" w:space="0" w:color="auto"/>
            </w:tcBorders>
            <w:shd w:val="clear" w:color="auto" w:fill="C6EFCE"/>
            <w:noWrap/>
          </w:tcPr>
          <w:p w14:paraId="6D733A5A" w14:textId="77777777" w:rsidR="00553430" w:rsidRDefault="00212577">
            <w:pPr>
              <w:pStyle w:val="P68B1DB1-Normal102"/>
              <w:spacing w:after="0" w:line="276" w:lineRule="auto"/>
              <w:jc w:val="center"/>
              <w:rPr>
                <w:noProof/>
              </w:rPr>
            </w:pPr>
            <w:r>
              <w:rPr>
                <w:noProof/>
              </w:rPr>
              <w:t>M</w:t>
            </w:r>
          </w:p>
        </w:tc>
        <w:tc>
          <w:tcPr>
            <w:tcW w:w="1784" w:type="dxa"/>
            <w:tcBorders>
              <w:top w:val="single" w:sz="4" w:space="0" w:color="auto"/>
              <w:left w:val="nil"/>
              <w:bottom w:val="single" w:sz="4" w:space="0" w:color="auto"/>
              <w:right w:val="single" w:sz="4" w:space="0" w:color="auto"/>
            </w:tcBorders>
            <w:shd w:val="clear" w:color="auto" w:fill="C6EFCE"/>
            <w:noWrap/>
          </w:tcPr>
          <w:p w14:paraId="78928B39" w14:textId="77777777" w:rsidR="00553430" w:rsidRDefault="00212577">
            <w:pPr>
              <w:pStyle w:val="P68B1DB1-Normal102"/>
              <w:spacing w:after="0" w:line="276" w:lineRule="auto"/>
              <w:rPr>
                <w:noProof/>
              </w:rPr>
            </w:pPr>
            <w:r>
              <w:rPr>
                <w:noProof/>
              </w:rPr>
              <w:t xml:space="preserve">Évaluation de la capacité administrative </w:t>
            </w:r>
          </w:p>
        </w:tc>
        <w:tc>
          <w:tcPr>
            <w:tcW w:w="1912" w:type="dxa"/>
            <w:tcBorders>
              <w:top w:val="single" w:sz="4" w:space="0" w:color="auto"/>
              <w:left w:val="nil"/>
              <w:bottom w:val="single" w:sz="4" w:space="0" w:color="auto"/>
              <w:right w:val="single" w:sz="4" w:space="0" w:color="auto"/>
            </w:tcBorders>
            <w:shd w:val="clear" w:color="auto" w:fill="C6EFCE"/>
            <w:noWrap/>
          </w:tcPr>
          <w:p w14:paraId="28F405B7" w14:textId="77777777" w:rsidR="00553430" w:rsidRDefault="00212577">
            <w:pPr>
              <w:pStyle w:val="P68B1DB1-Normal102"/>
              <w:spacing w:after="0" w:line="276" w:lineRule="auto"/>
              <w:rPr>
                <w:noProof/>
              </w:rPr>
            </w:pPr>
            <w:r>
              <w:rPr>
                <w:noProof/>
              </w:rPr>
              <w:t>Une analyse de la charge de travail est publiée</w:t>
            </w:r>
          </w:p>
        </w:tc>
        <w:tc>
          <w:tcPr>
            <w:tcW w:w="1134" w:type="dxa"/>
            <w:tcBorders>
              <w:top w:val="single" w:sz="4" w:space="0" w:color="auto"/>
              <w:left w:val="nil"/>
              <w:bottom w:val="single" w:sz="4" w:space="0" w:color="auto"/>
              <w:right w:val="single" w:sz="4" w:space="0" w:color="auto"/>
            </w:tcBorders>
            <w:shd w:val="clear" w:color="auto" w:fill="C6EFCE"/>
            <w:noWrap/>
          </w:tcPr>
          <w:p w14:paraId="348C08A2" w14:textId="77777777" w:rsidR="00553430" w:rsidRDefault="00212577">
            <w:pPr>
              <w:pStyle w:val="P68B1DB1-Normal102"/>
              <w:spacing w:after="0" w:line="276" w:lineRule="auto"/>
              <w:jc w:val="center"/>
              <w:rPr>
                <w:noProof/>
              </w:rPr>
            </w:pPr>
            <w:r>
              <w:rPr>
                <w:noProof/>
              </w:rPr>
              <w:t> </w:t>
            </w:r>
          </w:p>
        </w:tc>
        <w:tc>
          <w:tcPr>
            <w:tcW w:w="1025" w:type="dxa"/>
            <w:tcBorders>
              <w:top w:val="single" w:sz="4" w:space="0" w:color="auto"/>
              <w:left w:val="nil"/>
              <w:bottom w:val="single" w:sz="4" w:space="0" w:color="auto"/>
              <w:right w:val="single" w:sz="4" w:space="0" w:color="auto"/>
            </w:tcBorders>
            <w:shd w:val="clear" w:color="auto" w:fill="C6EFCE"/>
            <w:noWrap/>
          </w:tcPr>
          <w:p w14:paraId="7B340FCE" w14:textId="77777777" w:rsidR="00553430" w:rsidRDefault="00212577">
            <w:pPr>
              <w:pStyle w:val="P68B1DB1-Normal102"/>
              <w:spacing w:after="0" w:line="276" w:lineRule="auto"/>
              <w:jc w:val="center"/>
              <w:rPr>
                <w:noProof/>
              </w:rPr>
            </w:pPr>
            <w:r>
              <w:rPr>
                <w:noProof/>
              </w:rPr>
              <w:t> </w:t>
            </w:r>
          </w:p>
        </w:tc>
        <w:tc>
          <w:tcPr>
            <w:tcW w:w="817" w:type="dxa"/>
            <w:tcBorders>
              <w:top w:val="single" w:sz="4" w:space="0" w:color="auto"/>
              <w:left w:val="nil"/>
              <w:bottom w:val="single" w:sz="4" w:space="0" w:color="auto"/>
              <w:right w:val="single" w:sz="4" w:space="0" w:color="auto"/>
            </w:tcBorders>
            <w:shd w:val="clear" w:color="auto" w:fill="C6EFCE"/>
            <w:noWrap/>
          </w:tcPr>
          <w:p w14:paraId="174F53B1" w14:textId="77777777" w:rsidR="00553430" w:rsidRDefault="00212577">
            <w:pPr>
              <w:pStyle w:val="P68B1DB1-Normal102"/>
              <w:spacing w:after="0" w:line="276" w:lineRule="auto"/>
              <w:jc w:val="center"/>
              <w:rPr>
                <w:noProof/>
              </w:rPr>
            </w:pPr>
            <w:r>
              <w:rPr>
                <w:noProof/>
              </w:rPr>
              <w:t> </w:t>
            </w:r>
          </w:p>
        </w:tc>
        <w:tc>
          <w:tcPr>
            <w:tcW w:w="1167" w:type="dxa"/>
            <w:tcBorders>
              <w:top w:val="single" w:sz="4" w:space="0" w:color="auto"/>
              <w:left w:val="nil"/>
              <w:bottom w:val="single" w:sz="4" w:space="0" w:color="auto"/>
              <w:right w:val="single" w:sz="4" w:space="0" w:color="auto"/>
            </w:tcBorders>
            <w:shd w:val="clear" w:color="auto" w:fill="C6EFCE"/>
            <w:noWrap/>
          </w:tcPr>
          <w:p w14:paraId="594A5888" w14:textId="77777777" w:rsidR="00553430" w:rsidRDefault="00212577">
            <w:pPr>
              <w:pStyle w:val="P68B1DB1-Normal102"/>
              <w:spacing w:after="0" w:line="276"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14335232" w14:textId="77777777" w:rsidR="00553430" w:rsidRDefault="00212577">
            <w:pPr>
              <w:pStyle w:val="P68B1DB1-Normal102"/>
              <w:spacing w:after="0" w:line="276" w:lineRule="auto"/>
              <w:jc w:val="center"/>
              <w:rPr>
                <w:noProof/>
              </w:rPr>
            </w:pPr>
            <w:r>
              <w:rPr>
                <w:noProof/>
              </w:rPr>
              <w:t>2021</w:t>
            </w:r>
          </w:p>
        </w:tc>
        <w:tc>
          <w:tcPr>
            <w:tcW w:w="4220" w:type="dxa"/>
            <w:tcBorders>
              <w:top w:val="single" w:sz="4" w:space="0" w:color="auto"/>
              <w:left w:val="nil"/>
              <w:bottom w:val="single" w:sz="4" w:space="0" w:color="auto"/>
              <w:right w:val="single" w:sz="4" w:space="0" w:color="auto"/>
            </w:tcBorders>
            <w:shd w:val="clear" w:color="auto" w:fill="C6EFCE"/>
            <w:noWrap/>
          </w:tcPr>
          <w:p w14:paraId="0FE4F426" w14:textId="77777777" w:rsidR="00553430" w:rsidRDefault="00212577">
            <w:pPr>
              <w:pStyle w:val="P68B1DB1-Normal102"/>
              <w:spacing w:after="0" w:line="276" w:lineRule="auto"/>
              <w:rPr>
                <w:noProof/>
              </w:rPr>
            </w:pPr>
            <w:r>
              <w:rPr>
                <w:noProof/>
              </w:rPr>
              <w:t>Des analyses de la charge de travail sont effectuées pour les établissements participant aux systèmes de gestion et de contrôle respectifs, en tenant également compte de la charge découlant de la facilité pour la reprise et la résilience. L’analyse fournit</w:t>
            </w:r>
            <w:r>
              <w:rPr>
                <w:noProof/>
              </w:rPr>
              <w:t xml:space="preserve"> des informations adéquates en ce qui concerne les besoins en capacités administratives en vue de les atteindre en temps utile, y compris en élaborant une série de recommandations visant à remédier, le cas échéant, à l’insuffisance des capacités. Sur la ba</w:t>
            </w:r>
            <w:r>
              <w:rPr>
                <w:noProof/>
              </w:rPr>
              <w:t>se de l'analyse et des recommandations, les ressources nécessaires sont allouées aux institutions concernées.</w:t>
            </w:r>
          </w:p>
        </w:tc>
      </w:tr>
      <w:tr w:rsidR="00553430" w14:paraId="77A3ECAE" w14:textId="77777777" w:rsidTr="0019760D">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E40D793" w14:textId="77777777" w:rsidR="00553430" w:rsidRDefault="00212577">
            <w:pPr>
              <w:pStyle w:val="P68B1DB1-Normal102"/>
              <w:spacing w:after="0" w:line="276" w:lineRule="auto"/>
              <w:jc w:val="center"/>
              <w:rPr>
                <w:noProof/>
              </w:rPr>
            </w:pPr>
            <w:r>
              <w:rPr>
                <w:noProof/>
              </w:rPr>
              <w:t>160</w:t>
            </w:r>
          </w:p>
        </w:tc>
        <w:tc>
          <w:tcPr>
            <w:tcW w:w="1243" w:type="dxa"/>
            <w:tcBorders>
              <w:top w:val="single" w:sz="4" w:space="0" w:color="auto"/>
              <w:left w:val="nil"/>
              <w:bottom w:val="single" w:sz="4" w:space="0" w:color="auto"/>
              <w:right w:val="single" w:sz="4" w:space="0" w:color="auto"/>
            </w:tcBorders>
            <w:shd w:val="clear" w:color="auto" w:fill="C6EFCE"/>
            <w:noWrap/>
          </w:tcPr>
          <w:p w14:paraId="589AF187" w14:textId="77777777" w:rsidR="00553430" w:rsidRDefault="00212577">
            <w:pPr>
              <w:pStyle w:val="P68B1DB1-Normal102"/>
              <w:spacing w:after="0" w:line="276" w:lineRule="auto"/>
              <w:jc w:val="center"/>
              <w:rPr>
                <w:noProof/>
              </w:rPr>
            </w:pPr>
            <w:r>
              <w:rPr>
                <w:noProof/>
              </w:rPr>
              <w:t>C2.1. R2</w:t>
            </w:r>
          </w:p>
        </w:tc>
        <w:tc>
          <w:tcPr>
            <w:tcW w:w="1124" w:type="dxa"/>
            <w:tcBorders>
              <w:top w:val="single" w:sz="4" w:space="0" w:color="auto"/>
              <w:left w:val="nil"/>
              <w:bottom w:val="single" w:sz="4" w:space="0" w:color="auto"/>
              <w:right w:val="single" w:sz="4" w:space="0" w:color="auto"/>
            </w:tcBorders>
            <w:shd w:val="clear" w:color="auto" w:fill="C6EFCE"/>
            <w:noWrap/>
          </w:tcPr>
          <w:p w14:paraId="4B309AB0" w14:textId="77777777" w:rsidR="00553430" w:rsidRDefault="00212577">
            <w:pPr>
              <w:pStyle w:val="P68B1DB1-Normal102"/>
              <w:spacing w:after="0" w:line="276" w:lineRule="auto"/>
              <w:jc w:val="center"/>
              <w:rPr>
                <w:noProof/>
              </w:rPr>
            </w:pPr>
            <w:r>
              <w:rPr>
                <w:noProof/>
              </w:rPr>
              <w:t>M</w:t>
            </w:r>
          </w:p>
        </w:tc>
        <w:tc>
          <w:tcPr>
            <w:tcW w:w="1784" w:type="dxa"/>
            <w:tcBorders>
              <w:top w:val="single" w:sz="4" w:space="0" w:color="auto"/>
              <w:left w:val="nil"/>
              <w:bottom w:val="single" w:sz="4" w:space="0" w:color="auto"/>
              <w:right w:val="single" w:sz="4" w:space="0" w:color="auto"/>
            </w:tcBorders>
            <w:shd w:val="clear" w:color="auto" w:fill="C6EFCE"/>
            <w:noWrap/>
          </w:tcPr>
          <w:p w14:paraId="22AB3931" w14:textId="77777777" w:rsidR="00553430" w:rsidRDefault="00212577">
            <w:pPr>
              <w:pStyle w:val="P68B1DB1-Normal102"/>
              <w:spacing w:after="0" w:line="276" w:lineRule="auto"/>
              <w:rPr>
                <w:noProof/>
              </w:rPr>
            </w:pPr>
            <w:r>
              <w:rPr>
                <w:noProof/>
              </w:rPr>
              <w:t>Mise à niveau du système informatique eFondovi: Système de répertoire pour l'audit et les contrôles: informations pour le suivi de</w:t>
            </w:r>
            <w:r>
              <w:rPr>
                <w:noProof/>
              </w:rPr>
              <w:t xml:space="preserve"> la mise en œuvre de la FRR</w:t>
            </w:r>
          </w:p>
        </w:tc>
        <w:tc>
          <w:tcPr>
            <w:tcW w:w="1912" w:type="dxa"/>
            <w:tcBorders>
              <w:top w:val="single" w:sz="4" w:space="0" w:color="auto"/>
              <w:left w:val="nil"/>
              <w:bottom w:val="single" w:sz="4" w:space="0" w:color="auto"/>
              <w:right w:val="single" w:sz="4" w:space="0" w:color="auto"/>
            </w:tcBorders>
            <w:shd w:val="clear" w:color="auto" w:fill="C6EFCE"/>
            <w:noWrap/>
          </w:tcPr>
          <w:p w14:paraId="1DBDCBD1" w14:textId="77777777" w:rsidR="00553430" w:rsidRDefault="00212577">
            <w:pPr>
              <w:pStyle w:val="P68B1DB1-Normal102"/>
              <w:spacing w:after="0" w:line="276" w:lineRule="auto"/>
              <w:rPr>
                <w:noProof/>
              </w:rPr>
            </w:pPr>
            <w:r>
              <w:rPr>
                <w:noProof/>
              </w:rPr>
              <w:t>Rapport d’audit confirmant les fonctionnalités du système de répertoires</w:t>
            </w:r>
          </w:p>
        </w:tc>
        <w:tc>
          <w:tcPr>
            <w:tcW w:w="1134" w:type="dxa"/>
            <w:tcBorders>
              <w:top w:val="single" w:sz="4" w:space="0" w:color="auto"/>
              <w:left w:val="nil"/>
              <w:bottom w:val="single" w:sz="4" w:space="0" w:color="auto"/>
              <w:right w:val="single" w:sz="4" w:space="0" w:color="auto"/>
            </w:tcBorders>
            <w:shd w:val="clear" w:color="auto" w:fill="C6EFCE"/>
            <w:noWrap/>
          </w:tcPr>
          <w:p w14:paraId="1540E18D" w14:textId="77777777" w:rsidR="00553430" w:rsidRDefault="00212577">
            <w:pPr>
              <w:pStyle w:val="P68B1DB1-Normal102"/>
              <w:spacing w:after="0" w:line="276" w:lineRule="auto"/>
              <w:jc w:val="center"/>
              <w:rPr>
                <w:noProof/>
              </w:rPr>
            </w:pPr>
            <w:r>
              <w:rPr>
                <w:noProof/>
              </w:rPr>
              <w:t> </w:t>
            </w:r>
          </w:p>
        </w:tc>
        <w:tc>
          <w:tcPr>
            <w:tcW w:w="1025" w:type="dxa"/>
            <w:tcBorders>
              <w:top w:val="single" w:sz="4" w:space="0" w:color="auto"/>
              <w:left w:val="nil"/>
              <w:bottom w:val="single" w:sz="4" w:space="0" w:color="auto"/>
              <w:right w:val="single" w:sz="4" w:space="0" w:color="auto"/>
            </w:tcBorders>
            <w:shd w:val="clear" w:color="auto" w:fill="C6EFCE"/>
            <w:noWrap/>
          </w:tcPr>
          <w:p w14:paraId="7519A2C7" w14:textId="77777777" w:rsidR="00553430" w:rsidRDefault="00212577">
            <w:pPr>
              <w:pStyle w:val="P68B1DB1-Normal102"/>
              <w:spacing w:after="0" w:line="276" w:lineRule="auto"/>
              <w:jc w:val="center"/>
              <w:rPr>
                <w:noProof/>
              </w:rPr>
            </w:pPr>
            <w:r>
              <w:rPr>
                <w:noProof/>
              </w:rPr>
              <w:t> </w:t>
            </w:r>
          </w:p>
        </w:tc>
        <w:tc>
          <w:tcPr>
            <w:tcW w:w="817" w:type="dxa"/>
            <w:tcBorders>
              <w:top w:val="single" w:sz="4" w:space="0" w:color="auto"/>
              <w:left w:val="nil"/>
              <w:bottom w:val="single" w:sz="4" w:space="0" w:color="auto"/>
              <w:right w:val="single" w:sz="4" w:space="0" w:color="auto"/>
            </w:tcBorders>
            <w:shd w:val="clear" w:color="auto" w:fill="C6EFCE"/>
            <w:noWrap/>
          </w:tcPr>
          <w:p w14:paraId="7386B436" w14:textId="77777777" w:rsidR="00553430" w:rsidRDefault="00212577">
            <w:pPr>
              <w:pStyle w:val="P68B1DB1-Normal102"/>
              <w:spacing w:after="0" w:line="276" w:lineRule="auto"/>
              <w:jc w:val="center"/>
              <w:rPr>
                <w:noProof/>
              </w:rPr>
            </w:pPr>
            <w:r>
              <w:rPr>
                <w:noProof/>
              </w:rPr>
              <w:t> </w:t>
            </w:r>
          </w:p>
        </w:tc>
        <w:tc>
          <w:tcPr>
            <w:tcW w:w="1167" w:type="dxa"/>
            <w:tcBorders>
              <w:top w:val="single" w:sz="4" w:space="0" w:color="auto"/>
              <w:left w:val="nil"/>
              <w:bottom w:val="single" w:sz="4" w:space="0" w:color="auto"/>
              <w:right w:val="single" w:sz="4" w:space="0" w:color="auto"/>
            </w:tcBorders>
            <w:shd w:val="clear" w:color="auto" w:fill="C6EFCE"/>
            <w:noWrap/>
          </w:tcPr>
          <w:p w14:paraId="11BC68A4" w14:textId="77777777" w:rsidR="00553430" w:rsidRDefault="00212577">
            <w:pPr>
              <w:pStyle w:val="P68B1DB1-Normal102"/>
              <w:spacing w:after="0" w:line="276" w:lineRule="auto"/>
              <w:jc w:val="center"/>
              <w:rPr>
                <w:noProof/>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noWrap/>
          </w:tcPr>
          <w:p w14:paraId="04071A26" w14:textId="77777777" w:rsidR="00553430" w:rsidRDefault="00212577">
            <w:pPr>
              <w:pStyle w:val="P68B1DB1-Normal102"/>
              <w:spacing w:after="0" w:line="276" w:lineRule="auto"/>
              <w:jc w:val="center"/>
              <w:rPr>
                <w:noProof/>
              </w:rPr>
            </w:pPr>
            <w:r>
              <w:rPr>
                <w:noProof/>
              </w:rPr>
              <w:t>2022</w:t>
            </w:r>
          </w:p>
        </w:tc>
        <w:tc>
          <w:tcPr>
            <w:tcW w:w="4220" w:type="dxa"/>
            <w:tcBorders>
              <w:top w:val="single" w:sz="4" w:space="0" w:color="auto"/>
              <w:left w:val="nil"/>
              <w:bottom w:val="single" w:sz="4" w:space="0" w:color="auto"/>
              <w:right w:val="single" w:sz="4" w:space="0" w:color="auto"/>
            </w:tcBorders>
            <w:shd w:val="clear" w:color="auto" w:fill="C6EFCE"/>
            <w:noWrap/>
          </w:tcPr>
          <w:p w14:paraId="1F82CA9F" w14:textId="1D0E7135" w:rsidR="00553430" w:rsidRDefault="00212577">
            <w:pPr>
              <w:pStyle w:val="P68B1DB1-Normal89"/>
              <w:spacing w:after="0" w:line="276" w:lineRule="auto"/>
              <w:rPr>
                <w:noProof/>
                <w:color w:val="000000"/>
              </w:rPr>
            </w:pPr>
            <w:r>
              <w:rPr>
                <w:noProof/>
                <w:color w:val="000000" w:themeColor="text1"/>
              </w:rPr>
              <w:t xml:space="preserve">Un système de répertoire pour le suivi de la mise en œuvre de la FRR est en place et opérationnel. </w:t>
            </w:r>
            <w:r>
              <w:rPr>
                <w:noProof/>
              </w:rPr>
              <w:br/>
            </w:r>
            <w:r>
              <w:rPr>
                <w:noProof/>
                <w:color w:val="000000" w:themeColor="text1"/>
              </w:rPr>
              <w:t>Le système comprend, au minimum, les fonc</w:t>
            </w:r>
            <w:r>
              <w:rPr>
                <w:noProof/>
                <w:color w:val="000000" w:themeColor="text1"/>
              </w:rPr>
              <w:t>tionnalités suivantes:</w:t>
            </w:r>
            <w:r>
              <w:rPr>
                <w:noProof/>
              </w:rPr>
              <w:br/>
            </w:r>
            <w:r>
              <w:rPr>
                <w:noProof/>
                <w:color w:val="000000" w:themeColor="text1"/>
              </w:rPr>
              <w:t>a) la collecte de données et le suivi de la réalisation des jalons et cibles;</w:t>
            </w:r>
            <w:r>
              <w:rPr>
                <w:noProof/>
              </w:rPr>
              <w:br/>
            </w:r>
            <w:r>
              <w:rPr>
                <w:noProof/>
                <w:color w:val="000000" w:themeColor="text1"/>
              </w:rPr>
              <w:t xml:space="preserve">b) collecter, stocker et garantir l’accès aux données requises par l’article 22, paragraphe 2, point d) i) à iii), du règlement FRR. </w:t>
            </w:r>
          </w:p>
        </w:tc>
      </w:tr>
      <w:tr w:rsidR="00553430" w14:paraId="4117C8DB" w14:textId="77777777" w:rsidTr="0019760D">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6BBD4E2" w14:textId="77777777" w:rsidR="00553430" w:rsidRDefault="00212577">
            <w:pPr>
              <w:pStyle w:val="P68B1DB1-Normal102"/>
              <w:spacing w:after="0" w:line="276" w:lineRule="auto"/>
              <w:jc w:val="center"/>
              <w:rPr>
                <w:noProof/>
              </w:rPr>
            </w:pPr>
            <w:r>
              <w:rPr>
                <w:noProof/>
              </w:rPr>
              <w:t>161</w:t>
            </w:r>
          </w:p>
        </w:tc>
        <w:tc>
          <w:tcPr>
            <w:tcW w:w="1243" w:type="dxa"/>
            <w:tcBorders>
              <w:top w:val="single" w:sz="4" w:space="0" w:color="auto"/>
              <w:left w:val="nil"/>
              <w:bottom w:val="single" w:sz="4" w:space="0" w:color="auto"/>
              <w:right w:val="single" w:sz="4" w:space="0" w:color="auto"/>
            </w:tcBorders>
            <w:shd w:val="clear" w:color="auto" w:fill="C6EFCE"/>
            <w:noWrap/>
          </w:tcPr>
          <w:p w14:paraId="4EE2BDBD" w14:textId="77777777" w:rsidR="00553430" w:rsidRDefault="00212577">
            <w:pPr>
              <w:pStyle w:val="P68B1DB1-Normal102"/>
              <w:spacing w:after="0" w:line="276" w:lineRule="auto"/>
              <w:jc w:val="center"/>
              <w:rPr>
                <w:noProof/>
              </w:rPr>
            </w:pPr>
            <w:r>
              <w:rPr>
                <w:noProof/>
              </w:rPr>
              <w:t>C2.1. R2-I1</w:t>
            </w:r>
          </w:p>
        </w:tc>
        <w:tc>
          <w:tcPr>
            <w:tcW w:w="1124" w:type="dxa"/>
            <w:tcBorders>
              <w:top w:val="single" w:sz="4" w:space="0" w:color="auto"/>
              <w:left w:val="nil"/>
              <w:bottom w:val="single" w:sz="4" w:space="0" w:color="auto"/>
              <w:right w:val="single" w:sz="4" w:space="0" w:color="auto"/>
            </w:tcBorders>
            <w:shd w:val="clear" w:color="auto" w:fill="C6EFCE"/>
            <w:noWrap/>
          </w:tcPr>
          <w:p w14:paraId="6B95DB1E" w14:textId="77777777" w:rsidR="00553430" w:rsidRDefault="00212577">
            <w:pPr>
              <w:pStyle w:val="P68B1DB1-Normal102"/>
              <w:spacing w:after="0" w:line="276" w:lineRule="auto"/>
              <w:jc w:val="center"/>
              <w:rPr>
                <w:noProof/>
              </w:rPr>
            </w:pPr>
            <w:r>
              <w:rPr>
                <w:noProof/>
              </w:rPr>
              <w:t>T</w:t>
            </w:r>
          </w:p>
        </w:tc>
        <w:tc>
          <w:tcPr>
            <w:tcW w:w="1784" w:type="dxa"/>
            <w:tcBorders>
              <w:top w:val="single" w:sz="4" w:space="0" w:color="auto"/>
              <w:left w:val="nil"/>
              <w:bottom w:val="single" w:sz="4" w:space="0" w:color="auto"/>
              <w:right w:val="single" w:sz="4" w:space="0" w:color="auto"/>
            </w:tcBorders>
            <w:shd w:val="clear" w:color="auto" w:fill="C6EFCE"/>
            <w:noWrap/>
          </w:tcPr>
          <w:p w14:paraId="6F03F778" w14:textId="77777777" w:rsidR="00553430" w:rsidRDefault="00212577">
            <w:pPr>
              <w:pStyle w:val="P68B1DB1-Normal102"/>
              <w:spacing w:after="0" w:line="276" w:lineRule="auto"/>
              <w:rPr>
                <w:noProof/>
              </w:rPr>
            </w:pPr>
            <w:r>
              <w:rPr>
                <w:noProof/>
              </w:rPr>
              <w:t>Préparation de la documentation technique des projets de transition écologique et numérique</w:t>
            </w:r>
          </w:p>
        </w:tc>
        <w:tc>
          <w:tcPr>
            <w:tcW w:w="1912" w:type="dxa"/>
            <w:tcBorders>
              <w:top w:val="single" w:sz="4" w:space="0" w:color="auto"/>
              <w:left w:val="nil"/>
              <w:bottom w:val="single" w:sz="4" w:space="0" w:color="auto"/>
              <w:right w:val="single" w:sz="4" w:space="0" w:color="auto"/>
            </w:tcBorders>
            <w:shd w:val="clear" w:color="auto" w:fill="C6EFCE"/>
            <w:noWrap/>
          </w:tcPr>
          <w:p w14:paraId="0639B441" w14:textId="77777777" w:rsidR="00553430" w:rsidRDefault="00212577">
            <w:pPr>
              <w:pStyle w:val="P68B1DB1-Normal102"/>
              <w:spacing w:after="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6EC4C640" w14:textId="77777777" w:rsidR="00553430" w:rsidRDefault="00212577">
            <w:pPr>
              <w:pStyle w:val="P68B1DB1-Normal102"/>
              <w:spacing w:after="0" w:line="276" w:lineRule="auto"/>
              <w:jc w:val="center"/>
              <w:rPr>
                <w:noProof/>
              </w:rPr>
            </w:pPr>
            <w:r>
              <w:rPr>
                <w:noProof/>
              </w:rPr>
              <w:t>Numéro (montant)</w:t>
            </w:r>
          </w:p>
        </w:tc>
        <w:tc>
          <w:tcPr>
            <w:tcW w:w="1025" w:type="dxa"/>
            <w:tcBorders>
              <w:top w:val="single" w:sz="4" w:space="0" w:color="auto"/>
              <w:left w:val="nil"/>
              <w:bottom w:val="single" w:sz="4" w:space="0" w:color="auto"/>
              <w:right w:val="single" w:sz="4" w:space="0" w:color="auto"/>
            </w:tcBorders>
            <w:shd w:val="clear" w:color="auto" w:fill="C6EFCE"/>
            <w:noWrap/>
          </w:tcPr>
          <w:p w14:paraId="0DF67EA3" w14:textId="77777777" w:rsidR="00553430" w:rsidRDefault="00212577">
            <w:pPr>
              <w:pStyle w:val="P68B1DB1-Normal102"/>
              <w:spacing w:after="0" w:line="276" w:lineRule="auto"/>
              <w:jc w:val="center"/>
              <w:rPr>
                <w:noProof/>
              </w:rPr>
            </w:pPr>
            <w:r>
              <w:rPr>
                <w:noProof/>
              </w:rPr>
              <w:t>0</w:t>
            </w:r>
          </w:p>
        </w:tc>
        <w:tc>
          <w:tcPr>
            <w:tcW w:w="817" w:type="dxa"/>
            <w:tcBorders>
              <w:top w:val="single" w:sz="4" w:space="0" w:color="auto"/>
              <w:left w:val="nil"/>
              <w:bottom w:val="single" w:sz="4" w:space="0" w:color="auto"/>
              <w:right w:val="single" w:sz="4" w:space="0" w:color="auto"/>
            </w:tcBorders>
            <w:shd w:val="clear" w:color="auto" w:fill="C6EFCE"/>
            <w:noWrap/>
          </w:tcPr>
          <w:p w14:paraId="4464F095" w14:textId="77777777" w:rsidR="00553430" w:rsidRDefault="00212577">
            <w:pPr>
              <w:pStyle w:val="P68B1DB1-Normal102"/>
              <w:spacing w:after="0" w:line="276" w:lineRule="auto"/>
              <w:jc w:val="center"/>
              <w:rPr>
                <w:noProof/>
              </w:rPr>
            </w:pPr>
            <w:r>
              <w:rPr>
                <w:noProof/>
              </w:rPr>
              <w:t>6 370 695</w:t>
            </w:r>
          </w:p>
        </w:tc>
        <w:tc>
          <w:tcPr>
            <w:tcW w:w="1167" w:type="dxa"/>
            <w:tcBorders>
              <w:top w:val="single" w:sz="4" w:space="0" w:color="auto"/>
              <w:left w:val="nil"/>
              <w:bottom w:val="single" w:sz="4" w:space="0" w:color="auto"/>
              <w:right w:val="single" w:sz="4" w:space="0" w:color="auto"/>
            </w:tcBorders>
            <w:shd w:val="clear" w:color="auto" w:fill="C6EFCE"/>
            <w:noWrap/>
          </w:tcPr>
          <w:p w14:paraId="6F6E54E6" w14:textId="77777777" w:rsidR="00553430" w:rsidRDefault="00212577">
            <w:pPr>
              <w:pStyle w:val="P68B1DB1-Normal102"/>
              <w:spacing w:after="0" w:line="276"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76BBF469" w14:textId="77777777" w:rsidR="00553430" w:rsidRDefault="00212577">
            <w:pPr>
              <w:pStyle w:val="P68B1DB1-Normal102"/>
              <w:spacing w:after="0" w:line="276" w:lineRule="auto"/>
              <w:jc w:val="center"/>
              <w:rPr>
                <w:noProof/>
              </w:rPr>
            </w:pPr>
            <w:r>
              <w:rPr>
                <w:noProof/>
              </w:rPr>
              <w:t>2022</w:t>
            </w:r>
          </w:p>
        </w:tc>
        <w:tc>
          <w:tcPr>
            <w:tcW w:w="4220" w:type="dxa"/>
            <w:tcBorders>
              <w:top w:val="single" w:sz="4" w:space="0" w:color="auto"/>
              <w:left w:val="nil"/>
              <w:bottom w:val="single" w:sz="4" w:space="0" w:color="auto"/>
              <w:right w:val="single" w:sz="4" w:space="0" w:color="auto"/>
            </w:tcBorders>
            <w:shd w:val="clear" w:color="auto" w:fill="C6EFCE"/>
            <w:noWrap/>
          </w:tcPr>
          <w:p w14:paraId="239C5FE6" w14:textId="77777777" w:rsidR="00553430" w:rsidRDefault="00212577">
            <w:pPr>
              <w:pStyle w:val="P68B1DB1-Normal102"/>
              <w:spacing w:after="0" w:line="276" w:lineRule="auto"/>
              <w:rPr>
                <w:noProof/>
              </w:rPr>
            </w:pPr>
            <w:r>
              <w:rPr>
                <w:noProof/>
              </w:rPr>
              <w:t>Un montant de 6 370 695 EUR est octroyé au moyen de décisions de financement pour l’élaboration de la documentation technique</w:t>
            </w:r>
            <w:r>
              <w:rPr>
                <w:noProof/>
              </w:rPr>
              <w:t xml:space="preserve"> relative aux projets élaborée par les ministères, les agences nationales et les collectivités locales et régionales afin de soutenir les transitions écologique et numérique.</w:t>
            </w:r>
          </w:p>
        </w:tc>
      </w:tr>
      <w:tr w:rsidR="00553430" w14:paraId="28DC05D3" w14:textId="77777777" w:rsidTr="0019760D">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8814C47" w14:textId="77777777" w:rsidR="00553430" w:rsidRDefault="00212577">
            <w:pPr>
              <w:pStyle w:val="P68B1DB1-Normal102"/>
              <w:spacing w:after="0" w:line="276" w:lineRule="auto"/>
              <w:jc w:val="center"/>
              <w:rPr>
                <w:noProof/>
              </w:rPr>
            </w:pPr>
            <w:r>
              <w:rPr>
                <w:noProof/>
              </w:rPr>
              <w:t>162</w:t>
            </w:r>
          </w:p>
        </w:tc>
        <w:tc>
          <w:tcPr>
            <w:tcW w:w="1243" w:type="dxa"/>
            <w:tcBorders>
              <w:top w:val="single" w:sz="4" w:space="0" w:color="auto"/>
              <w:left w:val="nil"/>
              <w:bottom w:val="single" w:sz="4" w:space="0" w:color="auto"/>
              <w:right w:val="single" w:sz="4" w:space="0" w:color="auto"/>
            </w:tcBorders>
            <w:shd w:val="clear" w:color="auto" w:fill="C6EFCE"/>
            <w:noWrap/>
          </w:tcPr>
          <w:p w14:paraId="23582E04" w14:textId="77777777" w:rsidR="00553430" w:rsidRDefault="00212577">
            <w:pPr>
              <w:pStyle w:val="P68B1DB1-Normal102"/>
              <w:spacing w:after="0" w:line="276" w:lineRule="auto"/>
              <w:jc w:val="center"/>
              <w:rPr>
                <w:noProof/>
              </w:rPr>
            </w:pPr>
            <w:r>
              <w:rPr>
                <w:noProof/>
              </w:rPr>
              <w:t>C2.1. R2-I1</w:t>
            </w:r>
          </w:p>
        </w:tc>
        <w:tc>
          <w:tcPr>
            <w:tcW w:w="1124" w:type="dxa"/>
            <w:tcBorders>
              <w:top w:val="single" w:sz="4" w:space="0" w:color="auto"/>
              <w:left w:val="nil"/>
              <w:bottom w:val="single" w:sz="4" w:space="0" w:color="auto"/>
              <w:right w:val="single" w:sz="4" w:space="0" w:color="auto"/>
            </w:tcBorders>
            <w:shd w:val="clear" w:color="auto" w:fill="C6EFCE"/>
            <w:noWrap/>
          </w:tcPr>
          <w:p w14:paraId="08EA0A5A" w14:textId="77777777" w:rsidR="00553430" w:rsidRDefault="00212577">
            <w:pPr>
              <w:pStyle w:val="P68B1DB1-Normal102"/>
              <w:spacing w:after="0" w:line="276" w:lineRule="auto"/>
              <w:jc w:val="center"/>
              <w:rPr>
                <w:noProof/>
              </w:rPr>
            </w:pPr>
            <w:r>
              <w:rPr>
                <w:noProof/>
              </w:rPr>
              <w:t>T</w:t>
            </w:r>
          </w:p>
        </w:tc>
        <w:tc>
          <w:tcPr>
            <w:tcW w:w="1784" w:type="dxa"/>
            <w:tcBorders>
              <w:top w:val="single" w:sz="4" w:space="0" w:color="auto"/>
              <w:left w:val="nil"/>
              <w:bottom w:val="single" w:sz="4" w:space="0" w:color="auto"/>
              <w:right w:val="single" w:sz="4" w:space="0" w:color="auto"/>
            </w:tcBorders>
            <w:shd w:val="clear" w:color="auto" w:fill="C6EFCE"/>
            <w:noWrap/>
          </w:tcPr>
          <w:p w14:paraId="159BC955" w14:textId="77777777" w:rsidR="00553430" w:rsidRDefault="00212577">
            <w:pPr>
              <w:pStyle w:val="P68B1DB1-Normal102"/>
              <w:spacing w:after="0" w:line="276" w:lineRule="auto"/>
              <w:rPr>
                <w:noProof/>
              </w:rPr>
            </w:pPr>
            <w:r>
              <w:rPr>
                <w:noProof/>
              </w:rPr>
              <w:t xml:space="preserve">Préparation de la documentation technique des projets de </w:t>
            </w:r>
            <w:r>
              <w:rPr>
                <w:noProof/>
              </w:rPr>
              <w:t>transition écologique et numérique</w:t>
            </w:r>
          </w:p>
        </w:tc>
        <w:tc>
          <w:tcPr>
            <w:tcW w:w="1912" w:type="dxa"/>
            <w:tcBorders>
              <w:top w:val="single" w:sz="4" w:space="0" w:color="auto"/>
              <w:left w:val="nil"/>
              <w:bottom w:val="single" w:sz="4" w:space="0" w:color="auto"/>
              <w:right w:val="single" w:sz="4" w:space="0" w:color="auto"/>
            </w:tcBorders>
            <w:shd w:val="clear" w:color="auto" w:fill="C6EFCE"/>
            <w:noWrap/>
          </w:tcPr>
          <w:p w14:paraId="148782EB" w14:textId="77777777" w:rsidR="00553430" w:rsidRDefault="00212577">
            <w:pPr>
              <w:pStyle w:val="P68B1DB1-Normal102"/>
              <w:spacing w:after="0" w:line="276" w:lineRule="auto"/>
              <w:rPr>
                <w:noProof/>
              </w:rPr>
            </w:pPr>
            <w:r>
              <w:rPr>
                <w:noProof/>
              </w:rPr>
              <w:t> </w:t>
            </w:r>
          </w:p>
        </w:tc>
        <w:tc>
          <w:tcPr>
            <w:tcW w:w="1134" w:type="dxa"/>
            <w:tcBorders>
              <w:top w:val="single" w:sz="4" w:space="0" w:color="auto"/>
              <w:left w:val="nil"/>
              <w:bottom w:val="single" w:sz="4" w:space="0" w:color="auto"/>
              <w:right w:val="single" w:sz="4" w:space="0" w:color="auto"/>
            </w:tcBorders>
            <w:shd w:val="clear" w:color="auto" w:fill="C6EFCE"/>
            <w:noWrap/>
          </w:tcPr>
          <w:p w14:paraId="2DB63E53" w14:textId="77777777" w:rsidR="00553430" w:rsidRDefault="00212577">
            <w:pPr>
              <w:pStyle w:val="P68B1DB1-Normal102"/>
              <w:spacing w:after="0" w:line="276" w:lineRule="auto"/>
              <w:jc w:val="center"/>
              <w:rPr>
                <w:noProof/>
              </w:rPr>
            </w:pPr>
            <w:r>
              <w:rPr>
                <w:noProof/>
              </w:rPr>
              <w:t>Numéro</w:t>
            </w:r>
          </w:p>
        </w:tc>
        <w:tc>
          <w:tcPr>
            <w:tcW w:w="1025" w:type="dxa"/>
            <w:tcBorders>
              <w:top w:val="single" w:sz="4" w:space="0" w:color="auto"/>
              <w:left w:val="nil"/>
              <w:bottom w:val="single" w:sz="4" w:space="0" w:color="auto"/>
              <w:right w:val="single" w:sz="4" w:space="0" w:color="auto"/>
            </w:tcBorders>
            <w:shd w:val="clear" w:color="auto" w:fill="C6EFCE"/>
            <w:noWrap/>
          </w:tcPr>
          <w:p w14:paraId="4381BE88" w14:textId="77777777" w:rsidR="00553430" w:rsidRDefault="00212577">
            <w:pPr>
              <w:pStyle w:val="P68B1DB1-Normal102"/>
              <w:spacing w:after="0" w:line="276" w:lineRule="auto"/>
              <w:jc w:val="center"/>
              <w:rPr>
                <w:noProof/>
              </w:rPr>
            </w:pPr>
            <w:r>
              <w:rPr>
                <w:noProof/>
              </w:rPr>
              <w:t>0</w:t>
            </w:r>
          </w:p>
        </w:tc>
        <w:tc>
          <w:tcPr>
            <w:tcW w:w="817" w:type="dxa"/>
            <w:tcBorders>
              <w:top w:val="single" w:sz="4" w:space="0" w:color="auto"/>
              <w:left w:val="nil"/>
              <w:bottom w:val="single" w:sz="4" w:space="0" w:color="auto"/>
              <w:right w:val="single" w:sz="4" w:space="0" w:color="auto"/>
            </w:tcBorders>
            <w:shd w:val="clear" w:color="auto" w:fill="C6EFCE"/>
            <w:noWrap/>
          </w:tcPr>
          <w:p w14:paraId="63775314" w14:textId="77777777" w:rsidR="00553430" w:rsidRDefault="00212577">
            <w:pPr>
              <w:pStyle w:val="P68B1DB1-Normal102"/>
              <w:spacing w:after="0" w:line="276" w:lineRule="auto"/>
              <w:jc w:val="center"/>
              <w:rPr>
                <w:noProof/>
              </w:rPr>
            </w:pPr>
            <w:r>
              <w:rPr>
                <w:noProof/>
              </w:rPr>
              <w:t>100</w:t>
            </w:r>
          </w:p>
        </w:tc>
        <w:tc>
          <w:tcPr>
            <w:tcW w:w="1167" w:type="dxa"/>
            <w:tcBorders>
              <w:top w:val="single" w:sz="4" w:space="0" w:color="auto"/>
              <w:left w:val="nil"/>
              <w:bottom w:val="single" w:sz="4" w:space="0" w:color="auto"/>
              <w:right w:val="single" w:sz="4" w:space="0" w:color="auto"/>
            </w:tcBorders>
            <w:shd w:val="clear" w:color="auto" w:fill="C6EFCE"/>
            <w:noWrap/>
          </w:tcPr>
          <w:p w14:paraId="73BB00C7" w14:textId="77777777" w:rsidR="00553430" w:rsidRDefault="00212577">
            <w:pPr>
              <w:pStyle w:val="P68B1DB1-Normal102"/>
              <w:spacing w:after="0" w:line="276"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6819BC50" w14:textId="77777777" w:rsidR="00553430" w:rsidRDefault="00212577">
            <w:pPr>
              <w:pStyle w:val="P68B1DB1-Normal102"/>
              <w:spacing w:after="0" w:line="276" w:lineRule="auto"/>
              <w:jc w:val="center"/>
              <w:rPr>
                <w:noProof/>
              </w:rPr>
            </w:pPr>
            <w:r>
              <w:rPr>
                <w:noProof/>
              </w:rPr>
              <w:t>2025</w:t>
            </w:r>
          </w:p>
        </w:tc>
        <w:tc>
          <w:tcPr>
            <w:tcW w:w="4220" w:type="dxa"/>
            <w:tcBorders>
              <w:top w:val="single" w:sz="4" w:space="0" w:color="auto"/>
              <w:left w:val="nil"/>
              <w:bottom w:val="single" w:sz="4" w:space="0" w:color="auto"/>
              <w:right w:val="single" w:sz="4" w:space="0" w:color="auto"/>
            </w:tcBorders>
            <w:shd w:val="clear" w:color="auto" w:fill="C6EFCE"/>
            <w:noWrap/>
          </w:tcPr>
          <w:p w14:paraId="3E5A4A2A" w14:textId="248F7E29" w:rsidR="00553430" w:rsidRDefault="00212577">
            <w:pPr>
              <w:pStyle w:val="P68B1DB1-Normal102"/>
              <w:spacing w:after="0" w:line="276" w:lineRule="auto"/>
              <w:rPr>
                <w:noProof/>
              </w:rPr>
            </w:pPr>
            <w:r>
              <w:rPr>
                <w:noProof/>
              </w:rPr>
              <w:t>Des subventions sont octroyées à des entités publiques pour l’élaboration d’une documentation technique de projet pour au moins 100 projets visant à soutenir les transitions écologique et numérique.</w:t>
            </w:r>
            <w:r>
              <w:rPr>
                <w:noProof/>
              </w:rPr>
              <w:t xml:space="preserve"> </w:t>
            </w:r>
          </w:p>
        </w:tc>
      </w:tr>
    </w:tbl>
    <w:p w14:paraId="1BD83DF4" w14:textId="77777777" w:rsidR="00553430" w:rsidRDefault="00553430">
      <w:pPr>
        <w:rPr>
          <w:noProof/>
        </w:rPr>
      </w:pPr>
    </w:p>
    <w:p w14:paraId="51CD8C5C" w14:textId="77777777" w:rsidR="00553430" w:rsidRDefault="00553430">
      <w:pPr>
        <w:rPr>
          <w:noProof/>
        </w:rPr>
        <w:sectPr w:rsidR="00553430" w:rsidSect="00FA29B2">
          <w:headerReference w:type="even" r:id="rId129"/>
          <w:headerReference w:type="default" r:id="rId130"/>
          <w:footerReference w:type="even" r:id="rId131"/>
          <w:footerReference w:type="default" r:id="rId132"/>
          <w:headerReference w:type="first" r:id="rId133"/>
          <w:footerReference w:type="first" r:id="rId134"/>
          <w:pgSz w:w="16839" w:h="11907" w:orient="landscape"/>
          <w:pgMar w:top="1134" w:right="1134" w:bottom="1134" w:left="1134" w:header="567" w:footer="567" w:gutter="0"/>
          <w:cols w:space="720"/>
          <w:docGrid w:linePitch="360"/>
        </w:sectPr>
      </w:pPr>
    </w:p>
    <w:p w14:paraId="558E93A4" w14:textId="77777777" w:rsidR="00553430" w:rsidRDefault="00553430">
      <w:pPr>
        <w:pStyle w:val="paragraph"/>
        <w:spacing w:before="0" w:beforeAutospacing="0" w:after="0" w:afterAutospacing="0"/>
        <w:ind w:left="705"/>
        <w:jc w:val="both"/>
        <w:textAlignment w:val="baseline"/>
        <w:rPr>
          <w:rFonts w:ascii="Segoe UI" w:hAnsi="Segoe UI" w:cs="Segoe UI"/>
          <w:noProof/>
          <w:sz w:val="18"/>
          <w:szCs w:val="18"/>
        </w:rPr>
      </w:pPr>
    </w:p>
    <w:p w14:paraId="59C2DBD5" w14:textId="77777777" w:rsidR="00553430" w:rsidRDefault="00212577">
      <w:pPr>
        <w:pStyle w:val="paragraph"/>
        <w:spacing w:before="0" w:beforeAutospacing="0" w:after="0" w:afterAutospacing="0"/>
        <w:ind w:left="840"/>
        <w:jc w:val="both"/>
        <w:textAlignment w:val="baseline"/>
        <w:rPr>
          <w:b/>
          <w:bCs/>
          <w:noProof/>
          <w:szCs w:val="24"/>
          <w:u w:val="single"/>
        </w:rPr>
      </w:pPr>
      <w:r>
        <w:rPr>
          <w:rStyle w:val="normaltextrun"/>
          <w:b/>
          <w:bCs/>
          <w:noProof/>
          <w:szCs w:val="24"/>
          <w:u w:val="single"/>
        </w:rPr>
        <w:t xml:space="preserve">G.3. </w:t>
      </w:r>
      <w:r>
        <w:rPr>
          <w:rStyle w:val="normaltextrun"/>
          <w:b/>
          <w:bCs/>
          <w:noProof/>
          <w:szCs w:val="24"/>
          <w:u w:val="single"/>
        </w:rPr>
        <w:tab/>
        <w:t>Description des réformes et des investissements pour le prêt   </w:t>
      </w:r>
    </w:p>
    <w:p w14:paraId="237871BE" w14:textId="77777777" w:rsidR="00553430" w:rsidRDefault="00212577">
      <w:pPr>
        <w:pStyle w:val="paragraph"/>
        <w:spacing w:before="0" w:beforeAutospacing="0" w:after="0" w:afterAutospacing="0"/>
        <w:ind w:left="840"/>
        <w:jc w:val="both"/>
        <w:textAlignment w:val="baseline"/>
        <w:rPr>
          <w:rStyle w:val="eop"/>
          <w:noProof/>
          <w:color w:val="4F81BD"/>
          <w:szCs w:val="24"/>
        </w:rPr>
      </w:pPr>
      <w:r>
        <w:rPr>
          <w:rStyle w:val="normaltextrun"/>
          <w:noProof/>
          <w:color w:val="4F81BD"/>
          <w:szCs w:val="24"/>
        </w:rPr>
        <w:t> </w:t>
      </w:r>
    </w:p>
    <w:p w14:paraId="5EB0470F" w14:textId="77777777" w:rsidR="00553430" w:rsidRDefault="00212577">
      <w:pPr>
        <w:pStyle w:val="P68B1DB1-Normal81"/>
        <w:keepNext/>
        <w:spacing w:line="276" w:lineRule="auto"/>
        <w:ind w:left="850"/>
        <w:jc w:val="both"/>
        <w:rPr>
          <w:noProof/>
        </w:rPr>
      </w:pPr>
      <w:r>
        <w:rPr>
          <w:noProof/>
        </w:rPr>
        <w:t xml:space="preserve">Investissement C2.1 R1-I2 - Renforcement des capacités en matière de planification stratégique et d'amélioration de la réglementation </w:t>
      </w:r>
    </w:p>
    <w:p w14:paraId="2BA2FDC4" w14:textId="77777777" w:rsidR="00553430" w:rsidRDefault="00212577">
      <w:pPr>
        <w:pStyle w:val="Text1"/>
        <w:spacing w:line="276" w:lineRule="auto"/>
        <w:ind w:left="0"/>
        <w:rPr>
          <w:rStyle w:val="normaltextrun"/>
          <w:noProof/>
          <w:szCs w:val="24"/>
        </w:rPr>
      </w:pPr>
      <w:r>
        <w:rPr>
          <w:rStyle w:val="normaltextrun"/>
          <w:noProof/>
          <w:szCs w:val="24"/>
        </w:rPr>
        <w:t>L’objectif de cet investissement est de contribuer à assurer la durabilité du système de planification stratégique et d’a</w:t>
      </w:r>
      <w:r>
        <w:rPr>
          <w:rStyle w:val="normaltextrun"/>
          <w:noProof/>
          <w:szCs w:val="24"/>
        </w:rPr>
        <w:t xml:space="preserve">méliorer la qualité de l’élaboration et de la mise en œuvre des politiques publiques en Croatie. </w:t>
      </w:r>
    </w:p>
    <w:p w14:paraId="26EE1096" w14:textId="7C2D8F96" w:rsidR="00553430" w:rsidRDefault="00212577">
      <w:pPr>
        <w:pStyle w:val="Text1"/>
        <w:spacing w:line="276" w:lineRule="auto"/>
        <w:ind w:left="0"/>
        <w:rPr>
          <w:rStyle w:val="normaltextrun"/>
          <w:noProof/>
          <w:szCs w:val="24"/>
          <w:shd w:val="clear" w:color="auto" w:fill="FFFFFF"/>
        </w:rPr>
      </w:pPr>
      <w:r>
        <w:rPr>
          <w:rStyle w:val="normaltextrun"/>
          <w:noProof/>
          <w:szCs w:val="24"/>
          <w:shd w:val="clear" w:color="auto" w:fill="FFFFFF"/>
        </w:rPr>
        <w:t xml:space="preserve">Cet investissement vise à développer des modules éducatifs et à organiser des formations afin d’améliorer l’exécution des tâches de planification stratégique </w:t>
      </w:r>
      <w:r>
        <w:rPr>
          <w:rStyle w:val="normaltextrun"/>
          <w:noProof/>
          <w:szCs w:val="24"/>
          <w:shd w:val="clear" w:color="auto" w:fill="FFFFFF"/>
        </w:rPr>
        <w:t xml:space="preserve">au sein des organismes publics. </w:t>
      </w:r>
    </w:p>
    <w:p w14:paraId="15FF0FCE" w14:textId="77777777" w:rsidR="00553430" w:rsidRDefault="00212577">
      <w:pPr>
        <w:pStyle w:val="P68B1DB1-Normal116"/>
        <w:spacing w:line="276" w:lineRule="auto"/>
        <w:rPr>
          <w:noProof/>
        </w:rPr>
        <w:sectPr w:rsidR="00553430" w:rsidSect="00FA29B2">
          <w:headerReference w:type="even" r:id="rId135"/>
          <w:headerReference w:type="default" r:id="rId136"/>
          <w:footerReference w:type="even" r:id="rId137"/>
          <w:footerReference w:type="default" r:id="rId138"/>
          <w:headerReference w:type="first" r:id="rId139"/>
          <w:footerReference w:type="first" r:id="rId140"/>
          <w:pgSz w:w="11907" w:h="16839"/>
          <w:pgMar w:top="1134" w:right="1134" w:bottom="1134" w:left="1134" w:header="567" w:footer="567" w:gutter="0"/>
          <w:cols w:space="720"/>
          <w:docGrid w:linePitch="360"/>
        </w:sectPr>
      </w:pPr>
      <w:r>
        <w:rPr>
          <w:noProof/>
        </w:rPr>
        <w:t>Cet investissement est achevé au plus tard le 31 décembre 2025.</w:t>
      </w:r>
    </w:p>
    <w:p w14:paraId="750E05FC" w14:textId="77777777" w:rsidR="00553430" w:rsidRDefault="00212577">
      <w:pPr>
        <w:pStyle w:val="P68B1DB1-Normal82"/>
        <w:spacing w:line="240" w:lineRule="auto"/>
        <w:jc w:val="both"/>
        <w:textAlignment w:val="baseline"/>
        <w:rPr>
          <w:noProof/>
        </w:rPr>
      </w:pPr>
      <w:r>
        <w:rPr>
          <w:b/>
          <w:noProof/>
        </w:rPr>
        <w:t xml:space="preserve">G.4. </w:t>
      </w:r>
      <w:r>
        <w:rPr>
          <w:noProof/>
        </w:rPr>
        <w:t xml:space="preserve"> </w:t>
      </w:r>
      <w:r>
        <w:rPr>
          <w:b/>
          <w:bCs/>
          <w:noProof/>
        </w:rPr>
        <w:t>Étapes, objectifs, indicateurs et calendrier du suivi et de la mise en œuvre du prêt </w:t>
      </w:r>
      <w:r>
        <w:rPr>
          <w:noProof/>
        </w:rPr>
        <w:t>  </w:t>
      </w:r>
    </w:p>
    <w:tbl>
      <w:tblPr>
        <w:tblW w:w="15898" w:type="dxa"/>
        <w:jc w:val="center"/>
        <w:tblLayout w:type="fixed"/>
        <w:tblLook w:val="04A0" w:firstRow="1" w:lastRow="0" w:firstColumn="1" w:lastColumn="0" w:noHBand="0" w:noVBand="1"/>
      </w:tblPr>
      <w:tblGrid>
        <w:gridCol w:w="1050"/>
        <w:gridCol w:w="1050"/>
        <w:gridCol w:w="1180"/>
        <w:gridCol w:w="2118"/>
        <w:gridCol w:w="1797"/>
        <w:gridCol w:w="1080"/>
        <w:gridCol w:w="1080"/>
        <w:gridCol w:w="1080"/>
        <w:gridCol w:w="1144"/>
        <w:gridCol w:w="992"/>
        <w:gridCol w:w="3327"/>
      </w:tblGrid>
      <w:tr w:rsidR="00553430" w14:paraId="5197480D" w14:textId="77777777" w:rsidTr="0019760D">
        <w:trPr>
          <w:trHeight w:val="305"/>
          <w:jc w:val="center"/>
        </w:trPr>
        <w:tc>
          <w:tcPr>
            <w:tcW w:w="10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087E92" w14:textId="77777777" w:rsidR="00553430" w:rsidRDefault="00212577">
            <w:pPr>
              <w:pStyle w:val="P68B1DB1-Normal58"/>
              <w:spacing w:after="0"/>
              <w:jc w:val="center"/>
              <w:rPr>
                <w:bCs/>
                <w:noProof/>
              </w:rPr>
            </w:pPr>
            <w:r>
              <w:rPr>
                <w:noProof/>
              </w:rPr>
              <w:t>Numéro</w:t>
            </w:r>
          </w:p>
        </w:tc>
        <w:tc>
          <w:tcPr>
            <w:tcW w:w="10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EEC81C6" w14:textId="77777777" w:rsidR="00553430" w:rsidRDefault="00212577">
            <w:pPr>
              <w:pStyle w:val="P68B1DB1-Normal58"/>
              <w:spacing w:after="0"/>
              <w:jc w:val="center"/>
              <w:rPr>
                <w:bCs/>
                <w:noProof/>
              </w:rPr>
            </w:pPr>
            <w:r>
              <w:rPr>
                <w:noProof/>
              </w:rPr>
              <w:t>Mesure</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23B87DC" w14:textId="77777777" w:rsidR="00553430" w:rsidRDefault="00212577">
            <w:pPr>
              <w:pStyle w:val="P68B1DB1-Normal58"/>
              <w:spacing w:after="0"/>
              <w:jc w:val="center"/>
              <w:rPr>
                <w:bCs/>
                <w:noProof/>
              </w:rPr>
            </w:pPr>
            <w:r>
              <w:rPr>
                <w:noProof/>
              </w:rPr>
              <w:t>Étape/cible</w:t>
            </w:r>
          </w:p>
        </w:tc>
        <w:tc>
          <w:tcPr>
            <w:tcW w:w="2118" w:type="dxa"/>
            <w:vMerge w:val="restart"/>
            <w:tcBorders>
              <w:top w:val="single" w:sz="4" w:space="0" w:color="auto"/>
              <w:left w:val="nil"/>
              <w:bottom w:val="single" w:sz="4" w:space="0" w:color="auto"/>
              <w:right w:val="single" w:sz="4" w:space="0" w:color="auto"/>
            </w:tcBorders>
            <w:shd w:val="clear" w:color="auto" w:fill="BDD7EE"/>
            <w:vAlign w:val="center"/>
            <w:hideMark/>
          </w:tcPr>
          <w:p w14:paraId="50D7D15F" w14:textId="77777777" w:rsidR="00553430" w:rsidRDefault="00212577">
            <w:pPr>
              <w:pStyle w:val="P68B1DB1-Normal58"/>
              <w:spacing w:after="0"/>
              <w:jc w:val="center"/>
              <w:rPr>
                <w:bCs/>
                <w:noProof/>
              </w:rPr>
            </w:pPr>
            <w:r>
              <w:rPr>
                <w:noProof/>
              </w:rPr>
              <w:t>Nom</w:t>
            </w:r>
          </w:p>
        </w:tc>
        <w:tc>
          <w:tcPr>
            <w:tcW w:w="17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2880A2C" w14:textId="77777777" w:rsidR="00553430" w:rsidRDefault="00212577">
            <w:pPr>
              <w:pStyle w:val="P68B1DB1-Normal59"/>
              <w:spacing w:after="0"/>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qualitatifs</w:t>
            </w:r>
            <w:r>
              <w:rPr>
                <w:rFonts w:ascii="Times New Roman" w:hAnsi="Times New Roman" w:cs="Times New Roman"/>
                <w:noProof/>
              </w:rPr>
              <w:br/>
            </w:r>
            <w:r>
              <w:rPr>
                <w:rFonts w:ascii="Times New Roman" w:eastAsia="Times New Roman" w:hAnsi="Times New Roman" w:cs="Times New Roman"/>
                <w:b/>
                <w:noProof/>
              </w:rPr>
              <w:t>(pour les jalons)</w:t>
            </w:r>
          </w:p>
        </w:tc>
        <w:tc>
          <w:tcPr>
            <w:tcW w:w="3240" w:type="dxa"/>
            <w:gridSpan w:val="3"/>
            <w:tcBorders>
              <w:top w:val="single" w:sz="4" w:space="0" w:color="auto"/>
              <w:left w:val="nil"/>
              <w:bottom w:val="single" w:sz="4" w:space="0" w:color="auto"/>
              <w:right w:val="single" w:sz="4" w:space="0" w:color="auto"/>
            </w:tcBorders>
            <w:shd w:val="clear" w:color="auto" w:fill="BDD7EE"/>
            <w:vAlign w:val="center"/>
            <w:hideMark/>
          </w:tcPr>
          <w:p w14:paraId="37FAF999" w14:textId="77777777" w:rsidR="00553430" w:rsidRDefault="00212577">
            <w:pPr>
              <w:pStyle w:val="P68B1DB1-Normal59"/>
              <w:spacing w:after="0"/>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hAnsi="Times New Roman" w:cs="Times New Roman"/>
                <w:noProof/>
              </w:rPr>
              <w:br/>
            </w:r>
            <w:r>
              <w:rPr>
                <w:rFonts w:ascii="Times New Roman" w:eastAsia="Times New Roman" w:hAnsi="Times New Roman" w:cs="Times New Roman"/>
                <w:b/>
                <w:noProof/>
              </w:rPr>
              <w:t>(pour les objectifs)</w:t>
            </w:r>
          </w:p>
        </w:tc>
        <w:tc>
          <w:tcPr>
            <w:tcW w:w="2136" w:type="dxa"/>
            <w:gridSpan w:val="2"/>
            <w:tcBorders>
              <w:top w:val="single" w:sz="4" w:space="0" w:color="auto"/>
              <w:left w:val="nil"/>
              <w:bottom w:val="single" w:sz="4" w:space="0" w:color="auto"/>
              <w:right w:val="single" w:sz="4" w:space="0" w:color="auto"/>
            </w:tcBorders>
            <w:shd w:val="clear" w:color="auto" w:fill="BDD7EE"/>
            <w:vAlign w:val="center"/>
            <w:hideMark/>
          </w:tcPr>
          <w:p w14:paraId="32464497" w14:textId="77777777" w:rsidR="00553430" w:rsidRDefault="00212577">
            <w:pPr>
              <w:pStyle w:val="P68B1DB1-Normal58"/>
              <w:spacing w:after="0"/>
              <w:jc w:val="center"/>
              <w:rPr>
                <w:bCs/>
                <w:noProof/>
              </w:rPr>
            </w:pPr>
            <w:r>
              <w:rPr>
                <w:noProof/>
              </w:rPr>
              <w:t>Temps</w:t>
            </w:r>
          </w:p>
        </w:tc>
        <w:tc>
          <w:tcPr>
            <w:tcW w:w="33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C235D0" w14:textId="77777777" w:rsidR="00553430" w:rsidRDefault="00212577">
            <w:pPr>
              <w:pStyle w:val="P68B1DB1-Normal58"/>
              <w:spacing w:after="0"/>
              <w:jc w:val="center"/>
              <w:rPr>
                <w:bCs/>
                <w:noProof/>
              </w:rPr>
            </w:pPr>
            <w:r>
              <w:rPr>
                <w:noProof/>
              </w:rPr>
              <w:t>Description de chaque jalon et cible</w:t>
            </w:r>
          </w:p>
        </w:tc>
      </w:tr>
      <w:tr w:rsidR="00553430" w14:paraId="3C68D9F2" w14:textId="77777777" w:rsidTr="0019760D">
        <w:trPr>
          <w:trHeight w:val="305"/>
          <w:jc w:val="center"/>
        </w:trPr>
        <w:tc>
          <w:tcPr>
            <w:tcW w:w="1050" w:type="dxa"/>
            <w:vMerge/>
            <w:tcBorders>
              <w:top w:val="single" w:sz="4" w:space="0" w:color="auto"/>
              <w:left w:val="single" w:sz="4" w:space="0" w:color="auto"/>
              <w:bottom w:val="single" w:sz="4" w:space="0" w:color="auto"/>
              <w:right w:val="single" w:sz="4" w:space="0" w:color="auto"/>
            </w:tcBorders>
            <w:vAlign w:val="center"/>
            <w:hideMark/>
          </w:tcPr>
          <w:p w14:paraId="33B3EC3F" w14:textId="77777777" w:rsidR="00553430" w:rsidRDefault="00553430">
            <w:pPr>
              <w:spacing w:after="0"/>
              <w:jc w:val="center"/>
              <w:rPr>
                <w:rFonts w:ascii="Times New Roman" w:eastAsia="Times New Roman" w:hAnsi="Times New Roman" w:cs="Times New Roman"/>
                <w:b/>
                <w:noProof/>
                <w:sz w:val="20"/>
                <w:szCs w:val="20"/>
              </w:rPr>
            </w:pPr>
          </w:p>
        </w:tc>
        <w:tc>
          <w:tcPr>
            <w:tcW w:w="1050" w:type="dxa"/>
            <w:vMerge/>
            <w:tcBorders>
              <w:top w:val="single" w:sz="4" w:space="0" w:color="auto"/>
              <w:left w:val="single" w:sz="4" w:space="0" w:color="auto"/>
              <w:bottom w:val="single" w:sz="4" w:space="0" w:color="auto"/>
              <w:right w:val="single" w:sz="4" w:space="0" w:color="auto"/>
            </w:tcBorders>
            <w:vAlign w:val="center"/>
            <w:hideMark/>
          </w:tcPr>
          <w:p w14:paraId="187AF858" w14:textId="77777777" w:rsidR="00553430" w:rsidRDefault="00553430">
            <w:pPr>
              <w:spacing w:after="0"/>
              <w:jc w:val="center"/>
              <w:rPr>
                <w:rFonts w:ascii="Times New Roman" w:eastAsia="Times New Roman" w:hAnsi="Times New Roman" w:cs="Times New Roman"/>
                <w:b/>
                <w:noProof/>
                <w:sz w:val="20"/>
                <w:szCs w:val="20"/>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4095F813" w14:textId="77777777" w:rsidR="00553430" w:rsidRDefault="00553430">
            <w:pPr>
              <w:spacing w:after="0"/>
              <w:jc w:val="center"/>
              <w:rPr>
                <w:rFonts w:ascii="Times New Roman" w:eastAsia="Times New Roman" w:hAnsi="Times New Roman" w:cs="Times New Roman"/>
                <w:b/>
                <w:noProof/>
                <w:sz w:val="20"/>
                <w:szCs w:val="20"/>
              </w:rPr>
            </w:pPr>
          </w:p>
        </w:tc>
        <w:tc>
          <w:tcPr>
            <w:tcW w:w="2118" w:type="dxa"/>
            <w:vMerge/>
            <w:tcBorders>
              <w:top w:val="single" w:sz="4" w:space="0" w:color="auto"/>
              <w:left w:val="single" w:sz="4" w:space="0" w:color="auto"/>
              <w:bottom w:val="single" w:sz="4" w:space="0" w:color="auto"/>
              <w:right w:val="single" w:sz="4" w:space="0" w:color="auto"/>
            </w:tcBorders>
            <w:vAlign w:val="center"/>
            <w:hideMark/>
          </w:tcPr>
          <w:p w14:paraId="545ABBE8" w14:textId="77777777" w:rsidR="00553430" w:rsidRDefault="00553430">
            <w:pPr>
              <w:spacing w:after="0"/>
              <w:jc w:val="center"/>
              <w:rPr>
                <w:rFonts w:ascii="Times New Roman" w:eastAsia="Times New Roman" w:hAnsi="Times New Roman" w:cs="Times New Roman"/>
                <w:b/>
                <w:noProof/>
                <w:sz w:val="20"/>
                <w:szCs w:val="20"/>
              </w:rPr>
            </w:pPr>
          </w:p>
        </w:tc>
        <w:tc>
          <w:tcPr>
            <w:tcW w:w="1797" w:type="dxa"/>
            <w:vMerge/>
            <w:tcBorders>
              <w:top w:val="single" w:sz="4" w:space="0" w:color="auto"/>
              <w:left w:val="single" w:sz="4" w:space="0" w:color="auto"/>
              <w:bottom w:val="single" w:sz="4" w:space="0" w:color="auto"/>
              <w:right w:val="single" w:sz="4" w:space="0" w:color="auto"/>
            </w:tcBorders>
            <w:vAlign w:val="center"/>
            <w:hideMark/>
          </w:tcPr>
          <w:p w14:paraId="37E7864D" w14:textId="77777777" w:rsidR="00553430" w:rsidRDefault="00553430">
            <w:pPr>
              <w:spacing w:after="0"/>
              <w:jc w:val="center"/>
              <w:rPr>
                <w:rFonts w:ascii="Times New Roman" w:eastAsia="Times New Roman" w:hAnsi="Times New Roman" w:cs="Times New Roman"/>
                <w:b/>
                <w:noProof/>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8181BB4" w14:textId="77777777" w:rsidR="00553430" w:rsidRDefault="00212577">
            <w:pPr>
              <w:pStyle w:val="P68B1DB1-Normal58"/>
              <w:spacing w:after="0"/>
              <w:jc w:val="center"/>
              <w:rPr>
                <w:bCs/>
                <w:noProof/>
              </w:rPr>
            </w:pPr>
            <w:r>
              <w:rPr>
                <w:noProof/>
              </w:rPr>
              <w:t>Unité</w:t>
            </w:r>
          </w:p>
        </w:tc>
        <w:tc>
          <w:tcPr>
            <w:tcW w:w="10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FEB9929" w14:textId="77777777" w:rsidR="00553430" w:rsidRDefault="00212577">
            <w:pPr>
              <w:pStyle w:val="P68B1DB1-Normal58"/>
              <w:spacing w:after="0"/>
              <w:jc w:val="center"/>
              <w:rPr>
                <w:bCs/>
                <w:noProof/>
              </w:rPr>
            </w:pPr>
            <w:r>
              <w:rPr>
                <w:noProof/>
              </w:rPr>
              <w:t>Données de référence</w:t>
            </w:r>
          </w:p>
        </w:tc>
        <w:tc>
          <w:tcPr>
            <w:tcW w:w="10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C5FB2C0" w14:textId="77777777" w:rsidR="00553430" w:rsidRDefault="00212577">
            <w:pPr>
              <w:pStyle w:val="P68B1DB1-Normal58"/>
              <w:spacing w:after="0"/>
              <w:jc w:val="center"/>
              <w:rPr>
                <w:bCs/>
                <w:noProof/>
              </w:rPr>
            </w:pPr>
            <w:r>
              <w:rPr>
                <w:noProof/>
              </w:rPr>
              <w:t>Objectif</w:t>
            </w:r>
          </w:p>
        </w:tc>
        <w:tc>
          <w:tcPr>
            <w:tcW w:w="114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E596F6E" w14:textId="77777777" w:rsidR="00553430" w:rsidRDefault="00212577">
            <w:pPr>
              <w:pStyle w:val="P68B1DB1-Normal58"/>
              <w:spacing w:after="0"/>
              <w:jc w:val="center"/>
              <w:rPr>
                <w:bCs/>
                <w:noProof/>
              </w:rPr>
            </w:pPr>
            <w:r>
              <w:rPr>
                <w:noProof/>
              </w:rPr>
              <w:t>Trimestre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8149638" w14:textId="77777777" w:rsidR="00553430" w:rsidRDefault="00212577">
            <w:pPr>
              <w:pStyle w:val="P68B1DB1-Normal58"/>
              <w:spacing w:after="0"/>
              <w:jc w:val="center"/>
              <w:rPr>
                <w:bCs/>
                <w:noProof/>
              </w:rPr>
            </w:pPr>
            <w:r>
              <w:rPr>
                <w:noProof/>
              </w:rPr>
              <w:t>Année</w:t>
            </w:r>
          </w:p>
        </w:tc>
        <w:tc>
          <w:tcPr>
            <w:tcW w:w="3327" w:type="dxa"/>
            <w:vMerge/>
            <w:tcBorders>
              <w:top w:val="single" w:sz="4" w:space="0" w:color="auto"/>
              <w:left w:val="single" w:sz="4" w:space="0" w:color="auto"/>
              <w:bottom w:val="single" w:sz="4" w:space="0" w:color="auto"/>
              <w:right w:val="single" w:sz="4" w:space="0" w:color="auto"/>
            </w:tcBorders>
            <w:vAlign w:val="center"/>
            <w:hideMark/>
          </w:tcPr>
          <w:p w14:paraId="08D3B239" w14:textId="77777777" w:rsidR="00553430" w:rsidRDefault="00553430">
            <w:pPr>
              <w:spacing w:after="0"/>
              <w:jc w:val="center"/>
              <w:rPr>
                <w:rFonts w:ascii="Times New Roman" w:eastAsia="Times New Roman" w:hAnsi="Times New Roman" w:cs="Times New Roman"/>
                <w:b/>
                <w:noProof/>
                <w:sz w:val="20"/>
                <w:szCs w:val="20"/>
              </w:rPr>
            </w:pPr>
          </w:p>
        </w:tc>
      </w:tr>
      <w:tr w:rsidR="00553430" w14:paraId="12C515DB" w14:textId="77777777" w:rsidTr="0019760D">
        <w:trPr>
          <w:trHeight w:val="305"/>
          <w:jc w:val="center"/>
        </w:trPr>
        <w:tc>
          <w:tcPr>
            <w:tcW w:w="1050" w:type="dxa"/>
            <w:tcBorders>
              <w:top w:val="single" w:sz="4" w:space="0" w:color="auto"/>
              <w:left w:val="single" w:sz="4" w:space="0" w:color="auto"/>
              <w:bottom w:val="single" w:sz="4" w:space="0" w:color="auto"/>
              <w:right w:val="single" w:sz="4" w:space="0" w:color="auto"/>
            </w:tcBorders>
            <w:shd w:val="clear" w:color="auto" w:fill="C6EFCE"/>
            <w:vAlign w:val="center"/>
          </w:tcPr>
          <w:p w14:paraId="1D7DFD52" w14:textId="77777777" w:rsidR="00553430" w:rsidRDefault="00212577">
            <w:pPr>
              <w:pStyle w:val="P68B1DB1-Normal102"/>
              <w:jc w:val="center"/>
              <w:rPr>
                <w:noProof/>
              </w:rPr>
            </w:pPr>
            <w:r>
              <w:rPr>
                <w:noProof/>
              </w:rPr>
              <w:t>154</w:t>
            </w:r>
          </w:p>
        </w:tc>
        <w:tc>
          <w:tcPr>
            <w:tcW w:w="1050" w:type="dxa"/>
            <w:tcBorders>
              <w:top w:val="single" w:sz="4" w:space="0" w:color="auto"/>
              <w:left w:val="nil"/>
              <w:bottom w:val="single" w:sz="4" w:space="0" w:color="auto"/>
              <w:right w:val="single" w:sz="4" w:space="0" w:color="auto"/>
            </w:tcBorders>
            <w:shd w:val="clear" w:color="auto" w:fill="C6EFCE"/>
            <w:vAlign w:val="center"/>
          </w:tcPr>
          <w:p w14:paraId="056BF58E" w14:textId="77777777" w:rsidR="00553430" w:rsidRDefault="00212577">
            <w:pPr>
              <w:pStyle w:val="P68B1DB1-Normal102"/>
              <w:jc w:val="center"/>
              <w:rPr>
                <w:noProof/>
              </w:rPr>
            </w:pPr>
            <w:r>
              <w:rPr>
                <w:noProof/>
              </w:rPr>
              <w:t>C2.1. R1-I2</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19B7F5FF" w14:textId="77777777" w:rsidR="00553430" w:rsidRDefault="00212577">
            <w:pPr>
              <w:pStyle w:val="P68B1DB1-Normal102"/>
              <w:spacing w:line="276" w:lineRule="auto"/>
              <w:jc w:val="center"/>
              <w:rPr>
                <w:noProof/>
              </w:rPr>
            </w:pPr>
            <w:r>
              <w:rPr>
                <w:noProof/>
              </w:rPr>
              <w:t>T</w:t>
            </w:r>
          </w:p>
        </w:tc>
        <w:tc>
          <w:tcPr>
            <w:tcW w:w="2118" w:type="dxa"/>
            <w:tcBorders>
              <w:top w:val="single" w:sz="4" w:space="0" w:color="auto"/>
              <w:left w:val="nil"/>
              <w:bottom w:val="single" w:sz="4" w:space="0" w:color="auto"/>
              <w:right w:val="single" w:sz="4" w:space="0" w:color="auto"/>
            </w:tcBorders>
            <w:shd w:val="clear" w:color="auto" w:fill="C6EFCE"/>
            <w:vAlign w:val="center"/>
          </w:tcPr>
          <w:p w14:paraId="4164EDF6" w14:textId="77777777" w:rsidR="00553430" w:rsidRDefault="00212577">
            <w:pPr>
              <w:pStyle w:val="P68B1DB1-Normal102"/>
              <w:spacing w:line="276" w:lineRule="auto"/>
              <w:jc w:val="center"/>
              <w:rPr>
                <w:noProof/>
              </w:rPr>
            </w:pPr>
            <w:r>
              <w:rPr>
                <w:noProof/>
              </w:rPr>
              <w:t xml:space="preserve">Modules de formation </w:t>
            </w:r>
            <w:r>
              <w:rPr>
                <w:noProof/>
              </w:rPr>
              <w:t>pour la planification stratégique et l'évaluation de l'impact réglementaire aux niveaux national, régional et local</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5809C44B" w14:textId="77777777" w:rsidR="00553430" w:rsidRDefault="00553430">
            <w:pPr>
              <w:spacing w:line="276" w:lineRule="auto"/>
              <w:jc w:val="center"/>
              <w:rPr>
                <w:rFonts w:ascii="Times New Roman" w:hAnsi="Times New Roman" w:cs="Times New Roman"/>
                <w:noProof/>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C6EFCE"/>
            <w:vAlign w:val="center"/>
          </w:tcPr>
          <w:p w14:paraId="09BC477E" w14:textId="77777777" w:rsidR="00553430" w:rsidRDefault="00212577">
            <w:pPr>
              <w:pStyle w:val="P68B1DB1-Normal102"/>
              <w:spacing w:line="276" w:lineRule="auto"/>
              <w:jc w:val="center"/>
              <w:rPr>
                <w:noProof/>
              </w:rPr>
            </w:pPr>
            <w:r>
              <w:rPr>
                <w:noProof/>
              </w:rPr>
              <w:t>Numéro</w:t>
            </w:r>
          </w:p>
        </w:tc>
        <w:tc>
          <w:tcPr>
            <w:tcW w:w="1080" w:type="dxa"/>
            <w:tcBorders>
              <w:top w:val="single" w:sz="4" w:space="0" w:color="auto"/>
              <w:left w:val="nil"/>
              <w:bottom w:val="single" w:sz="4" w:space="0" w:color="auto"/>
              <w:right w:val="single" w:sz="4" w:space="0" w:color="auto"/>
            </w:tcBorders>
            <w:shd w:val="clear" w:color="auto" w:fill="C6EFCE"/>
            <w:vAlign w:val="center"/>
          </w:tcPr>
          <w:p w14:paraId="170F62E0" w14:textId="77777777" w:rsidR="00553430" w:rsidRDefault="00212577">
            <w:pPr>
              <w:pStyle w:val="P68B1DB1-Normal102"/>
              <w:spacing w:line="276" w:lineRule="auto"/>
              <w:jc w:val="center"/>
              <w:rPr>
                <w:noProof/>
              </w:rPr>
            </w:pPr>
            <w:r>
              <w:rPr>
                <w:noProof/>
              </w:rPr>
              <w:t>0</w:t>
            </w:r>
          </w:p>
        </w:tc>
        <w:tc>
          <w:tcPr>
            <w:tcW w:w="1080" w:type="dxa"/>
            <w:tcBorders>
              <w:top w:val="single" w:sz="4" w:space="0" w:color="auto"/>
              <w:left w:val="nil"/>
              <w:bottom w:val="single" w:sz="4" w:space="0" w:color="auto"/>
              <w:right w:val="single" w:sz="4" w:space="0" w:color="auto"/>
            </w:tcBorders>
            <w:shd w:val="clear" w:color="auto" w:fill="C6EFCE"/>
            <w:vAlign w:val="center"/>
          </w:tcPr>
          <w:p w14:paraId="4450E465" w14:textId="77777777" w:rsidR="00553430" w:rsidRDefault="00212577">
            <w:pPr>
              <w:pStyle w:val="P68B1DB1-Normal102"/>
              <w:spacing w:line="276" w:lineRule="auto"/>
              <w:jc w:val="center"/>
              <w:rPr>
                <w:noProof/>
              </w:rPr>
            </w:pPr>
            <w:r>
              <w:rPr>
                <w:noProof/>
              </w:rPr>
              <w:t>10</w:t>
            </w:r>
          </w:p>
        </w:tc>
        <w:tc>
          <w:tcPr>
            <w:tcW w:w="1144" w:type="dxa"/>
            <w:tcBorders>
              <w:top w:val="single" w:sz="4" w:space="0" w:color="auto"/>
              <w:left w:val="nil"/>
              <w:bottom w:val="single" w:sz="4" w:space="0" w:color="auto"/>
              <w:right w:val="single" w:sz="4" w:space="0" w:color="auto"/>
            </w:tcBorders>
            <w:shd w:val="clear" w:color="auto" w:fill="C6EFCE"/>
            <w:vAlign w:val="center"/>
          </w:tcPr>
          <w:p w14:paraId="6E56D94B" w14:textId="77777777" w:rsidR="00553430" w:rsidRDefault="00212577">
            <w:pPr>
              <w:pStyle w:val="P68B1DB1-Normal102"/>
              <w:spacing w:line="276" w:lineRule="auto"/>
              <w:jc w:val="center"/>
              <w:rPr>
                <w:noProof/>
              </w:rPr>
            </w:pPr>
            <w:r>
              <w:rPr>
                <w:noProof/>
              </w:rPr>
              <w:t>T4</w:t>
            </w:r>
          </w:p>
        </w:tc>
        <w:tc>
          <w:tcPr>
            <w:tcW w:w="992" w:type="dxa"/>
            <w:tcBorders>
              <w:top w:val="single" w:sz="4" w:space="0" w:color="auto"/>
              <w:left w:val="nil"/>
              <w:bottom w:val="single" w:sz="4" w:space="0" w:color="auto"/>
              <w:right w:val="single" w:sz="4" w:space="0" w:color="auto"/>
            </w:tcBorders>
            <w:shd w:val="clear" w:color="auto" w:fill="C6EFCE"/>
            <w:vAlign w:val="center"/>
          </w:tcPr>
          <w:p w14:paraId="14DB13F3" w14:textId="77777777" w:rsidR="00553430" w:rsidRDefault="00212577">
            <w:pPr>
              <w:pStyle w:val="P68B1DB1-Normal102"/>
              <w:spacing w:line="276" w:lineRule="auto"/>
              <w:jc w:val="center"/>
              <w:rPr>
                <w:noProof/>
              </w:rPr>
            </w:pPr>
            <w:r>
              <w:rPr>
                <w:noProof/>
              </w:rPr>
              <w:t>2024</w:t>
            </w:r>
          </w:p>
        </w:tc>
        <w:tc>
          <w:tcPr>
            <w:tcW w:w="3327" w:type="dxa"/>
            <w:tcBorders>
              <w:top w:val="single" w:sz="4" w:space="0" w:color="auto"/>
              <w:left w:val="nil"/>
              <w:bottom w:val="single" w:sz="4" w:space="0" w:color="auto"/>
              <w:right w:val="single" w:sz="4" w:space="0" w:color="auto"/>
            </w:tcBorders>
            <w:shd w:val="clear" w:color="auto" w:fill="C6EFCE"/>
            <w:vAlign w:val="center"/>
          </w:tcPr>
          <w:p w14:paraId="339914F0" w14:textId="77777777" w:rsidR="00553430" w:rsidRDefault="00212577">
            <w:pPr>
              <w:pStyle w:val="P68B1DB1-Normal102"/>
              <w:spacing w:line="276" w:lineRule="auto"/>
              <w:rPr>
                <w:noProof/>
              </w:rPr>
            </w:pPr>
            <w:r>
              <w:rPr>
                <w:noProof/>
              </w:rPr>
              <w:t xml:space="preserve">10 modules d’éducation/de formation pour la planification stratégique et une meilleure réglementation seront élaborés </w:t>
            </w:r>
            <w:r>
              <w:rPr>
                <w:noProof/>
              </w:rPr>
              <w:t>pour garantir la professionnalisation du travail, y compris des compagnons d’apprentissage en ligne avec le soutien technique de la NSPA (École nationale d’administration publique). Les modules sont élaborés d’ici à la fin de 2024.</w:t>
            </w:r>
          </w:p>
        </w:tc>
      </w:tr>
      <w:tr w:rsidR="00553430" w14:paraId="0F007E2C" w14:textId="77777777" w:rsidTr="0019760D">
        <w:trPr>
          <w:trHeight w:val="305"/>
          <w:jc w:val="center"/>
        </w:trPr>
        <w:tc>
          <w:tcPr>
            <w:tcW w:w="1050" w:type="dxa"/>
            <w:tcBorders>
              <w:top w:val="single" w:sz="4" w:space="0" w:color="auto"/>
              <w:left w:val="single" w:sz="4" w:space="0" w:color="auto"/>
              <w:bottom w:val="single" w:sz="4" w:space="0" w:color="auto"/>
              <w:right w:val="single" w:sz="4" w:space="0" w:color="auto"/>
            </w:tcBorders>
            <w:shd w:val="clear" w:color="auto" w:fill="C6EFCE"/>
            <w:vAlign w:val="center"/>
          </w:tcPr>
          <w:p w14:paraId="2DE41DCB" w14:textId="77777777" w:rsidR="00553430" w:rsidRDefault="00212577">
            <w:pPr>
              <w:pStyle w:val="P68B1DB1-Normal102"/>
              <w:jc w:val="center"/>
              <w:rPr>
                <w:noProof/>
              </w:rPr>
            </w:pPr>
            <w:r>
              <w:rPr>
                <w:noProof/>
              </w:rPr>
              <w:t>155</w:t>
            </w:r>
          </w:p>
        </w:tc>
        <w:tc>
          <w:tcPr>
            <w:tcW w:w="1050" w:type="dxa"/>
            <w:tcBorders>
              <w:top w:val="single" w:sz="4" w:space="0" w:color="auto"/>
              <w:left w:val="nil"/>
              <w:bottom w:val="single" w:sz="4" w:space="0" w:color="auto"/>
              <w:right w:val="single" w:sz="4" w:space="0" w:color="auto"/>
            </w:tcBorders>
            <w:shd w:val="clear" w:color="auto" w:fill="C6EFCE"/>
            <w:vAlign w:val="center"/>
          </w:tcPr>
          <w:p w14:paraId="2357C72B" w14:textId="77777777" w:rsidR="00553430" w:rsidRDefault="00212577">
            <w:pPr>
              <w:pStyle w:val="P68B1DB1-Normal102"/>
              <w:jc w:val="center"/>
              <w:rPr>
                <w:noProof/>
              </w:rPr>
            </w:pPr>
            <w:r>
              <w:rPr>
                <w:noProof/>
              </w:rPr>
              <w:t>C2.1. R1-I2</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79808EF7" w14:textId="77777777" w:rsidR="00553430" w:rsidRDefault="00212577">
            <w:pPr>
              <w:pStyle w:val="P68B1DB1-Normal102"/>
              <w:spacing w:line="276" w:lineRule="auto"/>
              <w:jc w:val="center"/>
              <w:rPr>
                <w:noProof/>
              </w:rPr>
            </w:pPr>
            <w:r>
              <w:rPr>
                <w:noProof/>
              </w:rPr>
              <w:t>T</w:t>
            </w:r>
          </w:p>
        </w:tc>
        <w:tc>
          <w:tcPr>
            <w:tcW w:w="2118" w:type="dxa"/>
            <w:tcBorders>
              <w:top w:val="single" w:sz="4" w:space="0" w:color="auto"/>
              <w:left w:val="nil"/>
              <w:bottom w:val="single" w:sz="4" w:space="0" w:color="auto"/>
              <w:right w:val="single" w:sz="4" w:space="0" w:color="auto"/>
            </w:tcBorders>
            <w:shd w:val="clear" w:color="auto" w:fill="C6EFCE"/>
            <w:vAlign w:val="center"/>
          </w:tcPr>
          <w:p w14:paraId="53F98B79" w14:textId="77777777" w:rsidR="00553430" w:rsidRDefault="00212577">
            <w:pPr>
              <w:pStyle w:val="P68B1DB1-Normal102"/>
              <w:spacing w:line="276" w:lineRule="auto"/>
              <w:jc w:val="center"/>
              <w:rPr>
                <w:noProof/>
              </w:rPr>
            </w:pPr>
            <w:r>
              <w:rPr>
                <w:noProof/>
              </w:rPr>
              <w:t>Journées de formation organisées pour les agents liés au système de planification stratégique et de mise en œuvre des incidences réglementaires aux niveaux national et régional</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768709C" w14:textId="77777777" w:rsidR="00553430" w:rsidRDefault="00553430">
            <w:pPr>
              <w:spacing w:line="276" w:lineRule="auto"/>
              <w:jc w:val="center"/>
              <w:rPr>
                <w:rFonts w:ascii="Times New Roman" w:hAnsi="Times New Roman" w:cs="Times New Roman"/>
                <w:noProof/>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C6EFCE"/>
            <w:vAlign w:val="center"/>
          </w:tcPr>
          <w:p w14:paraId="6CB4C75E" w14:textId="77777777" w:rsidR="00553430" w:rsidRDefault="00212577">
            <w:pPr>
              <w:pStyle w:val="P68B1DB1-Normal102"/>
              <w:spacing w:line="276" w:lineRule="auto"/>
              <w:jc w:val="center"/>
              <w:rPr>
                <w:noProof/>
              </w:rPr>
            </w:pPr>
            <w:r>
              <w:rPr>
                <w:noProof/>
              </w:rPr>
              <w:t>Numéro</w:t>
            </w:r>
          </w:p>
        </w:tc>
        <w:tc>
          <w:tcPr>
            <w:tcW w:w="1080" w:type="dxa"/>
            <w:tcBorders>
              <w:top w:val="single" w:sz="4" w:space="0" w:color="auto"/>
              <w:left w:val="nil"/>
              <w:bottom w:val="single" w:sz="4" w:space="0" w:color="auto"/>
              <w:right w:val="single" w:sz="4" w:space="0" w:color="auto"/>
            </w:tcBorders>
            <w:shd w:val="clear" w:color="auto" w:fill="C6EFCE"/>
            <w:vAlign w:val="center"/>
          </w:tcPr>
          <w:p w14:paraId="6E5151EA" w14:textId="77777777" w:rsidR="00553430" w:rsidRDefault="00212577">
            <w:pPr>
              <w:pStyle w:val="P68B1DB1-Normal102"/>
              <w:spacing w:line="276" w:lineRule="auto"/>
              <w:jc w:val="center"/>
              <w:rPr>
                <w:noProof/>
              </w:rPr>
            </w:pPr>
            <w:r>
              <w:rPr>
                <w:noProof/>
              </w:rPr>
              <w:t>0</w:t>
            </w:r>
          </w:p>
        </w:tc>
        <w:tc>
          <w:tcPr>
            <w:tcW w:w="1080" w:type="dxa"/>
            <w:tcBorders>
              <w:top w:val="single" w:sz="4" w:space="0" w:color="auto"/>
              <w:left w:val="nil"/>
              <w:bottom w:val="single" w:sz="4" w:space="0" w:color="auto"/>
              <w:right w:val="single" w:sz="4" w:space="0" w:color="auto"/>
            </w:tcBorders>
            <w:shd w:val="clear" w:color="auto" w:fill="C6EFCE"/>
            <w:vAlign w:val="center"/>
          </w:tcPr>
          <w:p w14:paraId="40C06615" w14:textId="77777777" w:rsidR="00553430" w:rsidRDefault="00212577">
            <w:pPr>
              <w:pStyle w:val="P68B1DB1-Normal102"/>
              <w:spacing w:line="276" w:lineRule="auto"/>
              <w:jc w:val="center"/>
              <w:rPr>
                <w:noProof/>
              </w:rPr>
            </w:pPr>
            <w:r>
              <w:rPr>
                <w:noProof/>
              </w:rPr>
              <w:t>15</w:t>
            </w:r>
          </w:p>
        </w:tc>
        <w:tc>
          <w:tcPr>
            <w:tcW w:w="1144" w:type="dxa"/>
            <w:tcBorders>
              <w:top w:val="single" w:sz="4" w:space="0" w:color="auto"/>
              <w:left w:val="nil"/>
              <w:bottom w:val="single" w:sz="4" w:space="0" w:color="auto"/>
              <w:right w:val="single" w:sz="4" w:space="0" w:color="auto"/>
            </w:tcBorders>
            <w:shd w:val="clear" w:color="auto" w:fill="C6EFCE"/>
            <w:vAlign w:val="center"/>
          </w:tcPr>
          <w:p w14:paraId="30191902" w14:textId="77777777" w:rsidR="00553430" w:rsidRDefault="00212577">
            <w:pPr>
              <w:pStyle w:val="P68B1DB1-Normal102"/>
              <w:spacing w:line="276" w:lineRule="auto"/>
              <w:jc w:val="center"/>
              <w:rPr>
                <w:noProof/>
              </w:rPr>
            </w:pPr>
            <w:r>
              <w:rPr>
                <w:noProof/>
              </w:rPr>
              <w:t>T4</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DE13259" w14:textId="77777777" w:rsidR="00553430" w:rsidRDefault="00212577">
            <w:pPr>
              <w:pStyle w:val="P68B1DB1-Normal102"/>
              <w:spacing w:line="276" w:lineRule="auto"/>
              <w:jc w:val="center"/>
              <w:rPr>
                <w:noProof/>
              </w:rPr>
            </w:pPr>
            <w:r>
              <w:rPr>
                <w:noProof/>
              </w:rPr>
              <w:t>2025</w:t>
            </w:r>
          </w:p>
        </w:tc>
        <w:tc>
          <w:tcPr>
            <w:tcW w:w="3327" w:type="dxa"/>
            <w:tcBorders>
              <w:top w:val="single" w:sz="4" w:space="0" w:color="auto"/>
              <w:left w:val="nil"/>
              <w:bottom w:val="single" w:sz="4" w:space="0" w:color="auto"/>
              <w:right w:val="single" w:sz="4" w:space="0" w:color="auto"/>
            </w:tcBorders>
            <w:shd w:val="clear" w:color="auto" w:fill="C6EFCE"/>
            <w:vAlign w:val="center"/>
          </w:tcPr>
          <w:p w14:paraId="53556B41" w14:textId="77777777" w:rsidR="00553430" w:rsidRDefault="00212577">
            <w:pPr>
              <w:pStyle w:val="P68B1DB1-Normal102"/>
              <w:spacing w:line="276" w:lineRule="auto"/>
              <w:rPr>
                <w:noProof/>
              </w:rPr>
            </w:pPr>
            <w:r>
              <w:rPr>
                <w:noProof/>
              </w:rPr>
              <w:t>Au moins 15 jours de formation ont été organisés pour dispenser des formations fondées sur des modules éducatifs dans le cadre du système de planification stratégique et de mise en œuvre des effets réglementaires aux niveaux national, régional et local.</w:t>
            </w:r>
          </w:p>
        </w:tc>
      </w:tr>
    </w:tbl>
    <w:p w14:paraId="20F5247E" w14:textId="77777777" w:rsidR="00553430" w:rsidRDefault="00553430">
      <w:pPr>
        <w:spacing w:line="240" w:lineRule="auto"/>
        <w:ind w:left="840"/>
        <w:jc w:val="both"/>
        <w:textAlignment w:val="baseline"/>
        <w:rPr>
          <w:rFonts w:ascii="Segoe UI" w:eastAsia="Times New Roman" w:hAnsi="Segoe UI" w:cs="Segoe UI"/>
          <w:noProof/>
          <w:sz w:val="18"/>
          <w:szCs w:val="18"/>
        </w:rPr>
      </w:pPr>
    </w:p>
    <w:p w14:paraId="7785CCB0" w14:textId="77777777" w:rsidR="00553430" w:rsidRDefault="00553430">
      <w:pPr>
        <w:spacing w:line="240" w:lineRule="auto"/>
        <w:ind w:left="840"/>
        <w:jc w:val="both"/>
        <w:textAlignment w:val="baseline"/>
        <w:rPr>
          <w:rFonts w:ascii="Segoe UI" w:eastAsia="Times New Roman" w:hAnsi="Segoe UI" w:cs="Segoe UI"/>
          <w:noProof/>
          <w:sz w:val="18"/>
          <w:szCs w:val="18"/>
        </w:rPr>
      </w:pPr>
    </w:p>
    <w:p w14:paraId="630A70C0" w14:textId="77777777" w:rsidR="00553430" w:rsidRDefault="00553430">
      <w:pPr>
        <w:pStyle w:val="paragraph"/>
        <w:spacing w:before="0" w:beforeAutospacing="0" w:after="0" w:afterAutospacing="0"/>
        <w:jc w:val="both"/>
        <w:textAlignment w:val="baseline"/>
        <w:rPr>
          <w:rFonts w:ascii="Segoe UI" w:hAnsi="Segoe UI" w:cs="Segoe UI"/>
          <w:noProof/>
          <w:sz w:val="18"/>
          <w:szCs w:val="18"/>
        </w:rPr>
        <w:sectPr w:rsidR="00553430" w:rsidSect="00FA29B2">
          <w:headerReference w:type="even" r:id="rId141"/>
          <w:headerReference w:type="default" r:id="rId142"/>
          <w:footerReference w:type="even" r:id="rId143"/>
          <w:footerReference w:type="default" r:id="rId144"/>
          <w:headerReference w:type="first" r:id="rId145"/>
          <w:footerReference w:type="first" r:id="rId146"/>
          <w:pgSz w:w="16839" w:h="11907" w:orient="landscape"/>
          <w:pgMar w:top="1134" w:right="1134" w:bottom="1134" w:left="1134" w:header="567" w:footer="567" w:gutter="0"/>
          <w:cols w:space="720"/>
          <w:docGrid w:linePitch="360"/>
        </w:sectPr>
      </w:pPr>
    </w:p>
    <w:p w14:paraId="2294567C" w14:textId="77777777" w:rsidR="00553430" w:rsidRDefault="00212577">
      <w:pPr>
        <w:pStyle w:val="P68B1DB1-Normal117"/>
        <w:keepNext/>
        <w:tabs>
          <w:tab w:val="left" w:pos="850"/>
        </w:tabs>
        <w:spacing w:after="200" w:line="276" w:lineRule="auto"/>
        <w:jc w:val="both"/>
        <w:outlineLvl w:val="0"/>
        <w:rPr>
          <w:noProof/>
          <w:sz w:val="24"/>
        </w:rPr>
      </w:pPr>
      <w:r>
        <w:rPr>
          <w:noProof/>
        </w:rPr>
        <w:t>H</w:t>
      </w:r>
      <w:r>
        <w:rPr>
          <w:noProof/>
          <w:sz w:val="24"/>
        </w:rPr>
        <w:t>. ÉLÉMENT 2.2: AMÉLIORATION DE L'EFFICACITÉ DE L'ADMINISTRATION PUBLIQUE</w:t>
      </w:r>
    </w:p>
    <w:p w14:paraId="2FC699A1" w14:textId="77777777" w:rsidR="00553430" w:rsidRDefault="00212577">
      <w:pPr>
        <w:pStyle w:val="P68B1DB1-Normal118"/>
        <w:spacing w:line="240" w:lineRule="auto"/>
        <w:jc w:val="both"/>
        <w:rPr>
          <w:noProof/>
        </w:rPr>
      </w:pPr>
      <w:r>
        <w:rPr>
          <w:noProof/>
        </w:rPr>
        <w:t xml:space="preserve">Ce volet vise à moderniser l’administration publique croate et à la rendre plus centrée sur l’utilisateur, en </w:t>
      </w:r>
      <w:r>
        <w:rPr>
          <w:noProof/>
        </w:rPr>
        <w:t>encourageant les fusions effectives et fonctionnelles des collectivités locales, en renforçant la numérisation, l’interopérabilité, les gains d’efficacité dans l’allocation des ressources au niveau local et en réformant le système de rémunération et la ges</w:t>
      </w:r>
      <w:r>
        <w:rPr>
          <w:noProof/>
        </w:rPr>
        <w:t xml:space="preserve">tion des ressources humaines. </w:t>
      </w:r>
    </w:p>
    <w:p w14:paraId="7100935F" w14:textId="77777777" w:rsidR="00553430" w:rsidRDefault="00212577">
      <w:pPr>
        <w:pStyle w:val="P68B1DB1-Normal118"/>
        <w:spacing w:line="240" w:lineRule="auto"/>
        <w:jc w:val="both"/>
        <w:rPr>
          <w:noProof/>
        </w:rPr>
      </w:pPr>
      <w:r>
        <w:rPr>
          <w:noProof/>
        </w:rPr>
        <w:t>Les objectifs généraux sont d’améliorer la capacité d’attirer et de retenir des employés de haute qualité et talentueux de l’administration publique, et d’améliorer la qualité des services publics dans les collectivités local</w:t>
      </w:r>
      <w:r>
        <w:rPr>
          <w:noProof/>
        </w:rPr>
        <w:t>es et régionales, qui sont entravées par la faiblesse des capacités administratives et budgétaires et le manque de transparence.</w:t>
      </w:r>
    </w:p>
    <w:p w14:paraId="3E229434" w14:textId="77777777" w:rsidR="00553430" w:rsidRDefault="00212577">
      <w:pPr>
        <w:pStyle w:val="P68B1DB1-Normal118"/>
        <w:spacing w:line="240" w:lineRule="auto"/>
        <w:jc w:val="both"/>
        <w:rPr>
          <w:noProof/>
        </w:rPr>
      </w:pPr>
      <w:r>
        <w:rPr>
          <w:noProof/>
        </w:rPr>
        <w:t>Ce volet comprend des réformes majeures assorties d’investissements connexes:</w:t>
      </w:r>
    </w:p>
    <w:p w14:paraId="4F9C6FEC" w14:textId="77777777" w:rsidR="00553430" w:rsidRDefault="00212577">
      <w:pPr>
        <w:pStyle w:val="P68B1DB1-Normal118"/>
        <w:numPr>
          <w:ilvl w:val="0"/>
          <w:numId w:val="55"/>
        </w:numPr>
        <w:spacing w:before="120" w:after="120" w:line="240" w:lineRule="auto"/>
        <w:jc w:val="both"/>
        <w:rPr>
          <w:noProof/>
        </w:rPr>
      </w:pPr>
      <w:r>
        <w:rPr>
          <w:noProof/>
        </w:rPr>
        <w:t>améliorer le processus de recrutement dans la fon</w:t>
      </w:r>
      <w:r>
        <w:rPr>
          <w:noProof/>
        </w:rPr>
        <w:t xml:space="preserve">ction publique en renforçant le système d'admission dans la fonction publique et en améliorant encore les compétences des fonctionnaires, </w:t>
      </w:r>
    </w:p>
    <w:p w14:paraId="3F7E9331" w14:textId="0DF51D9F" w:rsidR="00553430" w:rsidRDefault="00212577">
      <w:pPr>
        <w:pStyle w:val="P68B1DB1-Normal118"/>
        <w:numPr>
          <w:ilvl w:val="0"/>
          <w:numId w:val="55"/>
        </w:numPr>
        <w:spacing w:before="120" w:after="120" w:line="240" w:lineRule="auto"/>
        <w:jc w:val="both"/>
        <w:rPr>
          <w:noProof/>
        </w:rPr>
      </w:pPr>
      <w:r>
        <w:rPr>
          <w:noProof/>
        </w:rPr>
        <w:t>introduire de nouveaux modèles salariaux et de travail dans la fonction publique, notamment en réformant le système s</w:t>
      </w:r>
      <w:r>
        <w:rPr>
          <w:noProof/>
        </w:rPr>
        <w:t>alarial du secteur public, en modernisant le système de gestion des ressources humaines et en favorisant la mobilité verticale et horizontale,</w:t>
      </w:r>
    </w:p>
    <w:p w14:paraId="75E18C33" w14:textId="77777777" w:rsidR="00553430" w:rsidRDefault="00212577">
      <w:pPr>
        <w:pStyle w:val="P68B1DB1-Normal118"/>
        <w:numPr>
          <w:ilvl w:val="0"/>
          <w:numId w:val="55"/>
        </w:numPr>
        <w:spacing w:before="120" w:after="120" w:line="240" w:lineRule="auto"/>
        <w:jc w:val="both"/>
        <w:rPr>
          <w:noProof/>
        </w:rPr>
      </w:pPr>
      <w:r>
        <w:rPr>
          <w:noProof/>
        </w:rPr>
        <w:t xml:space="preserve">La transformation numérique des bases de conservation et des archives, </w:t>
      </w:r>
    </w:p>
    <w:p w14:paraId="68CC72B7" w14:textId="77777777" w:rsidR="00553430" w:rsidRDefault="00212577">
      <w:pPr>
        <w:pStyle w:val="P68B1DB1-Normal118"/>
        <w:numPr>
          <w:ilvl w:val="0"/>
          <w:numId w:val="55"/>
        </w:numPr>
        <w:spacing w:before="120" w:after="120" w:line="240" w:lineRule="auto"/>
        <w:jc w:val="both"/>
        <w:rPr>
          <w:noProof/>
        </w:rPr>
      </w:pPr>
      <w:r>
        <w:rPr>
          <w:noProof/>
        </w:rPr>
        <w:t>Garantir une administration locale foncti</w:t>
      </w:r>
      <w:r>
        <w:rPr>
          <w:noProof/>
        </w:rPr>
        <w:t>onnelle et durable par une optimisation et une décentralisation accrues des unités d’administration locale grâce à un soutien incitatif aux fusions fonctionnelles et réelles.</w:t>
      </w:r>
    </w:p>
    <w:p w14:paraId="0659CFCB" w14:textId="77777777" w:rsidR="00553430" w:rsidRDefault="00212577">
      <w:pPr>
        <w:pStyle w:val="P68B1DB1-Normal118"/>
        <w:spacing w:line="240" w:lineRule="auto"/>
        <w:jc w:val="both"/>
        <w:rPr>
          <w:noProof/>
        </w:rPr>
      </w:pPr>
      <w:r>
        <w:rPr>
          <w:noProof/>
        </w:rPr>
        <w:t>Le volet contribuera à donner suite aux recommandations par pays sur la nécessité</w:t>
      </w:r>
      <w:r>
        <w:rPr>
          <w:noProof/>
        </w:rPr>
        <w:t xml:space="preserve"> de renforcer l’efficacité de l’administration publique (recommandation par pays no 1, 2019) et sur l’amélioration de la prestation et de la qualité des services dans les petites administrations locales (recommandation par pays no 4, 2020).</w:t>
      </w:r>
    </w:p>
    <w:p w14:paraId="3E855525" w14:textId="77777777" w:rsidR="00553430" w:rsidRDefault="00212577">
      <w:pPr>
        <w:pStyle w:val="P68B1DB1-Normal118"/>
        <w:spacing w:line="240" w:lineRule="auto"/>
        <w:jc w:val="both"/>
        <w:rPr>
          <w:noProof/>
        </w:rPr>
      </w:pPr>
      <w:r>
        <w:rPr>
          <w:noProof/>
        </w:rPr>
        <w:t>Ce volet compre</w:t>
      </w:r>
      <w:r>
        <w:rPr>
          <w:noProof/>
        </w:rPr>
        <w:t>nd quatre réformes et sept investissements.</w:t>
      </w:r>
    </w:p>
    <w:p w14:paraId="1C204156" w14:textId="77777777" w:rsidR="00553430" w:rsidRDefault="00212577">
      <w:pPr>
        <w:pStyle w:val="P68B1DB1-Normal57"/>
        <w:keepNext/>
        <w:spacing w:after="200" w:line="276" w:lineRule="auto"/>
        <w:ind w:left="851"/>
        <w:jc w:val="both"/>
        <w:outlineLvl w:val="1"/>
        <w:rPr>
          <w:rFonts w:eastAsia="Calibri"/>
          <w:noProof/>
        </w:rPr>
      </w:pPr>
      <w:r>
        <w:rPr>
          <w:noProof/>
        </w:rPr>
        <w:t xml:space="preserve">H.1. </w:t>
      </w:r>
      <w:r>
        <w:rPr>
          <w:noProof/>
        </w:rPr>
        <w:tab/>
        <w:t>Description des réformes et des investissements pour le soutien financier non remboursable</w:t>
      </w:r>
    </w:p>
    <w:p w14:paraId="1C77525E" w14:textId="77777777" w:rsidR="00553430" w:rsidRDefault="00212577">
      <w:pPr>
        <w:pStyle w:val="P68B1DB1-Normal96"/>
        <w:keepNext/>
        <w:tabs>
          <w:tab w:val="num" w:pos="850"/>
        </w:tabs>
        <w:spacing w:after="200" w:line="276" w:lineRule="auto"/>
        <w:ind w:left="851"/>
        <w:jc w:val="both"/>
        <w:outlineLvl w:val="2"/>
        <w:rPr>
          <w:rFonts w:eastAsia="Calibri"/>
          <w:noProof/>
        </w:rPr>
      </w:pPr>
      <w:r>
        <w:rPr>
          <w:noProof/>
        </w:rPr>
        <w:t xml:space="preserve">Réforme C2.2 R1 – Améliorer le recrutement dans la fonction publique </w:t>
      </w:r>
    </w:p>
    <w:p w14:paraId="289F96A0" w14:textId="77777777" w:rsidR="00553430" w:rsidRDefault="00212577">
      <w:pPr>
        <w:pStyle w:val="P68B1DB1-Normal33"/>
        <w:spacing w:line="240" w:lineRule="auto"/>
        <w:jc w:val="both"/>
        <w:rPr>
          <w:noProof/>
        </w:rPr>
      </w:pPr>
      <w:r>
        <w:rPr>
          <w:noProof/>
        </w:rPr>
        <w:t xml:space="preserve">Cette réforme vise à améliorer le système de </w:t>
      </w:r>
      <w:r>
        <w:rPr>
          <w:noProof/>
        </w:rPr>
        <w:t>recrutement dans la fonction publique afin d’assurer le recrutement de fonctionnaires hautement compétents qui contribueront à améliorer l’efficacité de l’administration publique et permettront de recentrer l’administration publique sur les besoins des cit</w:t>
      </w:r>
      <w:r>
        <w:rPr>
          <w:noProof/>
        </w:rPr>
        <w:t>oyens. La réforme comprend des modifications du cadre législatif. Parallèlement à la réforme, les autorités ont l’intention de développer des outils informatiques, des méthodologies et le contenu nécessaire pour la vérification des compétences et des mesur</w:t>
      </w:r>
      <w:r>
        <w:rPr>
          <w:noProof/>
        </w:rPr>
        <w:t>es de renforcement des capacités.</w:t>
      </w:r>
    </w:p>
    <w:p w14:paraId="0D622DA1" w14:textId="77777777" w:rsidR="00553430" w:rsidRDefault="00212577">
      <w:pPr>
        <w:pStyle w:val="P68B1DB1-Normal33"/>
        <w:spacing w:line="240" w:lineRule="auto"/>
        <w:jc w:val="both"/>
        <w:rPr>
          <w:noProof/>
        </w:rPr>
      </w:pPr>
      <w:r>
        <w:rPr>
          <w:noProof/>
        </w:rPr>
        <w:t xml:space="preserve">Un système centralisé de sélection des fonctionnaires est mis en place, sur la base de plans préétablis, d’une analyse de la charge de travail et des besoins réels des autorités publiques afin de recruter un profil </w:t>
      </w:r>
      <w:r>
        <w:rPr>
          <w:noProof/>
        </w:rPr>
        <w:t xml:space="preserve">spécifique de fonctionnaires. Lors du processus de recrutement, les candidats sont testés en ligne, ce qui garantit une sélection transparente et plus objective des candidats. </w:t>
      </w:r>
    </w:p>
    <w:p w14:paraId="0A7D2121" w14:textId="77777777" w:rsidR="00553430" w:rsidRDefault="00212577">
      <w:pPr>
        <w:pStyle w:val="P68B1DB1-Normal33"/>
        <w:spacing w:line="240" w:lineRule="auto"/>
        <w:jc w:val="both"/>
        <w:rPr>
          <w:noProof/>
        </w:rPr>
      </w:pPr>
      <w:r>
        <w:rPr>
          <w:noProof/>
        </w:rPr>
        <w:t>La mesure est achevée au plus tard le 30 juin 2023.</w:t>
      </w:r>
    </w:p>
    <w:p w14:paraId="7D6CA5D5" w14:textId="77777777" w:rsidR="00553430" w:rsidRDefault="00212577">
      <w:pPr>
        <w:pStyle w:val="P68B1DB1-Normal96"/>
        <w:keepNext/>
        <w:numPr>
          <w:ilvl w:val="2"/>
          <w:numId w:val="0"/>
        </w:numPr>
        <w:spacing w:line="240" w:lineRule="auto"/>
        <w:ind w:left="851"/>
        <w:jc w:val="both"/>
        <w:outlineLvl w:val="2"/>
        <w:rPr>
          <w:bCs/>
          <w:i/>
          <w:noProof/>
        </w:rPr>
      </w:pPr>
      <w:r>
        <w:rPr>
          <w:noProof/>
        </w:rPr>
        <w:t>Investissement C2.2 R1-I1 –</w:t>
      </w:r>
      <w:r>
        <w:rPr>
          <w:noProof/>
        </w:rPr>
        <w:t xml:space="preserve"> Système de sélection centralisé</w:t>
      </w:r>
    </w:p>
    <w:p w14:paraId="4C22DB15" w14:textId="77777777" w:rsidR="00553430" w:rsidRDefault="00212577">
      <w:pPr>
        <w:pStyle w:val="P68B1DB1-Normal33"/>
        <w:spacing w:line="240" w:lineRule="auto"/>
        <w:jc w:val="both"/>
        <w:rPr>
          <w:noProof/>
        </w:rPr>
      </w:pPr>
      <w:r>
        <w:rPr>
          <w:noProof/>
        </w:rPr>
        <w:t xml:space="preserve">Cet investissement vise à établir un système de recrutement plus objectif et transparent basé sur les besoins réels identifiés et les ressources financières. Il assure le recrutement des candidats les meilleurs et les plus </w:t>
      </w:r>
      <w:r>
        <w:rPr>
          <w:noProof/>
        </w:rPr>
        <w:t>compétents, contribuant ainsi à améliorer l'efficacité de l'administration publique.</w:t>
      </w:r>
    </w:p>
    <w:p w14:paraId="703B9476" w14:textId="77777777" w:rsidR="00553430" w:rsidRDefault="00212577">
      <w:pPr>
        <w:pStyle w:val="P68B1DB1-Normal33"/>
        <w:spacing w:line="240" w:lineRule="auto"/>
        <w:jc w:val="both"/>
        <w:rPr>
          <w:noProof/>
        </w:rPr>
      </w:pPr>
      <w:r>
        <w:rPr>
          <w:noProof/>
        </w:rPr>
        <w:t>L'investissement comprend les activités suivantes:</w:t>
      </w:r>
    </w:p>
    <w:p w14:paraId="38BB58EC" w14:textId="77777777" w:rsidR="00553430" w:rsidRDefault="00212577">
      <w:pPr>
        <w:pStyle w:val="P68B1DB1-Normal33"/>
        <w:numPr>
          <w:ilvl w:val="0"/>
          <w:numId w:val="56"/>
        </w:numPr>
        <w:spacing w:before="120" w:after="120" w:line="240" w:lineRule="auto"/>
        <w:jc w:val="both"/>
        <w:rPr>
          <w:noProof/>
        </w:rPr>
      </w:pPr>
      <w:r>
        <w:rPr>
          <w:noProof/>
        </w:rPr>
        <w:t>l'élaboration d'une analyse comparative de la conception des systèmes d'emploi centralisés dans les États membres de l'U</w:t>
      </w:r>
      <w:r>
        <w:rPr>
          <w:noProof/>
        </w:rPr>
        <w:t>E et l'élaboration d'une proposition de nouveau modèle d'emploi;</w:t>
      </w:r>
    </w:p>
    <w:p w14:paraId="064F1880" w14:textId="77777777" w:rsidR="00553430" w:rsidRDefault="00212577">
      <w:pPr>
        <w:pStyle w:val="P68B1DB1-Normal33"/>
        <w:numPr>
          <w:ilvl w:val="0"/>
          <w:numId w:val="56"/>
        </w:numPr>
        <w:spacing w:before="120" w:after="120" w:line="240" w:lineRule="auto"/>
        <w:jc w:val="both"/>
        <w:rPr>
          <w:noProof/>
        </w:rPr>
      </w:pPr>
      <w:r>
        <w:rPr>
          <w:noProof/>
        </w:rPr>
        <w:t>Amendements au cadre législatif, y compris la loi sur la fonction publique, aux procédures de recrutement des fonctionnaires dans les organes de l'administration publique, les services profes</w:t>
      </w:r>
      <w:r>
        <w:rPr>
          <w:noProof/>
        </w:rPr>
        <w:t>sionnels et les bureaux gouvernementaux;</w:t>
      </w:r>
    </w:p>
    <w:p w14:paraId="236B93E9" w14:textId="77777777" w:rsidR="00553430" w:rsidRDefault="00212577">
      <w:pPr>
        <w:pStyle w:val="P68B1DB1-Normal33"/>
        <w:numPr>
          <w:ilvl w:val="0"/>
          <w:numId w:val="56"/>
        </w:numPr>
        <w:spacing w:before="120" w:after="120" w:line="240" w:lineRule="auto"/>
        <w:jc w:val="both"/>
        <w:rPr>
          <w:noProof/>
        </w:rPr>
      </w:pPr>
      <w:r>
        <w:rPr>
          <w:noProof/>
        </w:rPr>
        <w:t>Élaboration de tests et de formations normalisés;</w:t>
      </w:r>
    </w:p>
    <w:p w14:paraId="711607F7" w14:textId="77777777" w:rsidR="00553430" w:rsidRDefault="00212577">
      <w:pPr>
        <w:pStyle w:val="P68B1DB1-Normal33"/>
        <w:numPr>
          <w:ilvl w:val="0"/>
          <w:numId w:val="56"/>
        </w:numPr>
        <w:spacing w:before="120" w:after="120" w:line="240" w:lineRule="auto"/>
        <w:jc w:val="both"/>
        <w:rPr>
          <w:noProof/>
        </w:rPr>
      </w:pPr>
      <w:r>
        <w:rPr>
          <w:noProof/>
        </w:rPr>
        <w:t xml:space="preserve">Développement de la plateforme informatique; </w:t>
      </w:r>
    </w:p>
    <w:p w14:paraId="753C8304" w14:textId="77777777" w:rsidR="00553430" w:rsidRDefault="00212577">
      <w:pPr>
        <w:pStyle w:val="P68B1DB1-Normal33"/>
        <w:numPr>
          <w:ilvl w:val="0"/>
          <w:numId w:val="56"/>
        </w:numPr>
        <w:spacing w:before="120" w:after="120" w:line="240" w:lineRule="auto"/>
        <w:jc w:val="both"/>
        <w:rPr>
          <w:noProof/>
        </w:rPr>
      </w:pPr>
      <w:r>
        <w:rPr>
          <w:noProof/>
        </w:rPr>
        <w:t xml:space="preserve">Test et mise en œuvre de la plateforme informatique. </w:t>
      </w:r>
    </w:p>
    <w:p w14:paraId="2D7B2D0F" w14:textId="77777777" w:rsidR="00553430" w:rsidRDefault="00212577">
      <w:pPr>
        <w:pStyle w:val="P68B1DB1-Normal33"/>
        <w:spacing w:after="200" w:line="276" w:lineRule="auto"/>
        <w:jc w:val="both"/>
        <w:rPr>
          <w:noProof/>
        </w:rPr>
      </w:pPr>
      <w:r>
        <w:rPr>
          <w:noProof/>
        </w:rPr>
        <w:t>La mesure est achevée au plus tard le 31 décembre 2024.</w:t>
      </w:r>
    </w:p>
    <w:p w14:paraId="697C74FC" w14:textId="77777777" w:rsidR="00553430" w:rsidRDefault="00212577">
      <w:pPr>
        <w:pStyle w:val="P68B1DB1-Normal96"/>
        <w:keepNext/>
        <w:tabs>
          <w:tab w:val="num" w:pos="850"/>
        </w:tabs>
        <w:spacing w:after="200" w:line="276" w:lineRule="auto"/>
        <w:ind w:left="851"/>
        <w:jc w:val="both"/>
        <w:outlineLvl w:val="2"/>
        <w:rPr>
          <w:rFonts w:eastAsia="Calibri"/>
          <w:noProof/>
        </w:rPr>
      </w:pPr>
      <w:r>
        <w:rPr>
          <w:noProof/>
        </w:rPr>
        <w:t>Investiss</w:t>
      </w:r>
      <w:r>
        <w:rPr>
          <w:noProof/>
        </w:rPr>
        <w:t>ement C2.2 R1-I2 – Examen E-State</w:t>
      </w:r>
    </w:p>
    <w:p w14:paraId="66A0CDE6" w14:textId="77777777" w:rsidR="00553430" w:rsidRDefault="00212577">
      <w:pPr>
        <w:pStyle w:val="P68B1DB1-Normal33"/>
        <w:spacing w:line="240" w:lineRule="auto"/>
        <w:jc w:val="both"/>
        <w:rPr>
          <w:noProof/>
        </w:rPr>
      </w:pPr>
      <w:r>
        <w:rPr>
          <w:noProof/>
        </w:rPr>
        <w:t>Cet investissement vise à mettre en place un nouveau système de réussite à un examen d’État par voie électronique, garantissant un moyen plus objectif, approprié et valable d’évaluer les connaissances des candidats au moye</w:t>
      </w:r>
      <w:r>
        <w:rPr>
          <w:noProof/>
        </w:rPr>
        <w:t xml:space="preserve">n d’un examen écrit normalisé. </w:t>
      </w:r>
    </w:p>
    <w:p w14:paraId="4207CF0A" w14:textId="77777777" w:rsidR="00553430" w:rsidRDefault="00212577">
      <w:pPr>
        <w:pStyle w:val="P68B1DB1-Normal33"/>
        <w:spacing w:line="240" w:lineRule="auto"/>
        <w:jc w:val="both"/>
        <w:rPr>
          <w:noProof/>
        </w:rPr>
      </w:pPr>
      <w:r>
        <w:rPr>
          <w:noProof/>
        </w:rPr>
        <w:t>L'investissement comprend le développement d'une application logicielle par l'intermédiaire de laquelle les procédures de développement du matériel d'essai pour l'examen d'État, la demande d'examen, l'organisation, la condui</w:t>
      </w:r>
      <w:r>
        <w:rPr>
          <w:noProof/>
        </w:rPr>
        <w:t>te et la réussite de l'examen d'État seront fournies. L'attestation d'examen est mise à disposition par voie électronique. Le système crée une base de données des tâches et du matériel des tests, une base de données des candidats et veille à la création de</w:t>
      </w:r>
      <w:r>
        <w:rPr>
          <w:noProof/>
        </w:rPr>
        <w:t xml:space="preserve"> rapports relatifs à la conduite et aux résultats des tests. Ce système doit permettre un suivi et une amélioration continus de tous les processus d'élaboration et de conduite des examens d'État. Les salles d’examen de 4 centres d’examen de Zagreb, Split, </w:t>
      </w:r>
      <w:r>
        <w:rPr>
          <w:noProof/>
        </w:rPr>
        <w:t>Rijeka et Osijek doivent être équipées et mises à disposition pour répondre aux besoins de l’examen électronique ainsi que du système de sélection centralisé (investissement C2.2.R1-I1).</w:t>
      </w:r>
    </w:p>
    <w:p w14:paraId="409E8E58" w14:textId="77777777" w:rsidR="00553430" w:rsidRDefault="00212577">
      <w:pPr>
        <w:pStyle w:val="P68B1DB1-Normal33"/>
        <w:spacing w:line="240" w:lineRule="auto"/>
        <w:jc w:val="both"/>
        <w:rPr>
          <w:noProof/>
        </w:rPr>
      </w:pPr>
      <w:r>
        <w:rPr>
          <w:noProof/>
        </w:rPr>
        <w:t>La mesure est achevée au plus tard le 31 décembre 2022.</w:t>
      </w:r>
    </w:p>
    <w:p w14:paraId="1DC7AC66" w14:textId="77777777" w:rsidR="00553430" w:rsidRDefault="00212577">
      <w:pPr>
        <w:pStyle w:val="P68B1DB1-Normal96"/>
        <w:keepNext/>
        <w:numPr>
          <w:ilvl w:val="2"/>
          <w:numId w:val="0"/>
        </w:numPr>
        <w:spacing w:line="240" w:lineRule="auto"/>
        <w:ind w:left="851"/>
        <w:jc w:val="both"/>
        <w:outlineLvl w:val="2"/>
        <w:rPr>
          <w:bCs/>
          <w:i/>
          <w:noProof/>
        </w:rPr>
      </w:pPr>
      <w:r>
        <w:rPr>
          <w:noProof/>
        </w:rPr>
        <w:t xml:space="preserve">Réforme C2.2 </w:t>
      </w:r>
      <w:r>
        <w:rPr>
          <w:noProof/>
        </w:rPr>
        <w:t xml:space="preserve">R2 – Nouveaux modèles de rémunération et de travail dans la fonction publique </w:t>
      </w:r>
    </w:p>
    <w:p w14:paraId="102D8426" w14:textId="77777777" w:rsidR="00553430" w:rsidRDefault="00212577">
      <w:pPr>
        <w:pStyle w:val="P68B1DB1-Normal33"/>
        <w:spacing w:line="240" w:lineRule="auto"/>
        <w:jc w:val="both"/>
        <w:rPr>
          <w:noProof/>
        </w:rPr>
      </w:pPr>
      <w:r>
        <w:rPr>
          <w:noProof/>
        </w:rPr>
        <w:t>Cette réforme vise à introduire un système salarial équitable, transparent, cohérent et financièrement viable dans l’administration publique et la fonction publique, ainsi qu’un</w:t>
      </w:r>
      <w:r>
        <w:rPr>
          <w:noProof/>
        </w:rPr>
        <w:t xml:space="preserve"> système de gestion des ressources humaines normalisé, numérisé et orienté vers l’utilisateur. Pour faire face à la nouvelle réalité du travail, un modèle de travail intelligent est introduit, qui fournit aux fonctionnaires les outils et les compétences né</w:t>
      </w:r>
      <w:r>
        <w:rPr>
          <w:noProof/>
        </w:rPr>
        <w:t xml:space="preserve">cessaires pour accomplir leurs tâches à distance. </w:t>
      </w:r>
    </w:p>
    <w:p w14:paraId="3D335708" w14:textId="77777777" w:rsidR="00553430" w:rsidRDefault="00212577">
      <w:pPr>
        <w:pStyle w:val="P68B1DB1-Normal33"/>
        <w:spacing w:line="240" w:lineRule="auto"/>
        <w:jc w:val="both"/>
        <w:rPr>
          <w:noProof/>
        </w:rPr>
      </w:pPr>
      <w:r>
        <w:rPr>
          <w:noProof/>
        </w:rPr>
        <w:t>Sur la base d'une analyse de la situation et d'une comparaison des salaires dans l'administration publique et la fonction publique, un nouveau système de paiement sera créé et une nouvelle loi sur les sala</w:t>
      </w:r>
      <w:r>
        <w:rPr>
          <w:noProof/>
        </w:rPr>
        <w:t>ires dans la fonction publique et une nouvelle loi sur les salaires dans les services publics seront adoptées. Les nouvelles lois comprennent des dispositions visant à évaluer les emplois selon des critères établis et à assurer l'harmonisation des salaires</w:t>
      </w:r>
      <w:r>
        <w:rPr>
          <w:noProof/>
        </w:rPr>
        <w:t xml:space="preserve"> dans l'administration publique et les services publics. Le nouveau modèle salarial met en place un système de rémunération fondé sur la performance (performance au travail). Les règlements relatifs à l'évaluation et à la promotion des fonctionnaires sont </w:t>
      </w:r>
      <w:r>
        <w:rPr>
          <w:noProof/>
        </w:rPr>
        <w:t>modifiés. L'évaluation des performances et de l'efficacité constitue la base de la progression de carrière et de la promotion.</w:t>
      </w:r>
    </w:p>
    <w:p w14:paraId="759EB4B4" w14:textId="77777777" w:rsidR="00553430" w:rsidRDefault="00212577">
      <w:pPr>
        <w:pStyle w:val="P68B1DB1-Normal33"/>
        <w:spacing w:line="240" w:lineRule="auto"/>
        <w:jc w:val="both"/>
        <w:rPr>
          <w:noProof/>
        </w:rPr>
      </w:pPr>
      <w:r>
        <w:rPr>
          <w:noProof/>
        </w:rPr>
        <w:t>La mesure est achevée au plus tard le 30 juin 2023.</w:t>
      </w:r>
    </w:p>
    <w:p w14:paraId="648765AF" w14:textId="77777777" w:rsidR="00553430" w:rsidRDefault="00212577">
      <w:pPr>
        <w:pStyle w:val="P68B1DB1-Normal96"/>
        <w:keepNext/>
        <w:numPr>
          <w:ilvl w:val="2"/>
          <w:numId w:val="0"/>
        </w:numPr>
        <w:spacing w:line="240" w:lineRule="auto"/>
        <w:ind w:left="851"/>
        <w:jc w:val="both"/>
        <w:outlineLvl w:val="2"/>
        <w:rPr>
          <w:bCs/>
          <w:i/>
          <w:noProof/>
        </w:rPr>
      </w:pPr>
      <w:r>
        <w:rPr>
          <w:noProof/>
        </w:rPr>
        <w:t>Investissement C2.2 R2-I1 – Améliorer le système de rémunération dans l’admin</w:t>
      </w:r>
      <w:r>
        <w:rPr>
          <w:noProof/>
        </w:rPr>
        <w:t>istration publique et les services publics</w:t>
      </w:r>
    </w:p>
    <w:p w14:paraId="3954D400" w14:textId="77777777" w:rsidR="00553430" w:rsidRDefault="00212577">
      <w:pPr>
        <w:pStyle w:val="P68B1DB1-Normal33"/>
        <w:spacing w:line="240" w:lineRule="auto"/>
        <w:jc w:val="both"/>
        <w:rPr>
          <w:noProof/>
        </w:rPr>
      </w:pPr>
      <w:r>
        <w:rPr>
          <w:noProof/>
        </w:rPr>
        <w:t>Cet investissement met en place le nouveau système de rémunération dans l’administration publique et les services publics, en soutenant la réforme dans le même domaine. Il garantit un système plus équitable du poi</w:t>
      </w:r>
      <w:r>
        <w:rPr>
          <w:noProof/>
        </w:rPr>
        <w:t xml:space="preserve">nt de vue des fonctionnaires, devient plus compétitif et plus viable sur le plan budgétaire, en ce qui concerne le maintien du poids salarial total dans le budget de l’État et sa répartition plus rationnelle. </w:t>
      </w:r>
    </w:p>
    <w:p w14:paraId="0655CD49" w14:textId="77777777" w:rsidR="00553430" w:rsidRDefault="00212577">
      <w:pPr>
        <w:pStyle w:val="P68B1DB1-Normal33"/>
        <w:spacing w:line="240" w:lineRule="auto"/>
        <w:jc w:val="both"/>
        <w:rPr>
          <w:noProof/>
        </w:rPr>
      </w:pPr>
      <w:r>
        <w:rPr>
          <w:noProof/>
        </w:rPr>
        <w:t xml:space="preserve">Un organe de coordination gouvernemental unique chargé de la coordination interinstitutionnelle de toutes les activités est mis en place, accompagné d’équipes d’experts comprenant des représentants des partenaires sociaux. Le système de rémunération et le </w:t>
      </w:r>
      <w:r>
        <w:rPr>
          <w:noProof/>
        </w:rPr>
        <w:t>cadre juridique actuels sont analysés et une analyse comparative avec les États membres pairs est élaborée. Sur la base des analyses, la nouvelle proposition de nouveau système de rémunération et de nouveau cadre juridique sera élaborée, neuf nouvelles fon</w:t>
      </w:r>
      <w:r>
        <w:rPr>
          <w:noProof/>
        </w:rPr>
        <w:t xml:space="preserve">ctionnalités seront incluses dans le système informatique de gestion des ressources humaines et une stratégie de communication sera élaborée et mise en œuvre. </w:t>
      </w:r>
    </w:p>
    <w:p w14:paraId="24B10F5C" w14:textId="77777777" w:rsidR="00553430" w:rsidRDefault="00212577">
      <w:pPr>
        <w:pStyle w:val="P68B1DB1-Normal33"/>
        <w:spacing w:line="240" w:lineRule="auto"/>
        <w:jc w:val="both"/>
        <w:rPr>
          <w:noProof/>
        </w:rPr>
      </w:pPr>
      <w:r>
        <w:rPr>
          <w:noProof/>
        </w:rPr>
        <w:t>La mesure est achevée au plus tard le 30 juin 2024.</w:t>
      </w:r>
    </w:p>
    <w:p w14:paraId="37A70BD9" w14:textId="77777777" w:rsidR="00553430" w:rsidRDefault="00212577">
      <w:pPr>
        <w:pStyle w:val="P68B1DB1-Normal96"/>
        <w:keepNext/>
        <w:numPr>
          <w:ilvl w:val="2"/>
          <w:numId w:val="0"/>
        </w:numPr>
        <w:spacing w:line="240" w:lineRule="auto"/>
        <w:ind w:left="851"/>
        <w:jc w:val="both"/>
        <w:outlineLvl w:val="2"/>
        <w:rPr>
          <w:bCs/>
          <w:i/>
          <w:noProof/>
        </w:rPr>
      </w:pPr>
      <w:r>
        <w:rPr>
          <w:noProof/>
        </w:rPr>
        <w:t>Investissement C2.2 R2-I2 – Introduction d’u</w:t>
      </w:r>
      <w:r>
        <w:rPr>
          <w:noProof/>
        </w:rPr>
        <w:t>n modèle hybride d’accès au lieu de travail – Travail intelligent</w:t>
      </w:r>
    </w:p>
    <w:p w14:paraId="1E7E4BFE" w14:textId="7424B01A" w:rsidR="00553430" w:rsidRDefault="00212577">
      <w:pPr>
        <w:pStyle w:val="P68B1DB1-Normal33"/>
        <w:tabs>
          <w:tab w:val="left" w:pos="2329"/>
        </w:tabs>
        <w:spacing w:line="240" w:lineRule="auto"/>
        <w:jc w:val="both"/>
        <w:rPr>
          <w:noProof/>
        </w:rPr>
      </w:pPr>
      <w:r>
        <w:rPr>
          <w:noProof/>
        </w:rPr>
        <w:t>Cet investissement vise à introduire un modèle permettant aux fonctionnaires de travailler à distance afin de fournir un service public continu et de qualité accessible à tous et d’accroître</w:t>
      </w:r>
      <w:r>
        <w:rPr>
          <w:noProof/>
        </w:rPr>
        <w:t xml:space="preserve"> la motivation des fonctionnaires. Elle met en place un flux de travail innovant fondé sur un élément de flexibilité du temps de travail et du lieu de travail en fonction des besoins des processus et des plans de l’administration publique. Les dispositions</w:t>
      </w:r>
      <w:r>
        <w:rPr>
          <w:noProof/>
        </w:rPr>
        <w:t xml:space="preserve"> législatives concernant la fonction publique et les relations de travail en vue de l'introduction d'un modèle de travail hybride dans l'administration publique et l'appareil judiciaire (le Code du travail, la loi sur la fonction publique, la loi sur la pr</w:t>
      </w:r>
      <w:r>
        <w:rPr>
          <w:noProof/>
        </w:rPr>
        <w:t xml:space="preserve">otection du travail et les règlements administratifs) sont modifiées pour permettre aux employés de travailler sans heurts et en continu. </w:t>
      </w:r>
    </w:p>
    <w:p w14:paraId="6E35FFAD" w14:textId="77777777" w:rsidR="00553430" w:rsidRDefault="00212577">
      <w:pPr>
        <w:pStyle w:val="P68B1DB1-Normal33"/>
        <w:spacing w:line="240" w:lineRule="auto"/>
        <w:jc w:val="both"/>
        <w:rPr>
          <w:noProof/>
        </w:rPr>
      </w:pPr>
      <w:r>
        <w:rPr>
          <w:noProof/>
        </w:rPr>
        <w:t>Pour atteindre les objectifs susmentionnés, la mesure prévoit les activités suivantes:</w:t>
      </w:r>
    </w:p>
    <w:p w14:paraId="289E76BA" w14:textId="77777777" w:rsidR="00553430" w:rsidRDefault="00212577">
      <w:pPr>
        <w:pStyle w:val="P68B1DB1-Normal33"/>
        <w:numPr>
          <w:ilvl w:val="0"/>
          <w:numId w:val="57"/>
        </w:numPr>
        <w:spacing w:before="120" w:after="120" w:line="240" w:lineRule="auto"/>
        <w:jc w:val="both"/>
        <w:rPr>
          <w:noProof/>
        </w:rPr>
      </w:pPr>
      <w:r>
        <w:rPr>
          <w:noProof/>
        </w:rPr>
        <w:t xml:space="preserve">Engagement d’experts externes </w:t>
      </w:r>
      <w:r>
        <w:rPr>
          <w:noProof/>
        </w:rPr>
        <w:t>pour l’identification de l’état actuel des conditions de télétravail et la préparation et la mise en œuvre de formations à la gestion.</w:t>
      </w:r>
    </w:p>
    <w:p w14:paraId="623D802E" w14:textId="77777777" w:rsidR="00553430" w:rsidRDefault="00212577">
      <w:pPr>
        <w:pStyle w:val="P68B1DB1-Normal33"/>
        <w:numPr>
          <w:ilvl w:val="0"/>
          <w:numId w:val="57"/>
        </w:numPr>
        <w:spacing w:before="120" w:after="120" w:line="240" w:lineRule="auto"/>
        <w:jc w:val="both"/>
        <w:rPr>
          <w:noProof/>
        </w:rPr>
      </w:pPr>
      <w:r>
        <w:rPr>
          <w:noProof/>
        </w:rPr>
        <w:t xml:space="preserve">Élaboration d'une proposition de modèle et d'un plan pour l'accès hybride au lieu de travail avec une solution normative </w:t>
      </w:r>
      <w:r>
        <w:rPr>
          <w:noProof/>
        </w:rPr>
        <w:t>complète pour sa mise en œuvre par des experts externes.</w:t>
      </w:r>
    </w:p>
    <w:p w14:paraId="6C6B50E8" w14:textId="77777777" w:rsidR="00553430" w:rsidRDefault="00212577">
      <w:pPr>
        <w:pStyle w:val="P68B1DB1-Normal33"/>
        <w:numPr>
          <w:ilvl w:val="0"/>
          <w:numId w:val="57"/>
        </w:numPr>
        <w:spacing w:before="120" w:after="120" w:line="240" w:lineRule="auto"/>
        <w:jc w:val="both"/>
        <w:rPr>
          <w:noProof/>
        </w:rPr>
      </w:pPr>
      <w:r>
        <w:rPr>
          <w:noProof/>
        </w:rPr>
        <w:t>Modifications du cadre législatif et des méthodes de travail.</w:t>
      </w:r>
    </w:p>
    <w:p w14:paraId="6C0BB935" w14:textId="77777777" w:rsidR="00553430" w:rsidRDefault="00212577">
      <w:pPr>
        <w:pStyle w:val="P68B1DB1-Normal33"/>
        <w:numPr>
          <w:ilvl w:val="0"/>
          <w:numId w:val="57"/>
        </w:numPr>
        <w:spacing w:before="120" w:after="120" w:line="240" w:lineRule="auto"/>
        <w:jc w:val="both"/>
        <w:rPr>
          <w:noProof/>
        </w:rPr>
      </w:pPr>
      <w:r>
        <w:rPr>
          <w:noProof/>
        </w:rPr>
        <w:t>Acquisition de technologies de l’information (ordinateurs portables, tablettes, smartphones et logiciels nécessaires), acquises dans le c</w:t>
      </w:r>
      <w:r>
        <w:rPr>
          <w:noProof/>
        </w:rPr>
        <w:t xml:space="preserve">adre de procédures transparentes de passation de marchés publics. </w:t>
      </w:r>
    </w:p>
    <w:p w14:paraId="18CD19DF" w14:textId="77777777" w:rsidR="00553430" w:rsidRDefault="00212577">
      <w:pPr>
        <w:pStyle w:val="P68B1DB1-Normal33"/>
        <w:numPr>
          <w:ilvl w:val="0"/>
          <w:numId w:val="57"/>
        </w:numPr>
        <w:spacing w:before="120" w:after="120" w:line="240" w:lineRule="auto"/>
        <w:jc w:val="both"/>
        <w:rPr>
          <w:noProof/>
        </w:rPr>
      </w:pPr>
      <w:r>
        <w:rPr>
          <w:noProof/>
        </w:rPr>
        <w:t>Formations du personnel.</w:t>
      </w:r>
    </w:p>
    <w:p w14:paraId="0F663DFB" w14:textId="77777777" w:rsidR="00553430" w:rsidRDefault="00212577">
      <w:pPr>
        <w:pStyle w:val="P68B1DB1-Normal33"/>
        <w:spacing w:line="240" w:lineRule="auto"/>
        <w:jc w:val="both"/>
        <w:rPr>
          <w:noProof/>
        </w:rPr>
      </w:pPr>
      <w:r>
        <w:rPr>
          <w:noProof/>
        </w:rPr>
        <w:t>La mesure est achevée au plus tard le 30 septembre 2023.</w:t>
      </w:r>
    </w:p>
    <w:p w14:paraId="606481FA" w14:textId="77777777" w:rsidR="00553430" w:rsidRDefault="00212577">
      <w:pPr>
        <w:pStyle w:val="P68B1DB1-Normal96"/>
        <w:keepNext/>
        <w:numPr>
          <w:ilvl w:val="2"/>
          <w:numId w:val="0"/>
        </w:numPr>
        <w:spacing w:line="240" w:lineRule="auto"/>
        <w:ind w:left="851"/>
        <w:jc w:val="both"/>
        <w:outlineLvl w:val="2"/>
        <w:rPr>
          <w:bCs/>
          <w:i/>
          <w:noProof/>
        </w:rPr>
      </w:pPr>
      <w:r>
        <w:rPr>
          <w:noProof/>
        </w:rPr>
        <w:t>Réforme C2.2 R3 – Transformation numérique des bases de conservation et des archives</w:t>
      </w:r>
    </w:p>
    <w:p w14:paraId="0ADB2BB7" w14:textId="77777777" w:rsidR="00553430" w:rsidRDefault="00212577">
      <w:pPr>
        <w:pStyle w:val="P68B1DB1-Normal33"/>
        <w:spacing w:line="240" w:lineRule="auto"/>
        <w:jc w:val="both"/>
        <w:rPr>
          <w:noProof/>
        </w:rPr>
      </w:pPr>
      <w:r>
        <w:rPr>
          <w:noProof/>
        </w:rPr>
        <w:t>Cette réforme vise à a</w:t>
      </w:r>
      <w:r>
        <w:rPr>
          <w:noProof/>
        </w:rPr>
        <w:t xml:space="preserve">méliorer la gestion de la documentation par les pouvoirs publics afin d’améliorer les processus opérationnels. La mesure devrait permettre une prestation plus efficace des services de l’administration publique en utilisant des solutions TIC mises en œuvre </w:t>
      </w:r>
      <w:r>
        <w:rPr>
          <w:noProof/>
        </w:rPr>
        <w:t>qui garantissent l’interopérabilité et le partage des données, la réduction des coûts, la transparence des entreprises et la protection des droits des citoyens.</w:t>
      </w:r>
    </w:p>
    <w:p w14:paraId="1528C16F" w14:textId="77777777" w:rsidR="00553430" w:rsidRDefault="00212577">
      <w:pPr>
        <w:pStyle w:val="P68B1DB1-Normal33"/>
        <w:spacing w:line="240" w:lineRule="auto"/>
        <w:jc w:val="both"/>
        <w:rPr>
          <w:noProof/>
        </w:rPr>
      </w:pPr>
      <w:r>
        <w:rPr>
          <w:noProof/>
        </w:rPr>
        <w:t>En outre, les autorités ont l’intention de développer un service public numérique et de le mett</w:t>
      </w:r>
      <w:r>
        <w:rPr>
          <w:noProof/>
        </w:rPr>
        <w:t>re en place pour donner accès aux bases de conservation numériques construites pour les sites culturels et historiques. En outre, l'élaboration des normes et critères nécessaires améliorera l'efficacité globale de l'administration publique dans ce contexte</w:t>
      </w:r>
      <w:r>
        <w:rPr>
          <w:noProof/>
        </w:rPr>
        <w:t>. Le développement du système national d'information sur les archives, le renforcement de l'infrastructure et des capacités humaines dans les archives publiques et le renforcement de la capacité de numérisation des documents papier analogiques par les créa</w:t>
      </w:r>
      <w:r>
        <w:rPr>
          <w:noProof/>
        </w:rPr>
        <w:t>teurs et les propriétaires de documents sont envisagés pour améliorer les services publics numériques en accélérant l'accès à la documentation et en faisant mieux respecter les droits des utilisateurs et de tous les citoyens intéressés.</w:t>
      </w:r>
    </w:p>
    <w:p w14:paraId="57916A68" w14:textId="77777777" w:rsidR="00553430" w:rsidRDefault="00212577">
      <w:pPr>
        <w:pStyle w:val="P68B1DB1-Normal33"/>
        <w:spacing w:line="240" w:lineRule="auto"/>
        <w:jc w:val="both"/>
        <w:rPr>
          <w:noProof/>
        </w:rPr>
      </w:pPr>
      <w:r>
        <w:rPr>
          <w:noProof/>
        </w:rPr>
        <w:t>La mesure est achev</w:t>
      </w:r>
      <w:r>
        <w:rPr>
          <w:noProof/>
        </w:rPr>
        <w:t>ée au plus tard le 30 juin 2024.</w:t>
      </w:r>
    </w:p>
    <w:p w14:paraId="00AC02A2" w14:textId="77777777" w:rsidR="00553430" w:rsidRDefault="00212577">
      <w:pPr>
        <w:pStyle w:val="P68B1DB1-Normal96"/>
        <w:keepNext/>
        <w:numPr>
          <w:ilvl w:val="2"/>
          <w:numId w:val="0"/>
        </w:numPr>
        <w:spacing w:line="240" w:lineRule="auto"/>
        <w:ind w:left="851"/>
        <w:jc w:val="both"/>
        <w:outlineLvl w:val="2"/>
        <w:rPr>
          <w:bCs/>
          <w:i/>
          <w:noProof/>
        </w:rPr>
      </w:pPr>
      <w:r>
        <w:rPr>
          <w:noProof/>
        </w:rPr>
        <w:t>Investissement C2.2 R3-I1 – Déploiement d’infrastructures numériques et de services d’administration publique par le développement d’un système de base de conservation</w:t>
      </w:r>
    </w:p>
    <w:p w14:paraId="61EDB513" w14:textId="77777777" w:rsidR="00553430" w:rsidRDefault="00212577">
      <w:pPr>
        <w:pStyle w:val="P68B1DB1-Normal33"/>
        <w:spacing w:line="240" w:lineRule="auto"/>
        <w:jc w:val="both"/>
        <w:rPr>
          <w:noProof/>
          <w:highlight w:val="green"/>
        </w:rPr>
      </w:pPr>
      <w:r>
        <w:rPr>
          <w:noProof/>
        </w:rPr>
        <w:t>Cet investissement consiste en la mise en place d’un no</w:t>
      </w:r>
      <w:r>
        <w:rPr>
          <w:noProof/>
        </w:rPr>
        <w:t>uveau service public numérique lié aux services publics numériques existants dans le but de réduire les obstacles administratifs et de permettre aux fonctionnaires de traiter les dossiers plus rapidement et plus efficacement.</w:t>
      </w:r>
    </w:p>
    <w:p w14:paraId="77488AE4" w14:textId="08AED6EF" w:rsidR="00553430" w:rsidRDefault="00212577">
      <w:pPr>
        <w:pStyle w:val="P68B1DB1-Normal33"/>
        <w:spacing w:line="240" w:lineRule="auto"/>
        <w:jc w:val="both"/>
        <w:rPr>
          <w:noProof/>
        </w:rPr>
      </w:pPr>
      <w:r>
        <w:rPr>
          <w:noProof/>
        </w:rPr>
        <w:t>Cette mesure consiste à dévelo</w:t>
      </w:r>
      <w:r>
        <w:rPr>
          <w:noProof/>
        </w:rPr>
        <w:t xml:space="preserve">pper des bases de conservation numériques. </w:t>
      </w:r>
    </w:p>
    <w:p w14:paraId="35055533" w14:textId="40D61BA6" w:rsidR="00553430" w:rsidRDefault="00212577">
      <w:pPr>
        <w:pStyle w:val="P68B1DB1-Normal96"/>
        <w:keepNext/>
        <w:spacing w:line="240" w:lineRule="auto"/>
        <w:ind w:left="851"/>
        <w:jc w:val="both"/>
        <w:outlineLvl w:val="2"/>
        <w:rPr>
          <w:i/>
          <w:iCs/>
          <w:noProof/>
        </w:rPr>
      </w:pPr>
      <w:r>
        <w:rPr>
          <w:noProof/>
        </w:rPr>
        <w:t>Investissement C2.2 R3-I2 – Améliorer l’infrastructure et les services numériques du secteur public en développant le système national d’information archivistique et en renforçant le réseau national d’archives</w:t>
      </w:r>
    </w:p>
    <w:p w14:paraId="28A24F7C" w14:textId="77777777" w:rsidR="00553430" w:rsidRDefault="00212577">
      <w:pPr>
        <w:pStyle w:val="P68B1DB1-Normal33"/>
        <w:spacing w:line="240" w:lineRule="auto"/>
        <w:jc w:val="both"/>
        <w:rPr>
          <w:noProof/>
          <w:highlight w:val="green"/>
        </w:rPr>
      </w:pPr>
      <w:r>
        <w:rPr>
          <w:noProof/>
        </w:rPr>
        <w:t>Ce</w:t>
      </w:r>
      <w:r>
        <w:rPr>
          <w:noProof/>
        </w:rPr>
        <w:t xml:space="preserve">t investissement consiste à améliorer la gestion et l'archivage des documents créés par les autorités publiques et le système judiciaire en donnant accès à toutes les autorités publiques concernées. </w:t>
      </w:r>
    </w:p>
    <w:p w14:paraId="75D0063C" w14:textId="77777777" w:rsidR="00553430" w:rsidRDefault="00212577">
      <w:pPr>
        <w:pStyle w:val="P68B1DB1-Normal33"/>
        <w:keepNext/>
        <w:spacing w:line="240" w:lineRule="auto"/>
        <w:jc w:val="both"/>
        <w:outlineLvl w:val="2"/>
        <w:rPr>
          <w:noProof/>
        </w:rPr>
      </w:pPr>
      <w:r>
        <w:rPr>
          <w:noProof/>
        </w:rPr>
        <w:t xml:space="preserve">L'investissement comprend le développement d'un système national d'information sur les archives et la mise en place d'un nouveau service d'archivage électronique, au sein de l'infrastructure d'information de l'État. </w:t>
      </w:r>
    </w:p>
    <w:p w14:paraId="488C22DC" w14:textId="77777777" w:rsidR="00553430" w:rsidRDefault="00212577">
      <w:pPr>
        <w:pStyle w:val="P68B1DB1-Normal96"/>
        <w:keepNext/>
        <w:spacing w:line="240" w:lineRule="auto"/>
        <w:ind w:left="851"/>
        <w:jc w:val="both"/>
        <w:outlineLvl w:val="2"/>
        <w:rPr>
          <w:i/>
          <w:iCs/>
          <w:noProof/>
        </w:rPr>
      </w:pPr>
      <w:r>
        <w:rPr>
          <w:noProof/>
        </w:rPr>
        <w:t>Réforme C2.2 R4 – Administration locale</w:t>
      </w:r>
      <w:r>
        <w:rPr>
          <w:noProof/>
        </w:rPr>
        <w:t xml:space="preserve"> fonctionnelle et durable </w:t>
      </w:r>
    </w:p>
    <w:p w14:paraId="43221D86" w14:textId="77777777" w:rsidR="00553430" w:rsidRDefault="00212577">
      <w:pPr>
        <w:pStyle w:val="P68B1DB1-Normal33"/>
        <w:spacing w:line="240" w:lineRule="auto"/>
        <w:jc w:val="both"/>
        <w:rPr>
          <w:noProof/>
        </w:rPr>
      </w:pPr>
      <w:r>
        <w:rPr>
          <w:noProof/>
        </w:rPr>
        <w:t>Cette réforme vise à mettre en place un système de gouvernement local et régional de haute qualité et efficace en encourageant l’intégration tant fonctionnelle que réelle des collectivités locales. La réforme devrait contribuer à</w:t>
      </w:r>
      <w:r>
        <w:rPr>
          <w:noProof/>
        </w:rPr>
        <w:t xml:space="preserve"> l’amélioration, à l’efficacité et à la transparence de la fourniture de services publics aux citoyens, en leur offrant des chances égales de répondre à leurs besoins et à leurs intérêts, quel que soit leur lieu de résidence. </w:t>
      </w:r>
    </w:p>
    <w:p w14:paraId="0ED38216" w14:textId="77777777" w:rsidR="00553430" w:rsidRDefault="00212577">
      <w:pPr>
        <w:pStyle w:val="P68B1DB1-Normal33"/>
        <w:spacing w:line="240" w:lineRule="auto"/>
        <w:jc w:val="both"/>
        <w:rPr>
          <w:noProof/>
        </w:rPr>
      </w:pPr>
      <w:r>
        <w:rPr>
          <w:noProof/>
        </w:rPr>
        <w:t>La législation pertinente, la</w:t>
      </w:r>
      <w:r>
        <w:rPr>
          <w:noProof/>
        </w:rPr>
        <w:t xml:space="preserve"> loi sur l’exécution du budget de l’État de la République de Croatie pour 2022, est modifiée et un mécanisme de soutien financier est mis en place pour encourager les fusions tant fonctionnelles que réelles. Le budget de l'État doit prévoir des ressources </w:t>
      </w:r>
      <w:r>
        <w:rPr>
          <w:noProof/>
        </w:rPr>
        <w:t xml:space="preserve">suffisantes pour encourager financièrement la fusion effective d'au moins 20 % des collectivités locales et la fusion fonctionnelle d'au moins 40 % des collectivités locales. Au cours de la phase de conception du mécanisme, un certain nombre de modèles de </w:t>
      </w:r>
      <w:r>
        <w:rPr>
          <w:noProof/>
        </w:rPr>
        <w:t>financement possibles pour la performance conjointe sont identifiés, en tenant compte de l’étendue des services que les unités gouvernementales locales et régionales doivent fournir conformément à la loi et des besoins déclarés des unités pour mener à bien</w:t>
      </w:r>
      <w:r>
        <w:rPr>
          <w:noProof/>
        </w:rPr>
        <w:t xml:space="preserve"> les tâches conjointes. La réussite du processus de fusion effective ou fonctionnelle est une condition préalable à l'allocation de ressources supplémentaires ou au cofinancement par le budget national. </w:t>
      </w:r>
      <w:r>
        <w:rPr>
          <w:noProof/>
          <w:color w:val="000000" w:themeColor="text1"/>
        </w:rPr>
        <w:t xml:space="preserve">La décision du gouvernement croate fixe les critères </w:t>
      </w:r>
      <w:r>
        <w:rPr>
          <w:noProof/>
          <w:color w:val="000000" w:themeColor="text1"/>
        </w:rPr>
        <w:t>et le niveau des incitations, avec des incitations fiscales plus importantes pour les fusions réelles, tandis que les incitations aux fusions fonctionnelles dépendent du nombre et du type de fonctions envisagées pour la fusion.</w:t>
      </w:r>
    </w:p>
    <w:p w14:paraId="633248C0" w14:textId="77777777" w:rsidR="00553430" w:rsidRDefault="00212577">
      <w:pPr>
        <w:pStyle w:val="P68B1DB1-Normal83"/>
        <w:spacing w:line="240" w:lineRule="auto"/>
        <w:jc w:val="both"/>
        <w:rPr>
          <w:rFonts w:eastAsia="Calibri"/>
          <w:noProof/>
        </w:rPr>
      </w:pPr>
      <w:sdt>
        <w:sdtPr>
          <w:rPr>
            <w:rFonts w:eastAsia="Calibri"/>
            <w:noProof/>
          </w:rPr>
          <w:id w:val="583646262"/>
        </w:sdtPr>
        <w:sdtEndPr/>
        <w:sdtContent>
          <w:r>
            <w:rPr>
              <w:noProof/>
            </w:rPr>
            <w:t>Modifications des règlements</w:t>
          </w:r>
          <w:r>
            <w:rPr>
              <w:noProof/>
            </w:rPr>
            <w:t xml:space="preserve"> relatifs au mécanisme de soutien financier aux collectivités locales et régionales, permettant le versement d'incitations financières aux fusions.</w:t>
          </w:r>
        </w:sdtContent>
      </w:sdt>
    </w:p>
    <w:p w14:paraId="1B1DE7E3" w14:textId="77777777" w:rsidR="00553430" w:rsidRDefault="00212577">
      <w:pPr>
        <w:pStyle w:val="P68B1DB1-Normal33"/>
        <w:spacing w:line="240" w:lineRule="auto"/>
        <w:jc w:val="both"/>
        <w:rPr>
          <w:noProof/>
        </w:rPr>
      </w:pPr>
      <w:r>
        <w:rPr>
          <w:noProof/>
        </w:rPr>
        <w:t>La réforme est achevée au plus tard le 31 mars 2022.</w:t>
      </w:r>
    </w:p>
    <w:p w14:paraId="6555A5C9" w14:textId="77777777" w:rsidR="00553430" w:rsidRDefault="00553430">
      <w:pPr>
        <w:spacing w:line="240" w:lineRule="auto"/>
        <w:jc w:val="both"/>
        <w:rPr>
          <w:rFonts w:ascii="Times New Roman" w:eastAsia="Calibri" w:hAnsi="Times New Roman" w:cs="Times New Roman"/>
          <w:noProof/>
          <w:sz w:val="24"/>
          <w:szCs w:val="24"/>
        </w:rPr>
      </w:pPr>
    </w:p>
    <w:p w14:paraId="21C6044F" w14:textId="77777777" w:rsidR="00553430" w:rsidRDefault="00212577">
      <w:pPr>
        <w:pStyle w:val="P68B1DB1-Normal96"/>
        <w:keepNext/>
        <w:spacing w:before="240" w:after="0"/>
        <w:ind w:left="851"/>
        <w:jc w:val="both"/>
        <w:outlineLvl w:val="2"/>
        <w:rPr>
          <w:noProof/>
        </w:rPr>
      </w:pPr>
      <w:r>
        <w:rPr>
          <w:noProof/>
        </w:rPr>
        <w:t>Investissement C2.2 R4-I1 – Poursuite de l’optimisat</w:t>
      </w:r>
      <w:r>
        <w:rPr>
          <w:noProof/>
        </w:rPr>
        <w:t>ion et de la décentralisation des collectivités locales et régionales grâce à un soutien aux fusions fonctionnelles et réelles</w:t>
      </w:r>
    </w:p>
    <w:p w14:paraId="44A020F1" w14:textId="77777777" w:rsidR="00553430" w:rsidRDefault="00553430">
      <w:pPr>
        <w:spacing w:line="240" w:lineRule="auto"/>
        <w:jc w:val="both"/>
        <w:rPr>
          <w:rFonts w:ascii="Times New Roman" w:eastAsia="Calibri" w:hAnsi="Times New Roman" w:cs="Times New Roman"/>
          <w:noProof/>
          <w:sz w:val="24"/>
          <w:szCs w:val="24"/>
        </w:rPr>
      </w:pPr>
    </w:p>
    <w:p w14:paraId="4E1C9A03" w14:textId="77777777" w:rsidR="00553430" w:rsidRDefault="00212577">
      <w:pPr>
        <w:pStyle w:val="P68B1DB1-Normal33"/>
        <w:spacing w:line="240" w:lineRule="auto"/>
        <w:jc w:val="both"/>
        <w:rPr>
          <w:noProof/>
        </w:rPr>
      </w:pPr>
      <w:r>
        <w:rPr>
          <w:noProof/>
        </w:rPr>
        <w:t>L’objectif de cette mesure est d’apporter un soutien aux collectivités locales lorsqu’elles décident de procéder à des fusions f</w:t>
      </w:r>
      <w:r>
        <w:rPr>
          <w:noProof/>
        </w:rPr>
        <w:t>onctionnelles ou réelles afin d’améliorer la qualité des services des collectivités locales.</w:t>
      </w:r>
    </w:p>
    <w:p w14:paraId="3A4D4479" w14:textId="32B4A7DC" w:rsidR="00553430" w:rsidRDefault="00212577">
      <w:pPr>
        <w:pStyle w:val="P68B1DB1-Normal33"/>
        <w:spacing w:line="240" w:lineRule="auto"/>
        <w:jc w:val="both"/>
        <w:rPr>
          <w:noProof/>
        </w:rPr>
      </w:pPr>
      <w:r>
        <w:rPr>
          <w:noProof/>
        </w:rPr>
        <w:t>Cet investissement consiste à moderniser le système informatique afin de soutenir la réforme qui l’accompagne (C2.2 R4) et à mettre en place un système de haute qu</w:t>
      </w:r>
      <w:r>
        <w:rPr>
          <w:noProof/>
        </w:rPr>
        <w:t xml:space="preserve">alité pour favoriser les fusions fonctionnelles et réelles des collectivités locales. </w:t>
      </w:r>
    </w:p>
    <w:p w14:paraId="4148B890" w14:textId="77777777" w:rsidR="00553430" w:rsidRDefault="00553430">
      <w:pPr>
        <w:spacing w:line="240" w:lineRule="auto"/>
        <w:jc w:val="both"/>
        <w:rPr>
          <w:rFonts w:ascii="Times New Roman" w:eastAsia="Calibri" w:hAnsi="Times New Roman" w:cs="Times New Roman"/>
          <w:noProof/>
          <w:sz w:val="24"/>
          <w:szCs w:val="24"/>
        </w:rPr>
      </w:pPr>
    </w:p>
    <w:p w14:paraId="1DDD47A7" w14:textId="77777777" w:rsidR="00553430" w:rsidRDefault="00553430">
      <w:pPr>
        <w:spacing w:line="240" w:lineRule="auto"/>
        <w:jc w:val="both"/>
        <w:rPr>
          <w:rFonts w:ascii="Times New Roman" w:eastAsia="Calibri" w:hAnsi="Times New Roman" w:cs="Times New Roman"/>
          <w:noProof/>
          <w:sz w:val="24"/>
          <w:szCs w:val="24"/>
        </w:rPr>
      </w:pPr>
    </w:p>
    <w:p w14:paraId="4D129541" w14:textId="77777777" w:rsidR="00553430" w:rsidRDefault="00553430">
      <w:pPr>
        <w:rPr>
          <w:noProof/>
        </w:rPr>
        <w:sectPr w:rsidR="00553430" w:rsidSect="00FA29B2">
          <w:headerReference w:type="even" r:id="rId147"/>
          <w:headerReference w:type="default" r:id="rId148"/>
          <w:footerReference w:type="even" r:id="rId149"/>
          <w:footerReference w:type="default" r:id="rId150"/>
          <w:headerReference w:type="first" r:id="rId151"/>
          <w:footerReference w:type="first" r:id="rId152"/>
          <w:pgSz w:w="11906" w:h="16838"/>
          <w:pgMar w:top="1134" w:right="1134" w:bottom="1134" w:left="1134" w:header="567" w:footer="567" w:gutter="0"/>
          <w:cols w:space="708"/>
          <w:docGrid w:linePitch="360"/>
        </w:sectPr>
      </w:pPr>
    </w:p>
    <w:p w14:paraId="5CF4B24F" w14:textId="77777777" w:rsidR="00553430" w:rsidRDefault="00212577">
      <w:pPr>
        <w:pStyle w:val="P68B1DB1-Normal92"/>
        <w:keepNext/>
        <w:tabs>
          <w:tab w:val="num" w:pos="850"/>
        </w:tabs>
        <w:spacing w:before="40" w:after="240"/>
        <w:ind w:left="851"/>
        <w:jc w:val="both"/>
        <w:outlineLvl w:val="1"/>
        <w:rPr>
          <w:noProof/>
        </w:rPr>
      </w:pPr>
      <w:r>
        <w:rPr>
          <w:noProof/>
        </w:rPr>
        <w:t xml:space="preserve">H.2. </w:t>
      </w:r>
      <w:r>
        <w:rPr>
          <w:noProof/>
        </w:rPr>
        <w:tab/>
        <w:t xml:space="preserve">Étapes, cibles, indicateurs et calendrier pour le suivi et la mise en œuvre du soutien financier </w:t>
      </w:r>
      <w:r>
        <w:rPr>
          <w:noProof/>
        </w:rPr>
        <w:t>non remboursable</w:t>
      </w:r>
    </w:p>
    <w:tbl>
      <w:tblPr>
        <w:tblW w:w="15310" w:type="dxa"/>
        <w:jc w:val="center"/>
        <w:tblLayout w:type="fixed"/>
        <w:tblCellMar>
          <w:top w:w="28" w:type="dxa"/>
          <w:left w:w="28" w:type="dxa"/>
          <w:bottom w:w="28" w:type="dxa"/>
          <w:right w:w="28" w:type="dxa"/>
        </w:tblCellMar>
        <w:tblLook w:val="04A0" w:firstRow="1" w:lastRow="0" w:firstColumn="1" w:lastColumn="0" w:noHBand="0" w:noVBand="1"/>
      </w:tblPr>
      <w:tblGrid>
        <w:gridCol w:w="851"/>
        <w:gridCol w:w="1098"/>
        <w:gridCol w:w="1046"/>
        <w:gridCol w:w="1400"/>
        <w:gridCol w:w="2259"/>
        <w:gridCol w:w="1138"/>
        <w:gridCol w:w="1083"/>
        <w:gridCol w:w="993"/>
        <w:gridCol w:w="992"/>
        <w:gridCol w:w="992"/>
        <w:gridCol w:w="3458"/>
      </w:tblGrid>
      <w:tr w:rsidR="00553430" w14:paraId="3929A2A3" w14:textId="77777777" w:rsidTr="0019760D">
        <w:trPr>
          <w:trHeight w:val="927"/>
          <w:tblHeader/>
          <w:jc w:val="center"/>
        </w:trPr>
        <w:tc>
          <w:tcPr>
            <w:tcW w:w="8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69566B" w14:textId="77777777" w:rsidR="00553430" w:rsidRDefault="00212577">
            <w:pPr>
              <w:pStyle w:val="P68B1DB1-Normal58"/>
              <w:spacing w:after="0" w:line="276" w:lineRule="auto"/>
              <w:jc w:val="center"/>
              <w:rPr>
                <w:bCs/>
                <w:noProof/>
              </w:rPr>
            </w:pPr>
            <w:r>
              <w:rPr>
                <w:noProof/>
              </w:rPr>
              <w:t>Numéro</w:t>
            </w:r>
          </w:p>
        </w:tc>
        <w:tc>
          <w:tcPr>
            <w:tcW w:w="109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2518EC" w14:textId="77777777" w:rsidR="00553430" w:rsidRDefault="00212577">
            <w:pPr>
              <w:pStyle w:val="P68B1DB1-Normal58"/>
              <w:spacing w:after="0" w:line="276" w:lineRule="auto"/>
              <w:jc w:val="center"/>
              <w:rPr>
                <w:bCs/>
                <w:noProof/>
              </w:rPr>
            </w:pPr>
            <w:r>
              <w:rPr>
                <w:noProof/>
              </w:rPr>
              <w:t>Mesure</w:t>
            </w:r>
          </w:p>
        </w:tc>
        <w:tc>
          <w:tcPr>
            <w:tcW w:w="10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039C53D" w14:textId="77777777" w:rsidR="00553430" w:rsidRDefault="00212577">
            <w:pPr>
              <w:pStyle w:val="P68B1DB1-Normal58"/>
              <w:spacing w:after="0" w:line="276" w:lineRule="auto"/>
              <w:jc w:val="center"/>
              <w:rPr>
                <w:bCs/>
                <w:noProof/>
              </w:rPr>
            </w:pPr>
            <w:r>
              <w:rPr>
                <w:noProof/>
              </w:rPr>
              <w:t>Étape/cible</w:t>
            </w:r>
          </w:p>
        </w:tc>
        <w:tc>
          <w:tcPr>
            <w:tcW w:w="1400" w:type="dxa"/>
            <w:vMerge w:val="restart"/>
            <w:tcBorders>
              <w:top w:val="single" w:sz="4" w:space="0" w:color="auto"/>
              <w:left w:val="nil"/>
              <w:bottom w:val="single" w:sz="4" w:space="0" w:color="auto"/>
              <w:right w:val="single" w:sz="4" w:space="0" w:color="auto"/>
            </w:tcBorders>
            <w:shd w:val="clear" w:color="auto" w:fill="BDD7EE"/>
            <w:vAlign w:val="center"/>
            <w:hideMark/>
          </w:tcPr>
          <w:p w14:paraId="03509526" w14:textId="77777777" w:rsidR="00553430" w:rsidRDefault="00212577">
            <w:pPr>
              <w:pStyle w:val="P68B1DB1-Normal58"/>
              <w:spacing w:after="0" w:line="276" w:lineRule="auto"/>
              <w:jc w:val="center"/>
              <w:rPr>
                <w:bCs/>
                <w:noProof/>
              </w:rPr>
            </w:pPr>
            <w:r>
              <w:rPr>
                <w:noProof/>
              </w:rPr>
              <w:t>Nom</w:t>
            </w:r>
          </w:p>
        </w:tc>
        <w:tc>
          <w:tcPr>
            <w:tcW w:w="22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767A11" w14:textId="77777777" w:rsidR="00553430" w:rsidRDefault="00212577">
            <w:pPr>
              <w:pStyle w:val="P68B1DB1-Normal58"/>
              <w:spacing w:after="0" w:line="276" w:lineRule="auto"/>
              <w:jc w:val="center"/>
              <w:rPr>
                <w:bCs/>
                <w:noProof/>
              </w:rPr>
            </w:pPr>
            <w:r>
              <w:rPr>
                <w:noProof/>
              </w:rPr>
              <w:t xml:space="preserve">Indicateurs qualitatifs </w:t>
            </w:r>
            <w:r>
              <w:rPr>
                <w:noProof/>
              </w:rPr>
              <w:br/>
              <w:t>(pour les jalons)</w:t>
            </w:r>
          </w:p>
        </w:tc>
        <w:tc>
          <w:tcPr>
            <w:tcW w:w="3214" w:type="dxa"/>
            <w:gridSpan w:val="3"/>
            <w:tcBorders>
              <w:top w:val="single" w:sz="4" w:space="0" w:color="auto"/>
              <w:left w:val="nil"/>
              <w:bottom w:val="single" w:sz="4" w:space="0" w:color="auto"/>
              <w:right w:val="single" w:sz="4" w:space="0" w:color="auto"/>
            </w:tcBorders>
            <w:shd w:val="clear" w:color="auto" w:fill="BDD7EE"/>
            <w:vAlign w:val="center"/>
            <w:hideMark/>
          </w:tcPr>
          <w:p w14:paraId="6D35BEE8" w14:textId="77777777" w:rsidR="00553430" w:rsidRDefault="00212577">
            <w:pPr>
              <w:pStyle w:val="P68B1DB1-Normal58"/>
              <w:spacing w:after="0" w:line="276" w:lineRule="auto"/>
              <w:jc w:val="center"/>
              <w:rPr>
                <w:bCs/>
                <w:noProof/>
              </w:rPr>
            </w:pPr>
            <w:r>
              <w:rPr>
                <w:noProof/>
              </w:rPr>
              <w:t xml:space="preserve">Indicateurs quantitatifs </w:t>
            </w:r>
            <w:r>
              <w:rPr>
                <w:noProof/>
              </w:rPr>
              <w:br/>
              <w:t>(pour les objectifs)</w:t>
            </w:r>
          </w:p>
        </w:tc>
        <w:tc>
          <w:tcPr>
            <w:tcW w:w="1984" w:type="dxa"/>
            <w:gridSpan w:val="2"/>
            <w:tcBorders>
              <w:top w:val="single" w:sz="4" w:space="0" w:color="auto"/>
              <w:left w:val="nil"/>
              <w:bottom w:val="single" w:sz="4" w:space="0" w:color="auto"/>
              <w:right w:val="single" w:sz="4" w:space="0" w:color="auto"/>
            </w:tcBorders>
            <w:shd w:val="clear" w:color="auto" w:fill="BDD7EE"/>
            <w:vAlign w:val="center"/>
            <w:hideMark/>
          </w:tcPr>
          <w:p w14:paraId="41E9CE3B" w14:textId="77777777" w:rsidR="00553430" w:rsidRDefault="00212577">
            <w:pPr>
              <w:pStyle w:val="P68B1DB1-Normal58"/>
              <w:spacing w:after="0" w:line="276" w:lineRule="auto"/>
              <w:jc w:val="center"/>
              <w:rPr>
                <w:bCs/>
                <w:noProof/>
              </w:rPr>
            </w:pPr>
            <w:r>
              <w:rPr>
                <w:noProof/>
              </w:rPr>
              <w:t>Temps</w:t>
            </w:r>
          </w:p>
        </w:tc>
        <w:tc>
          <w:tcPr>
            <w:tcW w:w="345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1998254" w14:textId="77777777" w:rsidR="00553430" w:rsidRDefault="00212577">
            <w:pPr>
              <w:pStyle w:val="P68B1DB1-Normal58"/>
              <w:spacing w:after="0" w:line="276" w:lineRule="auto"/>
              <w:jc w:val="center"/>
              <w:rPr>
                <w:bCs/>
                <w:noProof/>
              </w:rPr>
            </w:pPr>
            <w:r>
              <w:rPr>
                <w:noProof/>
              </w:rPr>
              <w:t>Description de chaque jalon et cible</w:t>
            </w:r>
          </w:p>
        </w:tc>
      </w:tr>
      <w:tr w:rsidR="00553430" w14:paraId="0F54EB41" w14:textId="77777777" w:rsidTr="0019760D">
        <w:trPr>
          <w:trHeight w:val="418"/>
          <w:tblHeader/>
          <w:jc w:val="center"/>
        </w:trPr>
        <w:tc>
          <w:tcPr>
            <w:tcW w:w="851" w:type="dxa"/>
            <w:vMerge/>
            <w:tcBorders>
              <w:top w:val="single" w:sz="4" w:space="0" w:color="auto"/>
              <w:left w:val="single" w:sz="4" w:space="0" w:color="auto"/>
              <w:bottom w:val="single" w:sz="4" w:space="0" w:color="auto"/>
              <w:right w:val="single" w:sz="4" w:space="0" w:color="auto"/>
            </w:tcBorders>
            <w:hideMark/>
          </w:tcPr>
          <w:p w14:paraId="0D51240E"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98" w:type="dxa"/>
            <w:vMerge/>
            <w:tcBorders>
              <w:top w:val="single" w:sz="4" w:space="0" w:color="auto"/>
              <w:left w:val="single" w:sz="4" w:space="0" w:color="auto"/>
              <w:bottom w:val="single" w:sz="4" w:space="0" w:color="auto"/>
              <w:right w:val="single" w:sz="4" w:space="0" w:color="auto"/>
            </w:tcBorders>
            <w:hideMark/>
          </w:tcPr>
          <w:p w14:paraId="7CE0E295"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46" w:type="dxa"/>
            <w:vMerge/>
            <w:tcBorders>
              <w:top w:val="single" w:sz="4" w:space="0" w:color="auto"/>
              <w:left w:val="single" w:sz="4" w:space="0" w:color="auto"/>
              <w:bottom w:val="single" w:sz="4" w:space="0" w:color="auto"/>
              <w:right w:val="single" w:sz="4" w:space="0" w:color="auto"/>
            </w:tcBorders>
            <w:hideMark/>
          </w:tcPr>
          <w:p w14:paraId="5A61627E"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400" w:type="dxa"/>
            <w:vMerge/>
            <w:tcBorders>
              <w:top w:val="single" w:sz="4" w:space="0" w:color="auto"/>
              <w:left w:val="single" w:sz="4" w:space="0" w:color="auto"/>
              <w:bottom w:val="single" w:sz="4" w:space="0" w:color="auto"/>
              <w:right w:val="single" w:sz="4" w:space="0" w:color="auto"/>
            </w:tcBorders>
            <w:hideMark/>
          </w:tcPr>
          <w:p w14:paraId="650C590F" w14:textId="77777777" w:rsidR="00553430" w:rsidRDefault="00553430">
            <w:pPr>
              <w:spacing w:after="0" w:line="276" w:lineRule="auto"/>
              <w:rPr>
                <w:rFonts w:ascii="Times New Roman" w:eastAsia="Times New Roman" w:hAnsi="Times New Roman" w:cs="Times New Roman"/>
                <w:b/>
                <w:noProof/>
                <w:sz w:val="20"/>
                <w:szCs w:val="20"/>
              </w:rPr>
            </w:pPr>
          </w:p>
        </w:tc>
        <w:tc>
          <w:tcPr>
            <w:tcW w:w="2259" w:type="dxa"/>
            <w:vMerge/>
            <w:tcBorders>
              <w:top w:val="single" w:sz="4" w:space="0" w:color="auto"/>
              <w:left w:val="single" w:sz="4" w:space="0" w:color="auto"/>
              <w:bottom w:val="single" w:sz="4" w:space="0" w:color="auto"/>
              <w:right w:val="single" w:sz="4" w:space="0" w:color="auto"/>
            </w:tcBorders>
            <w:hideMark/>
          </w:tcPr>
          <w:p w14:paraId="25C173C3" w14:textId="77777777" w:rsidR="00553430" w:rsidRDefault="00553430">
            <w:pPr>
              <w:spacing w:after="0" w:line="276" w:lineRule="auto"/>
              <w:rPr>
                <w:rFonts w:ascii="Times New Roman" w:eastAsia="Times New Roman" w:hAnsi="Times New Roman" w:cs="Times New Roman"/>
                <w:b/>
                <w:noProof/>
                <w:sz w:val="20"/>
                <w:szCs w:val="20"/>
              </w:rPr>
            </w:pPr>
          </w:p>
        </w:tc>
        <w:tc>
          <w:tcPr>
            <w:tcW w:w="113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982B51E" w14:textId="77777777" w:rsidR="00553430" w:rsidRDefault="00212577">
            <w:pPr>
              <w:pStyle w:val="P68B1DB1-Normal58"/>
              <w:spacing w:after="0" w:line="276" w:lineRule="auto"/>
              <w:jc w:val="center"/>
              <w:rPr>
                <w:bCs/>
                <w:noProof/>
              </w:rPr>
            </w:pPr>
            <w:r>
              <w:rPr>
                <w:noProof/>
              </w:rPr>
              <w:t>Unité</w:t>
            </w:r>
          </w:p>
        </w:tc>
        <w:tc>
          <w:tcPr>
            <w:tcW w:w="108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66AF8FE" w14:textId="77777777" w:rsidR="00553430" w:rsidRDefault="00212577">
            <w:pPr>
              <w:pStyle w:val="P68B1DB1-Normal58"/>
              <w:spacing w:after="0" w:line="276" w:lineRule="auto"/>
              <w:jc w:val="center"/>
              <w:rPr>
                <w:bCs/>
                <w:noProof/>
              </w:rPr>
            </w:pPr>
            <w:r>
              <w:rPr>
                <w:noProof/>
              </w:rPr>
              <w:t>Données de référence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0DF11DA" w14:textId="77777777" w:rsidR="00553430" w:rsidRDefault="00212577">
            <w:pPr>
              <w:pStyle w:val="P68B1DB1-Normal58"/>
              <w:spacing w:after="0" w:line="276" w:lineRule="auto"/>
              <w:jc w:val="center"/>
              <w:rPr>
                <w:bCs/>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8BC8921" w14:textId="77777777" w:rsidR="00553430" w:rsidRDefault="00212577">
            <w:pPr>
              <w:pStyle w:val="P68B1DB1-Normal58"/>
              <w:spacing w:after="0" w:line="276" w:lineRule="auto"/>
              <w:jc w:val="center"/>
              <w:rPr>
                <w:bCs/>
                <w:noProof/>
              </w:rPr>
            </w:pPr>
            <w:r>
              <w:rPr>
                <w:noProof/>
              </w:rPr>
              <w:t>Trimestre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3E55B8E" w14:textId="77777777" w:rsidR="00553430" w:rsidRDefault="00212577">
            <w:pPr>
              <w:pStyle w:val="P68B1DB1-Normal58"/>
              <w:spacing w:after="0" w:line="276" w:lineRule="auto"/>
              <w:jc w:val="center"/>
              <w:rPr>
                <w:bCs/>
                <w:noProof/>
              </w:rPr>
            </w:pPr>
            <w:r>
              <w:rPr>
                <w:noProof/>
              </w:rPr>
              <w:t>Année</w:t>
            </w:r>
          </w:p>
        </w:tc>
        <w:tc>
          <w:tcPr>
            <w:tcW w:w="3458" w:type="dxa"/>
            <w:vMerge/>
            <w:tcBorders>
              <w:top w:val="single" w:sz="4" w:space="0" w:color="auto"/>
              <w:left w:val="single" w:sz="4" w:space="0" w:color="auto"/>
              <w:bottom w:val="single" w:sz="4" w:space="0" w:color="auto"/>
              <w:right w:val="single" w:sz="4" w:space="0" w:color="auto"/>
            </w:tcBorders>
            <w:hideMark/>
          </w:tcPr>
          <w:p w14:paraId="50F62E24"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35C17B7E" w14:textId="77777777" w:rsidTr="0019760D">
        <w:trPr>
          <w:trHeight w:val="28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D1DDBA" w14:textId="77777777" w:rsidR="00553430" w:rsidRDefault="00212577">
            <w:pPr>
              <w:pStyle w:val="P68B1DB1-Normal66"/>
              <w:spacing w:after="0" w:line="276" w:lineRule="auto"/>
              <w:jc w:val="center"/>
              <w:rPr>
                <w:noProof/>
              </w:rPr>
            </w:pPr>
            <w:r>
              <w:rPr>
                <w:noProof/>
              </w:rPr>
              <w:t>163</w:t>
            </w:r>
          </w:p>
        </w:tc>
        <w:tc>
          <w:tcPr>
            <w:tcW w:w="1098" w:type="dxa"/>
            <w:tcBorders>
              <w:top w:val="single" w:sz="4" w:space="0" w:color="auto"/>
              <w:left w:val="nil"/>
              <w:bottom w:val="single" w:sz="4" w:space="0" w:color="auto"/>
              <w:right w:val="single" w:sz="4" w:space="0" w:color="auto"/>
            </w:tcBorders>
            <w:shd w:val="clear" w:color="auto" w:fill="C6EFCE"/>
            <w:noWrap/>
          </w:tcPr>
          <w:p w14:paraId="5933FC7D" w14:textId="77777777" w:rsidR="00553430" w:rsidRDefault="00212577">
            <w:pPr>
              <w:pStyle w:val="P68B1DB1-Normal66"/>
              <w:spacing w:after="200" w:line="276" w:lineRule="auto"/>
              <w:jc w:val="center"/>
              <w:rPr>
                <w:noProof/>
              </w:rPr>
            </w:pPr>
            <w:r>
              <w:rPr>
                <w:noProof/>
              </w:rPr>
              <w:t>C2.2. R1</w:t>
            </w:r>
          </w:p>
        </w:tc>
        <w:tc>
          <w:tcPr>
            <w:tcW w:w="1046" w:type="dxa"/>
            <w:tcBorders>
              <w:top w:val="single" w:sz="4" w:space="0" w:color="auto"/>
              <w:left w:val="nil"/>
              <w:bottom w:val="single" w:sz="4" w:space="0" w:color="auto"/>
              <w:right w:val="single" w:sz="4" w:space="0" w:color="auto"/>
            </w:tcBorders>
            <w:shd w:val="clear" w:color="auto" w:fill="C6EFCE"/>
            <w:noWrap/>
          </w:tcPr>
          <w:p w14:paraId="3A6A3209" w14:textId="77777777" w:rsidR="00553430" w:rsidRDefault="00212577">
            <w:pPr>
              <w:pStyle w:val="P68B1DB1-Normal66"/>
              <w:spacing w:after="200" w:line="276" w:lineRule="auto"/>
              <w:jc w:val="center"/>
              <w:rPr>
                <w:noProof/>
              </w:rPr>
            </w:pPr>
            <w:r>
              <w:rPr>
                <w:noProof/>
              </w:rPr>
              <w:t>M</w:t>
            </w:r>
          </w:p>
        </w:tc>
        <w:tc>
          <w:tcPr>
            <w:tcW w:w="1400" w:type="dxa"/>
            <w:tcBorders>
              <w:top w:val="single" w:sz="4" w:space="0" w:color="auto"/>
              <w:left w:val="nil"/>
              <w:bottom w:val="single" w:sz="4" w:space="0" w:color="auto"/>
              <w:right w:val="single" w:sz="4" w:space="0" w:color="auto"/>
            </w:tcBorders>
            <w:shd w:val="clear" w:color="auto" w:fill="C6EFCE"/>
            <w:noWrap/>
          </w:tcPr>
          <w:p w14:paraId="170E48F5" w14:textId="77777777" w:rsidR="00553430" w:rsidRDefault="00212577">
            <w:pPr>
              <w:pStyle w:val="P68B1DB1-Normal66"/>
              <w:spacing w:after="240" w:line="276" w:lineRule="auto"/>
              <w:rPr>
                <w:noProof/>
              </w:rPr>
            </w:pPr>
            <w:r>
              <w:rPr>
                <w:noProof/>
              </w:rPr>
              <w:t>Cadre législatif modifié pour un système centralisé de sélection dans l'administration publique, identifiant les qualifications nécessaires des fonctionnaires et mettant en place un système de recrutement moderne</w:t>
            </w:r>
          </w:p>
        </w:tc>
        <w:tc>
          <w:tcPr>
            <w:tcW w:w="2259" w:type="dxa"/>
            <w:tcBorders>
              <w:top w:val="single" w:sz="4" w:space="0" w:color="auto"/>
              <w:left w:val="nil"/>
              <w:bottom w:val="single" w:sz="4" w:space="0" w:color="auto"/>
              <w:right w:val="single" w:sz="4" w:space="0" w:color="auto"/>
            </w:tcBorders>
            <w:shd w:val="clear" w:color="auto" w:fill="C6EFCE"/>
            <w:noWrap/>
          </w:tcPr>
          <w:p w14:paraId="1A118FA3" w14:textId="77777777" w:rsidR="00553430" w:rsidRDefault="00212577">
            <w:pPr>
              <w:pStyle w:val="P68B1DB1-Normal66"/>
              <w:spacing w:after="240" w:line="276" w:lineRule="auto"/>
              <w:rPr>
                <w:noProof/>
              </w:rPr>
            </w:pPr>
            <w:r>
              <w:rPr>
                <w:noProof/>
              </w:rPr>
              <w:t>Entrée en vigueur d'un cadre législatif mod</w:t>
            </w:r>
            <w:r>
              <w:rPr>
                <w:noProof/>
              </w:rPr>
              <w:t xml:space="preserve">ifié pour un système centralisé de sélection des fonctionnaires, </w:t>
            </w:r>
          </w:p>
        </w:tc>
        <w:tc>
          <w:tcPr>
            <w:tcW w:w="1138" w:type="dxa"/>
            <w:tcBorders>
              <w:top w:val="single" w:sz="4" w:space="0" w:color="auto"/>
              <w:left w:val="nil"/>
              <w:bottom w:val="single" w:sz="4" w:space="0" w:color="auto"/>
              <w:right w:val="single" w:sz="4" w:space="0" w:color="auto"/>
            </w:tcBorders>
            <w:shd w:val="clear" w:color="auto" w:fill="C6EFCE"/>
            <w:noWrap/>
          </w:tcPr>
          <w:p w14:paraId="2EC00F45" w14:textId="77777777" w:rsidR="00553430" w:rsidRDefault="00212577">
            <w:pPr>
              <w:pStyle w:val="P68B1DB1-Normal66"/>
              <w:spacing w:after="0" w:line="276" w:lineRule="auto"/>
              <w:jc w:val="center"/>
              <w:rPr>
                <w:noProof/>
              </w:rPr>
            </w:pPr>
            <w:r>
              <w:rPr>
                <w:noProof/>
              </w:rPr>
              <w:t> </w:t>
            </w:r>
          </w:p>
        </w:tc>
        <w:tc>
          <w:tcPr>
            <w:tcW w:w="1083" w:type="dxa"/>
            <w:tcBorders>
              <w:top w:val="single" w:sz="4" w:space="0" w:color="auto"/>
              <w:left w:val="nil"/>
              <w:bottom w:val="single" w:sz="4" w:space="0" w:color="auto"/>
              <w:right w:val="single" w:sz="4" w:space="0" w:color="auto"/>
            </w:tcBorders>
            <w:shd w:val="clear" w:color="auto" w:fill="C6EFCE"/>
            <w:noWrap/>
          </w:tcPr>
          <w:p w14:paraId="1916A69B" w14:textId="77777777" w:rsidR="00553430" w:rsidRDefault="00212577">
            <w:pPr>
              <w:pStyle w:val="P68B1DB1-Normal66"/>
              <w:spacing w:after="200" w:line="276" w:lineRule="auto"/>
              <w:jc w:val="center"/>
              <w:rPr>
                <w:noProof/>
              </w:rPr>
            </w:pPr>
            <w:r>
              <w:rPr>
                <w:noProof/>
              </w:rPr>
              <w:t> </w:t>
            </w:r>
          </w:p>
        </w:tc>
        <w:tc>
          <w:tcPr>
            <w:tcW w:w="993" w:type="dxa"/>
            <w:tcBorders>
              <w:top w:val="single" w:sz="4" w:space="0" w:color="auto"/>
              <w:left w:val="nil"/>
              <w:bottom w:val="single" w:sz="4" w:space="0" w:color="auto"/>
              <w:right w:val="single" w:sz="4" w:space="0" w:color="auto"/>
            </w:tcBorders>
            <w:shd w:val="clear" w:color="auto" w:fill="C6EFCE"/>
            <w:noWrap/>
          </w:tcPr>
          <w:p w14:paraId="1502484D" w14:textId="77777777" w:rsidR="00553430" w:rsidRDefault="00212577">
            <w:pPr>
              <w:pStyle w:val="P68B1DB1-Normal66"/>
              <w:spacing w:after="200" w:line="276" w:lineRule="auto"/>
              <w:jc w:val="center"/>
              <w:rPr>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139C6A19" w14:textId="77777777" w:rsidR="00553430" w:rsidRDefault="00212577">
            <w:pPr>
              <w:pStyle w:val="P68B1DB1-Normal66"/>
              <w:spacing w:after="200" w:line="276" w:lineRule="auto"/>
              <w:jc w:val="center"/>
              <w:rPr>
                <w:noProof/>
              </w:rPr>
            </w:pPr>
            <w:r>
              <w:rPr>
                <w:noProof/>
              </w:rPr>
              <w:t>T2</w:t>
            </w:r>
          </w:p>
        </w:tc>
        <w:tc>
          <w:tcPr>
            <w:tcW w:w="992" w:type="dxa"/>
            <w:tcBorders>
              <w:top w:val="single" w:sz="4" w:space="0" w:color="auto"/>
              <w:left w:val="nil"/>
              <w:bottom w:val="single" w:sz="4" w:space="0" w:color="auto"/>
              <w:right w:val="single" w:sz="4" w:space="0" w:color="auto"/>
            </w:tcBorders>
            <w:shd w:val="clear" w:color="auto" w:fill="C6EFCE"/>
            <w:noWrap/>
          </w:tcPr>
          <w:p w14:paraId="729EF66E" w14:textId="77777777" w:rsidR="00553430" w:rsidRDefault="00212577">
            <w:pPr>
              <w:pStyle w:val="P68B1DB1-Normal66"/>
              <w:spacing w:after="200" w:line="276" w:lineRule="auto"/>
              <w:jc w:val="center"/>
              <w:rPr>
                <w:noProof/>
              </w:rPr>
            </w:pPr>
            <w:r>
              <w:rPr>
                <w:noProof/>
              </w:rPr>
              <w:t>2023</w:t>
            </w:r>
          </w:p>
        </w:tc>
        <w:tc>
          <w:tcPr>
            <w:tcW w:w="3458" w:type="dxa"/>
            <w:tcBorders>
              <w:top w:val="single" w:sz="4" w:space="0" w:color="auto"/>
              <w:left w:val="nil"/>
              <w:bottom w:val="single" w:sz="4" w:space="0" w:color="auto"/>
              <w:right w:val="single" w:sz="4" w:space="0" w:color="auto"/>
            </w:tcBorders>
            <w:shd w:val="clear" w:color="auto" w:fill="C6EFCE"/>
            <w:noWrap/>
          </w:tcPr>
          <w:p w14:paraId="5760C063" w14:textId="77777777" w:rsidR="00553430" w:rsidRDefault="00212577">
            <w:pPr>
              <w:pStyle w:val="P68B1DB1-Normal59"/>
              <w:spacing w:after="24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La législation révisée comprend au moins les mesures suivantes:</w:t>
            </w:r>
            <w:r>
              <w:rPr>
                <w:rFonts w:ascii="Times New Roman" w:hAnsi="Times New Roman" w:cs="Times New Roman"/>
                <w:noProof/>
              </w:rPr>
              <w:br/>
            </w:r>
            <w:r>
              <w:rPr>
                <w:rFonts w:ascii="Times New Roman" w:eastAsia="Calibri" w:hAnsi="Times New Roman" w:cs="Times New Roman"/>
                <w:noProof/>
                <w:color w:val="000000" w:themeColor="text1"/>
              </w:rPr>
              <w:t>- définir des profils d’emploi spécifiques à l’administration nationale afin d’attirer les compétences et aptitu</w:t>
            </w:r>
            <w:r>
              <w:rPr>
                <w:rFonts w:ascii="Times New Roman" w:eastAsia="Calibri" w:hAnsi="Times New Roman" w:cs="Times New Roman"/>
                <w:noProof/>
                <w:color w:val="000000" w:themeColor="text1"/>
              </w:rPr>
              <w:t>des nécessaires;</w:t>
            </w:r>
            <w:r>
              <w:rPr>
                <w:rFonts w:ascii="Times New Roman" w:hAnsi="Times New Roman" w:cs="Times New Roman"/>
                <w:noProof/>
              </w:rPr>
              <w:br/>
            </w:r>
            <w:r>
              <w:rPr>
                <w:rFonts w:ascii="Times New Roman" w:eastAsia="Calibri" w:hAnsi="Times New Roman" w:cs="Times New Roman"/>
                <w:noProof/>
                <w:color w:val="000000" w:themeColor="text1"/>
              </w:rPr>
              <w:t>- la création d’une plateforme unique pour l’emploi afin de centraliser les procédures de recrutement au sein d’une plateforme unique pour toutes les administrations nationales;</w:t>
            </w:r>
            <w:r>
              <w:rPr>
                <w:rFonts w:ascii="Times New Roman" w:hAnsi="Times New Roman" w:cs="Times New Roman"/>
                <w:noProof/>
              </w:rPr>
              <w:br/>
            </w:r>
            <w:r>
              <w:rPr>
                <w:rFonts w:ascii="Times New Roman" w:eastAsia="Calibri" w:hAnsi="Times New Roman" w:cs="Times New Roman"/>
                <w:noProof/>
                <w:color w:val="000000" w:themeColor="text1"/>
              </w:rPr>
              <w:t>- Ajuster le processus de recrutement pour: i) le passage d'u</w:t>
            </w:r>
            <w:r>
              <w:rPr>
                <w:rFonts w:ascii="Times New Roman" w:eastAsia="Calibri" w:hAnsi="Times New Roman" w:cs="Times New Roman"/>
                <w:noProof/>
                <w:color w:val="000000" w:themeColor="text1"/>
              </w:rPr>
              <w:t>n système fondé uniquement sur la connaissance à un système fondé principalement sur les compétences et les aptitudes appropriées; ii) l'évaluation des compétences pour la performance des fonctionnaires; iii) la distinction entre les recrutements au niveau</w:t>
            </w:r>
            <w:r>
              <w:rPr>
                <w:rFonts w:ascii="Times New Roman" w:eastAsia="Calibri" w:hAnsi="Times New Roman" w:cs="Times New Roman"/>
                <w:noProof/>
                <w:color w:val="000000" w:themeColor="text1"/>
              </w:rPr>
              <w:t xml:space="preserve"> initial, qui devraient reposer exclusivement sur des compétences, et le recrutement de profils spécialisés, qui devraient combiner des compétences avec une expérience professionnelle pertinente et conduire à l'accès à des carrières à un niveau supérieur; </w:t>
            </w:r>
            <w:r>
              <w:rPr>
                <w:rFonts w:ascii="Times New Roman" w:hAnsi="Times New Roman" w:cs="Times New Roman"/>
                <w:noProof/>
              </w:rPr>
              <w:br/>
            </w:r>
            <w:r>
              <w:rPr>
                <w:rFonts w:ascii="Times New Roman" w:eastAsia="Calibri" w:hAnsi="Times New Roman" w:cs="Times New Roman"/>
                <w:noProof/>
                <w:color w:val="000000" w:themeColor="text1"/>
              </w:rPr>
              <w:t>- Renforcer l’engagement en faveur de l’équilibre entre les hommes et les femmes et garantir l’équité entre les hommes et les femmes dans le recrutement, ainsi que la promotion des femmes à des postes d’encadrement supérieur.</w:t>
            </w:r>
          </w:p>
        </w:tc>
      </w:tr>
      <w:tr w:rsidR="00553430" w14:paraId="2631D608" w14:textId="77777777" w:rsidTr="0019760D">
        <w:trPr>
          <w:trHeight w:val="283"/>
          <w:jc w:val="center"/>
        </w:trPr>
        <w:tc>
          <w:tcPr>
            <w:tcW w:w="851" w:type="dxa"/>
            <w:tcBorders>
              <w:top w:val="nil"/>
              <w:left w:val="single" w:sz="4" w:space="0" w:color="auto"/>
              <w:bottom w:val="single" w:sz="4" w:space="0" w:color="auto"/>
              <w:right w:val="single" w:sz="4" w:space="0" w:color="auto"/>
            </w:tcBorders>
            <w:shd w:val="clear" w:color="auto" w:fill="C6EFCE"/>
            <w:noWrap/>
          </w:tcPr>
          <w:p w14:paraId="5AAB6F55" w14:textId="77777777" w:rsidR="00553430" w:rsidRDefault="00212577">
            <w:pPr>
              <w:pStyle w:val="P68B1DB1-Normal66"/>
              <w:spacing w:after="200" w:line="276" w:lineRule="auto"/>
              <w:jc w:val="center"/>
              <w:rPr>
                <w:noProof/>
              </w:rPr>
            </w:pPr>
            <w:r>
              <w:rPr>
                <w:noProof/>
              </w:rPr>
              <w:t>164</w:t>
            </w:r>
          </w:p>
        </w:tc>
        <w:tc>
          <w:tcPr>
            <w:tcW w:w="1098" w:type="dxa"/>
            <w:tcBorders>
              <w:top w:val="nil"/>
              <w:left w:val="nil"/>
              <w:bottom w:val="single" w:sz="4" w:space="0" w:color="auto"/>
              <w:right w:val="single" w:sz="4" w:space="0" w:color="auto"/>
            </w:tcBorders>
            <w:shd w:val="clear" w:color="auto" w:fill="C6EFCE"/>
            <w:noWrap/>
          </w:tcPr>
          <w:p w14:paraId="7DDAF28E" w14:textId="77777777" w:rsidR="00553430" w:rsidRDefault="00212577">
            <w:pPr>
              <w:pStyle w:val="P68B1DB1-Normal66"/>
              <w:spacing w:after="200" w:line="276" w:lineRule="auto"/>
              <w:jc w:val="center"/>
              <w:rPr>
                <w:noProof/>
              </w:rPr>
            </w:pPr>
            <w:r>
              <w:rPr>
                <w:noProof/>
              </w:rPr>
              <w:t>C2.2. R1-I1</w:t>
            </w:r>
          </w:p>
        </w:tc>
        <w:tc>
          <w:tcPr>
            <w:tcW w:w="1046" w:type="dxa"/>
            <w:tcBorders>
              <w:top w:val="nil"/>
              <w:left w:val="nil"/>
              <w:bottom w:val="single" w:sz="4" w:space="0" w:color="auto"/>
              <w:right w:val="single" w:sz="4" w:space="0" w:color="auto"/>
            </w:tcBorders>
            <w:shd w:val="clear" w:color="auto" w:fill="C6EFCE"/>
            <w:noWrap/>
          </w:tcPr>
          <w:p w14:paraId="53983A41" w14:textId="77777777" w:rsidR="00553430" w:rsidRDefault="00212577">
            <w:pPr>
              <w:pStyle w:val="P68B1DB1-Normal66"/>
              <w:spacing w:after="200" w:line="276" w:lineRule="auto"/>
              <w:jc w:val="center"/>
              <w:rPr>
                <w:noProof/>
              </w:rPr>
            </w:pPr>
            <w:r>
              <w:rPr>
                <w:noProof/>
              </w:rPr>
              <w:t>T</w:t>
            </w:r>
          </w:p>
        </w:tc>
        <w:tc>
          <w:tcPr>
            <w:tcW w:w="1400" w:type="dxa"/>
            <w:tcBorders>
              <w:top w:val="nil"/>
              <w:left w:val="nil"/>
              <w:bottom w:val="single" w:sz="4" w:space="0" w:color="auto"/>
              <w:right w:val="single" w:sz="4" w:space="0" w:color="auto"/>
            </w:tcBorders>
            <w:shd w:val="clear" w:color="auto" w:fill="C6EFCE"/>
            <w:noWrap/>
          </w:tcPr>
          <w:p w14:paraId="11FFB572" w14:textId="77777777" w:rsidR="00553430" w:rsidRDefault="00212577">
            <w:pPr>
              <w:pStyle w:val="P68B1DB1-Normal66"/>
              <w:spacing w:after="200" w:line="276" w:lineRule="auto"/>
              <w:rPr>
                <w:noProof/>
              </w:rPr>
            </w:pPr>
            <w:r>
              <w:rPr>
                <w:noProof/>
              </w:rPr>
              <w:t xml:space="preserve">100 % de </w:t>
            </w:r>
            <w:r>
              <w:rPr>
                <w:noProof/>
              </w:rPr>
              <w:t>tous les fonctionnaires permanents nouvellement recrutés au sein d’organismes gouvernementaux sont employés exclusivement au moyen d’un nouveau système de sélection et de recrutement centralisé, numérisé et normalisé, disponible au moyen d’une plateforme i</w:t>
            </w:r>
            <w:r>
              <w:rPr>
                <w:noProof/>
              </w:rPr>
              <w:t>nformatique nouvellement développée.</w:t>
            </w:r>
          </w:p>
        </w:tc>
        <w:tc>
          <w:tcPr>
            <w:tcW w:w="2259" w:type="dxa"/>
            <w:tcBorders>
              <w:top w:val="nil"/>
              <w:left w:val="nil"/>
              <w:bottom w:val="single" w:sz="4" w:space="0" w:color="auto"/>
              <w:right w:val="single" w:sz="4" w:space="0" w:color="auto"/>
            </w:tcBorders>
            <w:shd w:val="clear" w:color="auto" w:fill="C6EFCE"/>
            <w:noWrap/>
          </w:tcPr>
          <w:p w14:paraId="19E0841F" w14:textId="77777777" w:rsidR="00553430" w:rsidRDefault="00212577">
            <w:pPr>
              <w:pStyle w:val="P68B1DB1-Normal66"/>
              <w:spacing w:after="200" w:line="276" w:lineRule="auto"/>
              <w:rPr>
                <w:noProof/>
              </w:rPr>
            </w:pPr>
            <w:r>
              <w:rPr>
                <w:noProof/>
              </w:rPr>
              <w:t xml:space="preserve"> </w:t>
            </w:r>
          </w:p>
        </w:tc>
        <w:tc>
          <w:tcPr>
            <w:tcW w:w="1138" w:type="dxa"/>
            <w:tcBorders>
              <w:top w:val="nil"/>
              <w:left w:val="nil"/>
              <w:bottom w:val="single" w:sz="4" w:space="0" w:color="auto"/>
              <w:right w:val="single" w:sz="4" w:space="0" w:color="auto"/>
            </w:tcBorders>
            <w:shd w:val="clear" w:color="auto" w:fill="C6EFCE"/>
            <w:noWrap/>
          </w:tcPr>
          <w:p w14:paraId="55396B75" w14:textId="77777777" w:rsidR="00553430" w:rsidRDefault="00212577">
            <w:pPr>
              <w:pStyle w:val="P68B1DB1-Normal66"/>
              <w:spacing w:after="200" w:line="276" w:lineRule="auto"/>
              <w:jc w:val="center"/>
              <w:rPr>
                <w:noProof/>
              </w:rPr>
            </w:pPr>
            <w:r>
              <w:rPr>
                <w:noProof/>
              </w:rPr>
              <w:t>% (pourcentage)</w:t>
            </w:r>
          </w:p>
        </w:tc>
        <w:tc>
          <w:tcPr>
            <w:tcW w:w="1083" w:type="dxa"/>
            <w:tcBorders>
              <w:top w:val="nil"/>
              <w:left w:val="nil"/>
              <w:bottom w:val="single" w:sz="4" w:space="0" w:color="auto"/>
              <w:right w:val="single" w:sz="4" w:space="0" w:color="auto"/>
            </w:tcBorders>
            <w:shd w:val="clear" w:color="auto" w:fill="C6EFCE"/>
            <w:noWrap/>
          </w:tcPr>
          <w:p w14:paraId="16DC4B50" w14:textId="77777777" w:rsidR="00553430" w:rsidRDefault="00212577">
            <w:pPr>
              <w:pStyle w:val="P68B1DB1-Normal66"/>
              <w:spacing w:after="200" w:line="276" w:lineRule="auto"/>
              <w:jc w:val="center"/>
              <w:rPr>
                <w:noProof/>
              </w:rPr>
            </w:pPr>
            <w:r>
              <w:rPr>
                <w:noProof/>
              </w:rPr>
              <w:t>0</w:t>
            </w:r>
          </w:p>
        </w:tc>
        <w:tc>
          <w:tcPr>
            <w:tcW w:w="993" w:type="dxa"/>
            <w:tcBorders>
              <w:top w:val="nil"/>
              <w:left w:val="nil"/>
              <w:bottom w:val="single" w:sz="4" w:space="0" w:color="auto"/>
              <w:right w:val="single" w:sz="4" w:space="0" w:color="auto"/>
            </w:tcBorders>
            <w:shd w:val="clear" w:color="auto" w:fill="C6EFCE"/>
            <w:noWrap/>
          </w:tcPr>
          <w:p w14:paraId="1C41ED71" w14:textId="77777777" w:rsidR="00553430" w:rsidRDefault="00212577">
            <w:pPr>
              <w:pStyle w:val="P68B1DB1-Normal66"/>
              <w:spacing w:after="200" w:line="276" w:lineRule="auto"/>
              <w:jc w:val="center"/>
              <w:rPr>
                <w:noProof/>
              </w:rPr>
            </w:pPr>
            <w:r>
              <w:rPr>
                <w:noProof/>
              </w:rPr>
              <w:t>100</w:t>
            </w:r>
          </w:p>
        </w:tc>
        <w:tc>
          <w:tcPr>
            <w:tcW w:w="992" w:type="dxa"/>
            <w:tcBorders>
              <w:top w:val="nil"/>
              <w:left w:val="nil"/>
              <w:bottom w:val="single" w:sz="4" w:space="0" w:color="auto"/>
              <w:right w:val="single" w:sz="4" w:space="0" w:color="auto"/>
            </w:tcBorders>
            <w:shd w:val="clear" w:color="auto" w:fill="C6EFCE"/>
            <w:noWrap/>
          </w:tcPr>
          <w:p w14:paraId="283ED66D" w14:textId="77777777" w:rsidR="00553430" w:rsidRDefault="00212577">
            <w:pPr>
              <w:pStyle w:val="P68B1DB1-Normal66"/>
              <w:spacing w:after="200" w:line="276" w:lineRule="auto"/>
              <w:jc w:val="center"/>
              <w:rPr>
                <w:noProof/>
              </w:rPr>
            </w:pPr>
            <w:r>
              <w:rPr>
                <w:noProof/>
              </w:rPr>
              <w:t>T4</w:t>
            </w:r>
          </w:p>
        </w:tc>
        <w:tc>
          <w:tcPr>
            <w:tcW w:w="992" w:type="dxa"/>
            <w:tcBorders>
              <w:top w:val="nil"/>
              <w:left w:val="nil"/>
              <w:bottom w:val="single" w:sz="4" w:space="0" w:color="auto"/>
              <w:right w:val="single" w:sz="4" w:space="0" w:color="auto"/>
            </w:tcBorders>
            <w:shd w:val="clear" w:color="auto" w:fill="C6EFCE"/>
            <w:noWrap/>
          </w:tcPr>
          <w:p w14:paraId="0DB4ED4A" w14:textId="77777777" w:rsidR="00553430" w:rsidRDefault="00212577">
            <w:pPr>
              <w:pStyle w:val="P68B1DB1-Normal66"/>
              <w:spacing w:after="200" w:line="276" w:lineRule="auto"/>
              <w:jc w:val="center"/>
              <w:rPr>
                <w:noProof/>
              </w:rPr>
            </w:pPr>
            <w:r>
              <w:rPr>
                <w:noProof/>
              </w:rPr>
              <w:t>2024</w:t>
            </w:r>
          </w:p>
        </w:tc>
        <w:tc>
          <w:tcPr>
            <w:tcW w:w="3458" w:type="dxa"/>
            <w:tcBorders>
              <w:top w:val="nil"/>
              <w:left w:val="nil"/>
              <w:bottom w:val="single" w:sz="4" w:space="0" w:color="auto"/>
              <w:right w:val="single" w:sz="4" w:space="0" w:color="auto"/>
            </w:tcBorders>
            <w:shd w:val="clear" w:color="auto" w:fill="C6EFCE"/>
            <w:noWrap/>
          </w:tcPr>
          <w:p w14:paraId="70FFF39E" w14:textId="11054A5C" w:rsidR="00553430" w:rsidRDefault="00212577">
            <w:pPr>
              <w:pStyle w:val="P68B1DB1-Normal66"/>
              <w:spacing w:after="200" w:line="276" w:lineRule="auto"/>
              <w:rPr>
                <w:noProof/>
              </w:rPr>
            </w:pPr>
            <w:r>
              <w:rPr>
                <w:noProof/>
              </w:rPr>
              <w:t>Un système centralisé de sélection des fonctionnaires est mis en place et mis en œuvre sur la base de plans d’accueil préétablis fondés sur des analyses de la charge de travail et sur les</w:t>
            </w:r>
            <w:r>
              <w:rPr>
                <w:noProof/>
              </w:rPr>
              <w:t xml:space="preserve"> besoins réels des autorités publiques en matière de recrutement d’un certain profil de fonctionnaires. Le système prévoit que, lors du processus de recrutement, les candidats sont testés en ligne afin de garantir une sélection plus transparente et objecti</w:t>
            </w:r>
            <w:r>
              <w:rPr>
                <w:noProof/>
              </w:rPr>
              <w:t xml:space="preserve">ve des candidats. </w:t>
            </w:r>
          </w:p>
        </w:tc>
      </w:tr>
      <w:tr w:rsidR="00553430" w14:paraId="75510B97" w14:textId="77777777" w:rsidTr="0019760D">
        <w:trPr>
          <w:trHeight w:val="283"/>
          <w:jc w:val="center"/>
        </w:trPr>
        <w:tc>
          <w:tcPr>
            <w:tcW w:w="851" w:type="dxa"/>
            <w:tcBorders>
              <w:top w:val="nil"/>
              <w:left w:val="single" w:sz="4" w:space="0" w:color="auto"/>
              <w:bottom w:val="single" w:sz="4" w:space="0" w:color="auto"/>
              <w:right w:val="single" w:sz="4" w:space="0" w:color="auto"/>
            </w:tcBorders>
            <w:shd w:val="clear" w:color="auto" w:fill="C6EFCE"/>
            <w:noWrap/>
          </w:tcPr>
          <w:p w14:paraId="60ECBE75" w14:textId="77777777" w:rsidR="00553430" w:rsidRDefault="00212577">
            <w:pPr>
              <w:pStyle w:val="P68B1DB1-Normal66"/>
              <w:spacing w:after="0" w:line="276" w:lineRule="auto"/>
              <w:jc w:val="center"/>
              <w:rPr>
                <w:noProof/>
              </w:rPr>
            </w:pPr>
            <w:r>
              <w:rPr>
                <w:noProof/>
              </w:rPr>
              <w:t>165</w:t>
            </w:r>
          </w:p>
        </w:tc>
        <w:tc>
          <w:tcPr>
            <w:tcW w:w="1098" w:type="dxa"/>
            <w:tcBorders>
              <w:top w:val="nil"/>
              <w:left w:val="nil"/>
              <w:bottom w:val="single" w:sz="4" w:space="0" w:color="auto"/>
              <w:right w:val="single" w:sz="4" w:space="0" w:color="auto"/>
            </w:tcBorders>
            <w:shd w:val="clear" w:color="auto" w:fill="C6EFCE"/>
            <w:noWrap/>
          </w:tcPr>
          <w:p w14:paraId="75536844" w14:textId="77777777" w:rsidR="00553430" w:rsidRDefault="00212577">
            <w:pPr>
              <w:pStyle w:val="P68B1DB1-Normal66"/>
              <w:spacing w:after="200" w:line="276" w:lineRule="auto"/>
              <w:jc w:val="center"/>
              <w:rPr>
                <w:noProof/>
              </w:rPr>
            </w:pPr>
            <w:r>
              <w:rPr>
                <w:noProof/>
              </w:rPr>
              <w:t>C2.2. R1-I2</w:t>
            </w:r>
          </w:p>
        </w:tc>
        <w:tc>
          <w:tcPr>
            <w:tcW w:w="1046" w:type="dxa"/>
            <w:tcBorders>
              <w:top w:val="nil"/>
              <w:left w:val="nil"/>
              <w:bottom w:val="single" w:sz="4" w:space="0" w:color="auto"/>
              <w:right w:val="single" w:sz="4" w:space="0" w:color="auto"/>
            </w:tcBorders>
            <w:shd w:val="clear" w:color="auto" w:fill="C6EFCE"/>
            <w:noWrap/>
          </w:tcPr>
          <w:p w14:paraId="1BD3E9C6" w14:textId="77777777" w:rsidR="00553430" w:rsidRDefault="00212577">
            <w:pPr>
              <w:pStyle w:val="P68B1DB1-Normal66"/>
              <w:spacing w:after="200" w:line="276" w:lineRule="auto"/>
              <w:jc w:val="center"/>
              <w:rPr>
                <w:noProof/>
              </w:rPr>
            </w:pPr>
            <w:r>
              <w:rPr>
                <w:noProof/>
              </w:rPr>
              <w:t>T</w:t>
            </w:r>
          </w:p>
        </w:tc>
        <w:tc>
          <w:tcPr>
            <w:tcW w:w="1400" w:type="dxa"/>
            <w:tcBorders>
              <w:top w:val="nil"/>
              <w:left w:val="nil"/>
              <w:bottom w:val="single" w:sz="4" w:space="0" w:color="auto"/>
              <w:right w:val="single" w:sz="4" w:space="0" w:color="auto"/>
            </w:tcBorders>
            <w:shd w:val="clear" w:color="auto" w:fill="C6EFCE"/>
            <w:noWrap/>
          </w:tcPr>
          <w:p w14:paraId="2BBC0827" w14:textId="5C5E7678" w:rsidR="00553430" w:rsidRDefault="00212577">
            <w:pPr>
              <w:pStyle w:val="P68B1DB1-Normal66"/>
              <w:spacing w:after="240" w:line="276" w:lineRule="auto"/>
              <w:rPr>
                <w:noProof/>
              </w:rPr>
            </w:pPr>
            <w:r>
              <w:rPr>
                <w:noProof/>
              </w:rPr>
              <w:t xml:space="preserve">100% des fonctionnaires de toutes les institutions publiques doivent passer l'examen d'État, réussir numériquement l'examen d'État, sur la base d'un nouveau modèle d'examen. </w:t>
            </w:r>
          </w:p>
        </w:tc>
        <w:tc>
          <w:tcPr>
            <w:tcW w:w="2259" w:type="dxa"/>
            <w:tcBorders>
              <w:top w:val="nil"/>
              <w:left w:val="nil"/>
              <w:bottom w:val="single" w:sz="4" w:space="0" w:color="auto"/>
              <w:right w:val="single" w:sz="4" w:space="0" w:color="auto"/>
            </w:tcBorders>
            <w:shd w:val="clear" w:color="auto" w:fill="C6EFCE"/>
            <w:noWrap/>
          </w:tcPr>
          <w:p w14:paraId="679194FC" w14:textId="77777777" w:rsidR="00553430" w:rsidRDefault="00212577">
            <w:pPr>
              <w:pStyle w:val="P68B1DB1-Normal66"/>
              <w:spacing w:after="240" w:line="276" w:lineRule="auto"/>
              <w:rPr>
                <w:noProof/>
              </w:rPr>
            </w:pPr>
            <w:r>
              <w:rPr>
                <w:noProof/>
              </w:rPr>
              <w:t xml:space="preserve"> </w:t>
            </w:r>
          </w:p>
        </w:tc>
        <w:tc>
          <w:tcPr>
            <w:tcW w:w="1138" w:type="dxa"/>
            <w:tcBorders>
              <w:top w:val="nil"/>
              <w:left w:val="nil"/>
              <w:bottom w:val="single" w:sz="4" w:space="0" w:color="auto"/>
              <w:right w:val="single" w:sz="4" w:space="0" w:color="auto"/>
            </w:tcBorders>
            <w:shd w:val="clear" w:color="auto" w:fill="C6EFCE"/>
            <w:noWrap/>
          </w:tcPr>
          <w:p w14:paraId="570D7910" w14:textId="77777777" w:rsidR="00553430" w:rsidRDefault="00212577">
            <w:pPr>
              <w:pStyle w:val="P68B1DB1-Normal66"/>
              <w:spacing w:after="0" w:line="276" w:lineRule="auto"/>
              <w:jc w:val="center"/>
              <w:rPr>
                <w:noProof/>
              </w:rPr>
            </w:pPr>
            <w:r>
              <w:rPr>
                <w:noProof/>
              </w:rPr>
              <w:t>% (pourcentage)</w:t>
            </w:r>
          </w:p>
        </w:tc>
        <w:tc>
          <w:tcPr>
            <w:tcW w:w="1083" w:type="dxa"/>
            <w:tcBorders>
              <w:top w:val="nil"/>
              <w:left w:val="nil"/>
              <w:bottom w:val="single" w:sz="4" w:space="0" w:color="auto"/>
              <w:right w:val="single" w:sz="4" w:space="0" w:color="auto"/>
            </w:tcBorders>
            <w:shd w:val="clear" w:color="auto" w:fill="C6EFCE"/>
            <w:noWrap/>
          </w:tcPr>
          <w:p w14:paraId="3AEA3BC5" w14:textId="77777777" w:rsidR="00553430" w:rsidRDefault="00212577">
            <w:pPr>
              <w:pStyle w:val="P68B1DB1-Normal66"/>
              <w:spacing w:after="200" w:line="276" w:lineRule="auto"/>
              <w:jc w:val="center"/>
              <w:rPr>
                <w:noProof/>
              </w:rPr>
            </w:pPr>
            <w:r>
              <w:rPr>
                <w:noProof/>
              </w:rPr>
              <w:t>0</w:t>
            </w:r>
          </w:p>
        </w:tc>
        <w:tc>
          <w:tcPr>
            <w:tcW w:w="993" w:type="dxa"/>
            <w:tcBorders>
              <w:top w:val="nil"/>
              <w:left w:val="nil"/>
              <w:bottom w:val="single" w:sz="4" w:space="0" w:color="auto"/>
              <w:right w:val="single" w:sz="4" w:space="0" w:color="auto"/>
            </w:tcBorders>
            <w:shd w:val="clear" w:color="auto" w:fill="C6EFCE"/>
            <w:noWrap/>
          </w:tcPr>
          <w:p w14:paraId="4703D00E" w14:textId="77777777" w:rsidR="00553430" w:rsidRDefault="00212577">
            <w:pPr>
              <w:pStyle w:val="P68B1DB1-Normal66"/>
              <w:spacing w:after="200" w:line="276" w:lineRule="auto"/>
              <w:jc w:val="center"/>
              <w:rPr>
                <w:noProof/>
              </w:rPr>
            </w:pPr>
            <w:r>
              <w:rPr>
                <w:noProof/>
              </w:rPr>
              <w:t>100</w:t>
            </w:r>
          </w:p>
        </w:tc>
        <w:tc>
          <w:tcPr>
            <w:tcW w:w="992" w:type="dxa"/>
            <w:tcBorders>
              <w:top w:val="nil"/>
              <w:left w:val="nil"/>
              <w:bottom w:val="single" w:sz="4" w:space="0" w:color="auto"/>
              <w:right w:val="single" w:sz="4" w:space="0" w:color="auto"/>
            </w:tcBorders>
            <w:shd w:val="clear" w:color="auto" w:fill="C6EFCE"/>
            <w:noWrap/>
          </w:tcPr>
          <w:p w14:paraId="78517A9B" w14:textId="77777777" w:rsidR="00553430" w:rsidRDefault="00212577">
            <w:pPr>
              <w:pStyle w:val="P68B1DB1-Normal66"/>
              <w:spacing w:after="200" w:line="276" w:lineRule="auto"/>
              <w:jc w:val="center"/>
              <w:rPr>
                <w:noProof/>
              </w:rPr>
            </w:pPr>
            <w:r>
              <w:rPr>
                <w:noProof/>
              </w:rPr>
              <w:t>T4</w:t>
            </w:r>
          </w:p>
        </w:tc>
        <w:tc>
          <w:tcPr>
            <w:tcW w:w="992" w:type="dxa"/>
            <w:tcBorders>
              <w:top w:val="nil"/>
              <w:left w:val="nil"/>
              <w:bottom w:val="single" w:sz="4" w:space="0" w:color="auto"/>
              <w:right w:val="single" w:sz="4" w:space="0" w:color="auto"/>
            </w:tcBorders>
            <w:shd w:val="clear" w:color="auto" w:fill="C6EFCE"/>
            <w:noWrap/>
          </w:tcPr>
          <w:p w14:paraId="68D97E1F" w14:textId="77777777" w:rsidR="00553430" w:rsidRDefault="00212577">
            <w:pPr>
              <w:pStyle w:val="P68B1DB1-Normal66"/>
              <w:spacing w:after="200" w:line="276" w:lineRule="auto"/>
              <w:jc w:val="center"/>
              <w:rPr>
                <w:noProof/>
              </w:rPr>
            </w:pPr>
            <w:r>
              <w:rPr>
                <w:noProof/>
              </w:rPr>
              <w:t>2022</w:t>
            </w:r>
          </w:p>
        </w:tc>
        <w:tc>
          <w:tcPr>
            <w:tcW w:w="3458" w:type="dxa"/>
            <w:tcBorders>
              <w:top w:val="nil"/>
              <w:left w:val="nil"/>
              <w:bottom w:val="single" w:sz="4" w:space="0" w:color="auto"/>
              <w:right w:val="single" w:sz="4" w:space="0" w:color="auto"/>
            </w:tcBorders>
            <w:shd w:val="clear" w:color="auto" w:fill="C6EFCE"/>
            <w:noWrap/>
          </w:tcPr>
          <w:p w14:paraId="7AC8682A" w14:textId="77777777" w:rsidR="00553430" w:rsidRDefault="00212577">
            <w:pPr>
              <w:pStyle w:val="P68B1DB1-Normal66"/>
              <w:spacing w:after="240" w:line="276" w:lineRule="auto"/>
              <w:rPr>
                <w:noProof/>
              </w:rPr>
            </w:pPr>
            <w:r>
              <w:rPr>
                <w:noProof/>
              </w:rPr>
              <w:t xml:space="preserve">100% des </w:t>
            </w:r>
            <w:r>
              <w:rPr>
                <w:noProof/>
              </w:rPr>
              <w:t>fonctionnaires de toutes les institutions publiques, tenus de passer l'examen d'État, réussissent l'examen à l'aide d'un modèle entièrement numérisé. Le processus de réussite à l'examen d'État est numérisé afin de rendre le système d'examen plus transparen</w:t>
            </w:r>
            <w:r>
              <w:rPr>
                <w:noProof/>
              </w:rPr>
              <w:t>t, plus accessible (dans plusieurs endroits du pays) et plus efficace.</w:t>
            </w:r>
          </w:p>
        </w:tc>
      </w:tr>
      <w:tr w:rsidR="00553430" w14:paraId="3F3FBDD7" w14:textId="77777777" w:rsidTr="0019760D">
        <w:trPr>
          <w:trHeight w:val="283"/>
          <w:jc w:val="center"/>
        </w:trPr>
        <w:tc>
          <w:tcPr>
            <w:tcW w:w="851" w:type="dxa"/>
            <w:tcBorders>
              <w:top w:val="nil"/>
              <w:left w:val="single" w:sz="4" w:space="0" w:color="auto"/>
              <w:bottom w:val="single" w:sz="4" w:space="0" w:color="auto"/>
              <w:right w:val="single" w:sz="4" w:space="0" w:color="auto"/>
            </w:tcBorders>
            <w:shd w:val="clear" w:color="auto" w:fill="C6EFCE"/>
            <w:noWrap/>
          </w:tcPr>
          <w:p w14:paraId="41369545" w14:textId="77777777" w:rsidR="00553430" w:rsidRDefault="00212577">
            <w:pPr>
              <w:pStyle w:val="P68B1DB1-Normal66"/>
              <w:spacing w:after="200" w:line="276" w:lineRule="auto"/>
              <w:jc w:val="center"/>
              <w:rPr>
                <w:noProof/>
              </w:rPr>
            </w:pPr>
            <w:r>
              <w:rPr>
                <w:noProof/>
              </w:rPr>
              <w:t>166</w:t>
            </w:r>
          </w:p>
        </w:tc>
        <w:tc>
          <w:tcPr>
            <w:tcW w:w="1098" w:type="dxa"/>
            <w:tcBorders>
              <w:top w:val="nil"/>
              <w:left w:val="nil"/>
              <w:bottom w:val="single" w:sz="4" w:space="0" w:color="auto"/>
              <w:right w:val="single" w:sz="4" w:space="0" w:color="auto"/>
            </w:tcBorders>
            <w:shd w:val="clear" w:color="auto" w:fill="C6EFCE"/>
            <w:noWrap/>
          </w:tcPr>
          <w:p w14:paraId="660943D1" w14:textId="77777777" w:rsidR="00553430" w:rsidRDefault="00212577">
            <w:pPr>
              <w:pStyle w:val="P68B1DB1-Normal66"/>
              <w:spacing w:after="200" w:line="276" w:lineRule="auto"/>
              <w:jc w:val="center"/>
              <w:rPr>
                <w:noProof/>
              </w:rPr>
            </w:pPr>
            <w:r>
              <w:rPr>
                <w:noProof/>
              </w:rPr>
              <w:t>C2.2. R2</w:t>
            </w:r>
          </w:p>
        </w:tc>
        <w:tc>
          <w:tcPr>
            <w:tcW w:w="1046" w:type="dxa"/>
            <w:tcBorders>
              <w:top w:val="nil"/>
              <w:left w:val="nil"/>
              <w:bottom w:val="single" w:sz="4" w:space="0" w:color="auto"/>
              <w:right w:val="single" w:sz="4" w:space="0" w:color="auto"/>
            </w:tcBorders>
            <w:shd w:val="clear" w:color="auto" w:fill="C6EFCE"/>
            <w:noWrap/>
          </w:tcPr>
          <w:p w14:paraId="0C7B9B45" w14:textId="77777777" w:rsidR="00553430" w:rsidRDefault="00212577">
            <w:pPr>
              <w:pStyle w:val="P68B1DB1-Normal66"/>
              <w:spacing w:after="200" w:line="276" w:lineRule="auto"/>
              <w:jc w:val="center"/>
              <w:rPr>
                <w:noProof/>
              </w:rPr>
            </w:pPr>
            <w:r>
              <w:rPr>
                <w:noProof/>
              </w:rPr>
              <w:t>M</w:t>
            </w:r>
          </w:p>
        </w:tc>
        <w:tc>
          <w:tcPr>
            <w:tcW w:w="1400" w:type="dxa"/>
            <w:tcBorders>
              <w:top w:val="nil"/>
              <w:left w:val="nil"/>
              <w:bottom w:val="single" w:sz="4" w:space="0" w:color="auto"/>
              <w:right w:val="single" w:sz="4" w:space="0" w:color="auto"/>
            </w:tcBorders>
            <w:shd w:val="clear" w:color="auto" w:fill="C6EFCE"/>
            <w:noWrap/>
          </w:tcPr>
          <w:p w14:paraId="7D006095" w14:textId="77777777" w:rsidR="00553430" w:rsidRDefault="00212577">
            <w:pPr>
              <w:pStyle w:val="P68B1DB1-Normal66"/>
              <w:spacing w:after="200" w:line="276" w:lineRule="auto"/>
              <w:rPr>
                <w:noProof/>
              </w:rPr>
            </w:pPr>
            <w:r>
              <w:rPr>
                <w:noProof/>
              </w:rPr>
              <w:t>Entrée en vigueur des lois sur les salaires dans l'administration publique et les services publics et des règlements sur la mobilité</w:t>
            </w:r>
          </w:p>
        </w:tc>
        <w:tc>
          <w:tcPr>
            <w:tcW w:w="2259" w:type="dxa"/>
            <w:tcBorders>
              <w:top w:val="nil"/>
              <w:left w:val="nil"/>
              <w:bottom w:val="single" w:sz="4" w:space="0" w:color="auto"/>
              <w:right w:val="single" w:sz="4" w:space="0" w:color="auto"/>
            </w:tcBorders>
            <w:shd w:val="clear" w:color="auto" w:fill="C6EFCE"/>
            <w:noWrap/>
          </w:tcPr>
          <w:p w14:paraId="12862F04" w14:textId="77777777" w:rsidR="00553430" w:rsidRDefault="00212577">
            <w:pPr>
              <w:pStyle w:val="P68B1DB1-Normal66"/>
              <w:spacing w:after="200" w:line="276" w:lineRule="auto"/>
              <w:rPr>
                <w:noProof/>
              </w:rPr>
            </w:pPr>
            <w:r>
              <w:rPr>
                <w:noProof/>
              </w:rPr>
              <w:t xml:space="preserve">Entrée en vigueur des lois sur les </w:t>
            </w:r>
            <w:r>
              <w:rPr>
                <w:noProof/>
              </w:rPr>
              <w:t>salaires dans l'administration publique et les services publics et des règlements sur la mobilité verticale et horizontale des fonctionnaires dans l'administration publique</w:t>
            </w:r>
          </w:p>
        </w:tc>
        <w:tc>
          <w:tcPr>
            <w:tcW w:w="1138" w:type="dxa"/>
            <w:tcBorders>
              <w:top w:val="nil"/>
              <w:left w:val="nil"/>
              <w:bottom w:val="single" w:sz="4" w:space="0" w:color="auto"/>
              <w:right w:val="single" w:sz="4" w:space="0" w:color="auto"/>
            </w:tcBorders>
            <w:shd w:val="clear" w:color="auto" w:fill="C6EFCE"/>
            <w:noWrap/>
          </w:tcPr>
          <w:p w14:paraId="40C65BBC" w14:textId="77777777" w:rsidR="00553430" w:rsidRDefault="00212577">
            <w:pPr>
              <w:pStyle w:val="P68B1DB1-Normal66"/>
              <w:spacing w:after="200" w:line="276" w:lineRule="auto"/>
              <w:jc w:val="center"/>
              <w:rPr>
                <w:noProof/>
              </w:rPr>
            </w:pPr>
            <w:r>
              <w:rPr>
                <w:noProof/>
              </w:rPr>
              <w:t> </w:t>
            </w:r>
          </w:p>
        </w:tc>
        <w:tc>
          <w:tcPr>
            <w:tcW w:w="1083" w:type="dxa"/>
            <w:tcBorders>
              <w:top w:val="nil"/>
              <w:left w:val="nil"/>
              <w:bottom w:val="single" w:sz="4" w:space="0" w:color="auto"/>
              <w:right w:val="single" w:sz="4" w:space="0" w:color="auto"/>
            </w:tcBorders>
            <w:shd w:val="clear" w:color="auto" w:fill="C6EFCE"/>
            <w:noWrap/>
          </w:tcPr>
          <w:p w14:paraId="14BA0661" w14:textId="77777777" w:rsidR="00553430" w:rsidRDefault="00212577">
            <w:pPr>
              <w:pStyle w:val="P68B1DB1-Normal66"/>
              <w:spacing w:after="200" w:line="276" w:lineRule="auto"/>
              <w:jc w:val="center"/>
              <w:rPr>
                <w:noProof/>
              </w:rPr>
            </w:pPr>
            <w:r>
              <w:rPr>
                <w:noProof/>
              </w:rPr>
              <w:t> </w:t>
            </w:r>
          </w:p>
        </w:tc>
        <w:tc>
          <w:tcPr>
            <w:tcW w:w="993" w:type="dxa"/>
            <w:tcBorders>
              <w:top w:val="nil"/>
              <w:left w:val="nil"/>
              <w:bottom w:val="single" w:sz="4" w:space="0" w:color="auto"/>
              <w:right w:val="single" w:sz="4" w:space="0" w:color="auto"/>
            </w:tcBorders>
            <w:shd w:val="clear" w:color="auto" w:fill="C6EFCE"/>
            <w:noWrap/>
          </w:tcPr>
          <w:p w14:paraId="3F936ADD" w14:textId="77777777" w:rsidR="00553430" w:rsidRDefault="00212577">
            <w:pPr>
              <w:pStyle w:val="P68B1DB1-Normal66"/>
              <w:spacing w:after="200" w:line="276" w:lineRule="auto"/>
              <w:jc w:val="center"/>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15777FE6" w14:textId="77777777" w:rsidR="00553430" w:rsidRDefault="00212577">
            <w:pPr>
              <w:pStyle w:val="P68B1DB1-Normal66"/>
              <w:spacing w:after="200" w:line="276" w:lineRule="auto"/>
              <w:jc w:val="center"/>
              <w:rPr>
                <w:noProof/>
              </w:rPr>
            </w:pPr>
            <w:r>
              <w:rPr>
                <w:noProof/>
              </w:rPr>
              <w:t>T2</w:t>
            </w:r>
          </w:p>
        </w:tc>
        <w:tc>
          <w:tcPr>
            <w:tcW w:w="992" w:type="dxa"/>
            <w:tcBorders>
              <w:top w:val="nil"/>
              <w:left w:val="nil"/>
              <w:bottom w:val="single" w:sz="4" w:space="0" w:color="auto"/>
              <w:right w:val="single" w:sz="4" w:space="0" w:color="auto"/>
            </w:tcBorders>
            <w:shd w:val="clear" w:color="auto" w:fill="C6EFCE"/>
            <w:noWrap/>
          </w:tcPr>
          <w:p w14:paraId="24724557" w14:textId="77777777" w:rsidR="00553430" w:rsidRDefault="00212577">
            <w:pPr>
              <w:pStyle w:val="P68B1DB1-Normal66"/>
              <w:spacing w:after="200" w:line="276" w:lineRule="auto"/>
              <w:jc w:val="center"/>
              <w:rPr>
                <w:noProof/>
              </w:rPr>
            </w:pPr>
            <w:r>
              <w:rPr>
                <w:noProof/>
              </w:rPr>
              <w:t>2023</w:t>
            </w:r>
          </w:p>
        </w:tc>
        <w:tc>
          <w:tcPr>
            <w:tcW w:w="3458" w:type="dxa"/>
            <w:tcBorders>
              <w:top w:val="nil"/>
              <w:left w:val="nil"/>
              <w:bottom w:val="single" w:sz="4" w:space="0" w:color="auto"/>
              <w:right w:val="single" w:sz="4" w:space="0" w:color="auto"/>
            </w:tcBorders>
            <w:shd w:val="clear" w:color="auto" w:fill="C6EFCE"/>
            <w:noWrap/>
          </w:tcPr>
          <w:p w14:paraId="4EDAE994" w14:textId="77777777" w:rsidR="00553430" w:rsidRDefault="00212577">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La nouvelle législation sur les salaires dans l’administration publiq</w:t>
            </w:r>
            <w:r>
              <w:rPr>
                <w:rFonts w:ascii="Times New Roman" w:eastAsia="Calibri" w:hAnsi="Times New Roman" w:cs="Times New Roman"/>
                <w:noProof/>
                <w:color w:val="000000" w:themeColor="text1"/>
              </w:rPr>
              <w:t>ue et les services publics permet une évaluation équitable et transparente des postes conformément aux critères établis, en assurant l’harmonisation des grades et des primes dans la fonction publique et dans la fonction publique, la fixation de coefficient</w:t>
            </w:r>
            <w:r>
              <w:rPr>
                <w:rFonts w:ascii="Times New Roman" w:eastAsia="Calibri" w:hAnsi="Times New Roman" w:cs="Times New Roman"/>
                <w:noProof/>
                <w:color w:val="000000" w:themeColor="text1"/>
              </w:rPr>
              <w:t>s au niveau professionnel en consultation avec les partenaires sociaux et la mise en place d’un système de récompense fondé sur les performances (performance professionnelle). Un nouveau système de rémunération est créé et les nouvelles lois sur les salair</w:t>
            </w:r>
            <w:r>
              <w:rPr>
                <w:rFonts w:ascii="Times New Roman" w:eastAsia="Calibri" w:hAnsi="Times New Roman" w:cs="Times New Roman"/>
                <w:noProof/>
                <w:color w:val="000000" w:themeColor="text1"/>
              </w:rPr>
              <w:t>es de la fonction publique et les salaires des services publics comportent des dispositions visant à évaluer les postes de manière équitable et transparente conformément aux critères établis et à assurer l’harmonisation des salaires dans la fonction publiq</w:t>
            </w:r>
            <w:r>
              <w:rPr>
                <w:rFonts w:ascii="Times New Roman" w:eastAsia="Calibri" w:hAnsi="Times New Roman" w:cs="Times New Roman"/>
                <w:noProof/>
                <w:color w:val="000000" w:themeColor="text1"/>
              </w:rPr>
              <w:t>ue et les services publics, ainsi qu’à établir un système de rémunération fondé sur les performances professionnelles.</w:t>
            </w:r>
            <w:r>
              <w:rPr>
                <w:rFonts w:ascii="Times New Roman" w:hAnsi="Times New Roman" w:cs="Times New Roman"/>
                <w:noProof/>
              </w:rPr>
              <w:br/>
            </w:r>
            <w:r>
              <w:rPr>
                <w:rFonts w:ascii="Times New Roman" w:eastAsia="Calibri" w:hAnsi="Times New Roman" w:cs="Times New Roman"/>
                <w:noProof/>
                <w:color w:val="000000" w:themeColor="text1"/>
              </w:rPr>
              <w:t>Le cadre législatif (Loi sur la fonction publique et règlements administratifs) pour la mobilité verticale et horizontale est modifié. Il</w:t>
            </w:r>
            <w:r>
              <w:rPr>
                <w:rFonts w:ascii="Times New Roman" w:eastAsia="Calibri" w:hAnsi="Times New Roman" w:cs="Times New Roman"/>
                <w:noProof/>
                <w:color w:val="000000" w:themeColor="text1"/>
              </w:rPr>
              <w:t xml:space="preserve"> s’agit notamment d’un plan de carrière qui prévoit l’accès possible à des postes d’encadrement intermédiaire et supérieur et renforce le lien entre la progression de carrière et l’évaluation des performances. En outre, la fixation des conditions préalable</w:t>
            </w:r>
            <w:r>
              <w:rPr>
                <w:rFonts w:ascii="Times New Roman" w:eastAsia="Calibri" w:hAnsi="Times New Roman" w:cs="Times New Roman"/>
                <w:noProof/>
                <w:color w:val="000000" w:themeColor="text1"/>
              </w:rPr>
              <w:t>s à un marché du travail efficace dans l’administration publique, y compris a) la création d’un système de publicité transparent et uniforme pour tous les postes vacants dans l’administration publique, b) la possibilité de postuler à tout emploi disponible</w:t>
            </w:r>
            <w:r>
              <w:rPr>
                <w:rFonts w:ascii="Times New Roman" w:eastAsia="Calibri" w:hAnsi="Times New Roman" w:cs="Times New Roman"/>
                <w:noProof/>
                <w:color w:val="000000" w:themeColor="text1"/>
              </w:rPr>
              <w:t xml:space="preserve"> n’importe où dans l’administration publique. </w:t>
            </w:r>
          </w:p>
        </w:tc>
      </w:tr>
      <w:tr w:rsidR="00553430" w14:paraId="5035F872" w14:textId="77777777" w:rsidTr="0019760D">
        <w:trPr>
          <w:trHeight w:val="28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B62AA3D" w14:textId="77777777" w:rsidR="00553430" w:rsidRDefault="00212577">
            <w:pPr>
              <w:pStyle w:val="P68B1DB1-Normal66"/>
              <w:spacing w:after="200" w:line="276" w:lineRule="auto"/>
              <w:jc w:val="center"/>
              <w:rPr>
                <w:noProof/>
              </w:rPr>
            </w:pPr>
            <w:r>
              <w:rPr>
                <w:noProof/>
              </w:rPr>
              <w:t>167</w:t>
            </w:r>
          </w:p>
        </w:tc>
        <w:tc>
          <w:tcPr>
            <w:tcW w:w="1098" w:type="dxa"/>
            <w:tcBorders>
              <w:top w:val="single" w:sz="4" w:space="0" w:color="auto"/>
              <w:left w:val="nil"/>
              <w:bottom w:val="single" w:sz="4" w:space="0" w:color="auto"/>
              <w:right w:val="single" w:sz="4" w:space="0" w:color="auto"/>
            </w:tcBorders>
            <w:shd w:val="clear" w:color="auto" w:fill="C6EFCE"/>
            <w:noWrap/>
          </w:tcPr>
          <w:p w14:paraId="6329A46C" w14:textId="77777777" w:rsidR="00553430" w:rsidRDefault="00212577">
            <w:pPr>
              <w:pStyle w:val="P68B1DB1-Normal66"/>
              <w:spacing w:after="200" w:line="276" w:lineRule="auto"/>
              <w:jc w:val="center"/>
              <w:rPr>
                <w:noProof/>
              </w:rPr>
            </w:pPr>
            <w:r>
              <w:rPr>
                <w:noProof/>
              </w:rPr>
              <w:t>C2.2. R2-I1</w:t>
            </w:r>
          </w:p>
        </w:tc>
        <w:tc>
          <w:tcPr>
            <w:tcW w:w="1046" w:type="dxa"/>
            <w:tcBorders>
              <w:top w:val="single" w:sz="4" w:space="0" w:color="auto"/>
              <w:left w:val="nil"/>
              <w:bottom w:val="single" w:sz="4" w:space="0" w:color="auto"/>
              <w:right w:val="single" w:sz="4" w:space="0" w:color="auto"/>
            </w:tcBorders>
            <w:shd w:val="clear" w:color="auto" w:fill="C6EFCE"/>
            <w:noWrap/>
          </w:tcPr>
          <w:p w14:paraId="4F95C143" w14:textId="77777777" w:rsidR="00553430" w:rsidRDefault="00212577">
            <w:pPr>
              <w:pStyle w:val="P68B1DB1-Normal66"/>
              <w:spacing w:after="200" w:line="276" w:lineRule="auto"/>
              <w:jc w:val="center"/>
              <w:rPr>
                <w:noProof/>
              </w:rPr>
            </w:pPr>
            <w:r>
              <w:rPr>
                <w:noProof/>
              </w:rPr>
              <w:t>T</w:t>
            </w:r>
          </w:p>
        </w:tc>
        <w:tc>
          <w:tcPr>
            <w:tcW w:w="1400" w:type="dxa"/>
            <w:tcBorders>
              <w:top w:val="single" w:sz="4" w:space="0" w:color="auto"/>
              <w:left w:val="nil"/>
              <w:bottom w:val="single" w:sz="4" w:space="0" w:color="auto"/>
              <w:right w:val="single" w:sz="4" w:space="0" w:color="auto"/>
            </w:tcBorders>
            <w:shd w:val="clear" w:color="auto" w:fill="C6EFCE"/>
            <w:noWrap/>
          </w:tcPr>
          <w:p w14:paraId="3F24151C" w14:textId="4434152C" w:rsidR="00553430" w:rsidRDefault="00212577">
            <w:pPr>
              <w:pStyle w:val="P68B1DB1-Normal66"/>
              <w:spacing w:after="200" w:line="276" w:lineRule="auto"/>
              <w:rPr>
                <w:noProof/>
              </w:rPr>
            </w:pPr>
            <w:r>
              <w:rPr>
                <w:noProof/>
              </w:rPr>
              <w:t xml:space="preserve">Le système de gestion des ressources humaines, le registre des fonctionnaires et le système salarial centralisé (RegZap – Cop), est complété par neuf nouvelles fonctionnalités, qui </w:t>
            </w:r>
            <w:r>
              <w:rPr>
                <w:noProof/>
              </w:rPr>
              <w:t>numérisent tous les processus connexes afin de simplifier et d’accélérer la modification du système salarial.</w:t>
            </w:r>
          </w:p>
        </w:tc>
        <w:tc>
          <w:tcPr>
            <w:tcW w:w="2259" w:type="dxa"/>
            <w:tcBorders>
              <w:top w:val="single" w:sz="4" w:space="0" w:color="auto"/>
              <w:left w:val="nil"/>
              <w:bottom w:val="single" w:sz="4" w:space="0" w:color="auto"/>
              <w:right w:val="single" w:sz="4" w:space="0" w:color="auto"/>
            </w:tcBorders>
            <w:shd w:val="clear" w:color="auto" w:fill="C6EFCE"/>
            <w:noWrap/>
          </w:tcPr>
          <w:p w14:paraId="664AB0FB" w14:textId="77777777" w:rsidR="00553430" w:rsidRDefault="00212577">
            <w:pPr>
              <w:pStyle w:val="P68B1DB1-Normal66"/>
              <w:spacing w:after="200" w:line="276" w:lineRule="auto"/>
              <w:rPr>
                <w:noProof/>
              </w:rPr>
            </w:pPr>
            <w:r>
              <w:rPr>
                <w:noProof/>
              </w:rPr>
              <w:t xml:space="preserve"> </w:t>
            </w:r>
          </w:p>
        </w:tc>
        <w:tc>
          <w:tcPr>
            <w:tcW w:w="1138" w:type="dxa"/>
            <w:tcBorders>
              <w:top w:val="single" w:sz="4" w:space="0" w:color="auto"/>
              <w:left w:val="nil"/>
              <w:bottom w:val="single" w:sz="4" w:space="0" w:color="auto"/>
              <w:right w:val="single" w:sz="4" w:space="0" w:color="auto"/>
            </w:tcBorders>
            <w:shd w:val="clear" w:color="auto" w:fill="C6EFCE"/>
            <w:noWrap/>
          </w:tcPr>
          <w:p w14:paraId="5A7476E8" w14:textId="77777777" w:rsidR="00553430" w:rsidRDefault="00212577">
            <w:pPr>
              <w:pStyle w:val="P68B1DB1-Normal66"/>
              <w:spacing w:after="200" w:line="276" w:lineRule="auto"/>
              <w:jc w:val="center"/>
              <w:rPr>
                <w:noProof/>
              </w:rPr>
            </w:pPr>
            <w:r>
              <w:rPr>
                <w:noProof/>
              </w:rPr>
              <w:t>Numéro</w:t>
            </w:r>
          </w:p>
        </w:tc>
        <w:tc>
          <w:tcPr>
            <w:tcW w:w="1083" w:type="dxa"/>
            <w:tcBorders>
              <w:top w:val="single" w:sz="4" w:space="0" w:color="auto"/>
              <w:left w:val="nil"/>
              <w:bottom w:val="single" w:sz="4" w:space="0" w:color="auto"/>
              <w:right w:val="single" w:sz="4" w:space="0" w:color="auto"/>
            </w:tcBorders>
            <w:shd w:val="clear" w:color="auto" w:fill="C6EFCE"/>
            <w:noWrap/>
          </w:tcPr>
          <w:p w14:paraId="4102876F" w14:textId="77777777" w:rsidR="00553430" w:rsidRDefault="00212577">
            <w:pPr>
              <w:pStyle w:val="P68B1DB1-Normal66"/>
              <w:spacing w:after="200" w:line="276" w:lineRule="auto"/>
              <w:jc w:val="center"/>
              <w:rPr>
                <w:noProof/>
              </w:rPr>
            </w:pPr>
            <w:r>
              <w:rPr>
                <w:noProof/>
              </w:rPr>
              <w:t>0</w:t>
            </w:r>
          </w:p>
        </w:tc>
        <w:tc>
          <w:tcPr>
            <w:tcW w:w="993" w:type="dxa"/>
            <w:tcBorders>
              <w:top w:val="single" w:sz="4" w:space="0" w:color="auto"/>
              <w:left w:val="nil"/>
              <w:bottom w:val="single" w:sz="4" w:space="0" w:color="auto"/>
              <w:right w:val="single" w:sz="4" w:space="0" w:color="auto"/>
            </w:tcBorders>
            <w:shd w:val="clear" w:color="auto" w:fill="C6EFCE"/>
            <w:noWrap/>
          </w:tcPr>
          <w:p w14:paraId="19128F68" w14:textId="77777777" w:rsidR="00553430" w:rsidRDefault="00212577">
            <w:pPr>
              <w:pStyle w:val="P68B1DB1-Normal66"/>
              <w:spacing w:after="200" w:line="276" w:lineRule="auto"/>
              <w:jc w:val="center"/>
              <w:rPr>
                <w:noProof/>
              </w:rPr>
            </w:pPr>
            <w:r>
              <w:rPr>
                <w:noProof/>
              </w:rPr>
              <w:t>9</w:t>
            </w:r>
          </w:p>
        </w:tc>
        <w:tc>
          <w:tcPr>
            <w:tcW w:w="992" w:type="dxa"/>
            <w:tcBorders>
              <w:top w:val="single" w:sz="4" w:space="0" w:color="auto"/>
              <w:left w:val="nil"/>
              <w:bottom w:val="single" w:sz="4" w:space="0" w:color="auto"/>
              <w:right w:val="single" w:sz="4" w:space="0" w:color="auto"/>
            </w:tcBorders>
            <w:shd w:val="clear" w:color="auto" w:fill="C6EFCE"/>
            <w:noWrap/>
          </w:tcPr>
          <w:p w14:paraId="781459B3" w14:textId="77777777" w:rsidR="00553430" w:rsidRDefault="00212577">
            <w:pPr>
              <w:pStyle w:val="P68B1DB1-Normal66"/>
              <w:spacing w:after="200" w:line="276" w:lineRule="auto"/>
              <w:jc w:val="center"/>
              <w:rPr>
                <w:noProof/>
              </w:rPr>
            </w:pPr>
            <w:r>
              <w:rPr>
                <w:noProof/>
              </w:rPr>
              <w:t>T2</w:t>
            </w:r>
          </w:p>
        </w:tc>
        <w:tc>
          <w:tcPr>
            <w:tcW w:w="992" w:type="dxa"/>
            <w:tcBorders>
              <w:top w:val="single" w:sz="4" w:space="0" w:color="auto"/>
              <w:left w:val="nil"/>
              <w:bottom w:val="single" w:sz="4" w:space="0" w:color="auto"/>
              <w:right w:val="single" w:sz="4" w:space="0" w:color="auto"/>
            </w:tcBorders>
            <w:shd w:val="clear" w:color="auto" w:fill="C6EFCE"/>
            <w:noWrap/>
          </w:tcPr>
          <w:p w14:paraId="3FC22ED3" w14:textId="77777777" w:rsidR="00553430" w:rsidRDefault="00212577">
            <w:pPr>
              <w:pStyle w:val="P68B1DB1-Normal66"/>
              <w:spacing w:after="200" w:line="276" w:lineRule="auto"/>
              <w:jc w:val="center"/>
              <w:rPr>
                <w:noProof/>
              </w:rPr>
            </w:pPr>
            <w:r>
              <w:rPr>
                <w:noProof/>
              </w:rPr>
              <w:t>2024</w:t>
            </w:r>
          </w:p>
        </w:tc>
        <w:tc>
          <w:tcPr>
            <w:tcW w:w="3458" w:type="dxa"/>
            <w:tcBorders>
              <w:top w:val="single" w:sz="4" w:space="0" w:color="auto"/>
              <w:left w:val="nil"/>
              <w:bottom w:val="single" w:sz="4" w:space="0" w:color="auto"/>
              <w:right w:val="single" w:sz="4" w:space="0" w:color="auto"/>
            </w:tcBorders>
            <w:shd w:val="clear" w:color="auto" w:fill="C6EFCE"/>
            <w:noWrap/>
          </w:tcPr>
          <w:p w14:paraId="178B25CD" w14:textId="77777777" w:rsidR="00553430" w:rsidRDefault="00212577">
            <w:pPr>
              <w:pStyle w:val="P68B1DB1-Normal66"/>
              <w:spacing w:after="200" w:line="276" w:lineRule="auto"/>
              <w:rPr>
                <w:noProof/>
              </w:rPr>
            </w:pPr>
            <w:r>
              <w:rPr>
                <w:noProof/>
              </w:rPr>
              <w:t>Neuf nouvelles fonctionnalités seront développées et mises en œuvre dans la REGZAP-COP (à savoir: rédaction d’actes sur les d</w:t>
            </w:r>
            <w:r>
              <w:rPr>
                <w:noProof/>
              </w:rPr>
              <w:t>roits et obligations du personnel, l’évaluation, les fiches de travail, la planification et l’évolution des carrières, le marché intérieur du travail et l’approche personnalisée du système par les fonctionnaires, les missions) afin de soutenir la mise en œ</w:t>
            </w:r>
            <w:r>
              <w:rPr>
                <w:noProof/>
              </w:rPr>
              <w:t>uvre des modifications proposées du système de rémunération.</w:t>
            </w:r>
          </w:p>
        </w:tc>
      </w:tr>
      <w:tr w:rsidR="00553430" w14:paraId="61E79B9B" w14:textId="77777777" w:rsidTr="0019760D">
        <w:trPr>
          <w:trHeight w:val="28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189187D" w14:textId="77777777" w:rsidR="00553430" w:rsidRDefault="00212577">
            <w:pPr>
              <w:pStyle w:val="P68B1DB1-Normal66"/>
              <w:spacing w:after="200" w:line="276" w:lineRule="auto"/>
              <w:jc w:val="center"/>
              <w:rPr>
                <w:noProof/>
              </w:rPr>
            </w:pPr>
            <w:r>
              <w:rPr>
                <w:noProof/>
              </w:rPr>
              <w:t>168</w:t>
            </w:r>
          </w:p>
        </w:tc>
        <w:tc>
          <w:tcPr>
            <w:tcW w:w="1098" w:type="dxa"/>
            <w:tcBorders>
              <w:top w:val="single" w:sz="4" w:space="0" w:color="auto"/>
              <w:left w:val="nil"/>
              <w:bottom w:val="single" w:sz="4" w:space="0" w:color="auto"/>
              <w:right w:val="single" w:sz="4" w:space="0" w:color="auto"/>
            </w:tcBorders>
            <w:shd w:val="clear" w:color="auto" w:fill="C6EFCE"/>
            <w:noWrap/>
          </w:tcPr>
          <w:p w14:paraId="437D3C8A" w14:textId="77777777" w:rsidR="00553430" w:rsidRDefault="00212577">
            <w:pPr>
              <w:pStyle w:val="P68B1DB1-Normal66"/>
              <w:spacing w:after="200" w:line="276" w:lineRule="auto"/>
              <w:jc w:val="center"/>
              <w:rPr>
                <w:noProof/>
              </w:rPr>
            </w:pPr>
            <w:r>
              <w:rPr>
                <w:noProof/>
              </w:rPr>
              <w:t>C2.2. R2-I2</w:t>
            </w:r>
          </w:p>
        </w:tc>
        <w:tc>
          <w:tcPr>
            <w:tcW w:w="1046" w:type="dxa"/>
            <w:tcBorders>
              <w:top w:val="single" w:sz="4" w:space="0" w:color="auto"/>
              <w:left w:val="nil"/>
              <w:bottom w:val="single" w:sz="4" w:space="0" w:color="auto"/>
              <w:right w:val="single" w:sz="4" w:space="0" w:color="auto"/>
            </w:tcBorders>
            <w:shd w:val="clear" w:color="auto" w:fill="C6EFCE"/>
            <w:noWrap/>
          </w:tcPr>
          <w:p w14:paraId="36885EC3" w14:textId="77777777" w:rsidR="00553430" w:rsidRDefault="00212577">
            <w:pPr>
              <w:pStyle w:val="P68B1DB1-Normal66"/>
              <w:spacing w:after="200" w:line="276" w:lineRule="auto"/>
              <w:jc w:val="center"/>
              <w:rPr>
                <w:noProof/>
              </w:rPr>
            </w:pPr>
            <w:r>
              <w:rPr>
                <w:noProof/>
              </w:rPr>
              <w:t>T</w:t>
            </w:r>
          </w:p>
        </w:tc>
        <w:tc>
          <w:tcPr>
            <w:tcW w:w="1400" w:type="dxa"/>
            <w:tcBorders>
              <w:top w:val="single" w:sz="4" w:space="0" w:color="auto"/>
              <w:left w:val="nil"/>
              <w:bottom w:val="single" w:sz="4" w:space="0" w:color="auto"/>
              <w:right w:val="single" w:sz="4" w:space="0" w:color="auto"/>
            </w:tcBorders>
            <w:shd w:val="clear" w:color="auto" w:fill="C6EFCE"/>
            <w:noWrap/>
          </w:tcPr>
          <w:p w14:paraId="28A83682" w14:textId="77777777" w:rsidR="00553430" w:rsidRDefault="00212577">
            <w:pPr>
              <w:pStyle w:val="P68B1DB1-Normal66"/>
              <w:spacing w:after="200" w:line="276" w:lineRule="auto"/>
              <w:rPr>
                <w:noProof/>
              </w:rPr>
            </w:pPr>
            <w:r>
              <w:rPr>
                <w:noProof/>
              </w:rPr>
              <w:t xml:space="preserve">Au moins 20 % des fonctionnaires travaillent dans le modèle de travail intelligent </w:t>
            </w:r>
          </w:p>
        </w:tc>
        <w:tc>
          <w:tcPr>
            <w:tcW w:w="2259" w:type="dxa"/>
            <w:tcBorders>
              <w:top w:val="single" w:sz="4" w:space="0" w:color="auto"/>
              <w:left w:val="nil"/>
              <w:bottom w:val="single" w:sz="4" w:space="0" w:color="auto"/>
              <w:right w:val="single" w:sz="4" w:space="0" w:color="auto"/>
            </w:tcBorders>
            <w:shd w:val="clear" w:color="auto" w:fill="C6EFCE"/>
            <w:noWrap/>
          </w:tcPr>
          <w:p w14:paraId="583FE0A2" w14:textId="77777777" w:rsidR="00553430" w:rsidRDefault="00212577">
            <w:pPr>
              <w:pStyle w:val="P68B1DB1-Normal66"/>
              <w:spacing w:after="200" w:line="276" w:lineRule="auto"/>
              <w:rPr>
                <w:noProof/>
              </w:rPr>
            </w:pPr>
            <w:r>
              <w:rPr>
                <w:noProof/>
              </w:rPr>
              <w:t xml:space="preserve"> </w:t>
            </w:r>
          </w:p>
        </w:tc>
        <w:tc>
          <w:tcPr>
            <w:tcW w:w="1138" w:type="dxa"/>
            <w:tcBorders>
              <w:top w:val="single" w:sz="4" w:space="0" w:color="auto"/>
              <w:left w:val="nil"/>
              <w:bottom w:val="single" w:sz="4" w:space="0" w:color="auto"/>
              <w:right w:val="single" w:sz="4" w:space="0" w:color="auto"/>
            </w:tcBorders>
            <w:shd w:val="clear" w:color="auto" w:fill="C6EFCE"/>
            <w:noWrap/>
          </w:tcPr>
          <w:p w14:paraId="259984AA" w14:textId="77777777" w:rsidR="00553430" w:rsidRDefault="00212577">
            <w:pPr>
              <w:pStyle w:val="P68B1DB1-Normal66"/>
              <w:spacing w:after="200" w:line="276" w:lineRule="auto"/>
              <w:jc w:val="center"/>
              <w:rPr>
                <w:noProof/>
              </w:rPr>
            </w:pPr>
            <w:r>
              <w:rPr>
                <w:noProof/>
              </w:rPr>
              <w:t>% (pourcentage)</w:t>
            </w:r>
          </w:p>
        </w:tc>
        <w:tc>
          <w:tcPr>
            <w:tcW w:w="1083" w:type="dxa"/>
            <w:tcBorders>
              <w:top w:val="single" w:sz="4" w:space="0" w:color="auto"/>
              <w:left w:val="nil"/>
              <w:bottom w:val="single" w:sz="4" w:space="0" w:color="auto"/>
              <w:right w:val="single" w:sz="4" w:space="0" w:color="auto"/>
            </w:tcBorders>
            <w:shd w:val="clear" w:color="auto" w:fill="C6EFCE"/>
            <w:noWrap/>
          </w:tcPr>
          <w:p w14:paraId="0D83311F" w14:textId="77777777" w:rsidR="00553430" w:rsidRDefault="00212577">
            <w:pPr>
              <w:pStyle w:val="P68B1DB1-Normal66"/>
              <w:spacing w:after="200" w:line="276" w:lineRule="auto"/>
              <w:jc w:val="center"/>
              <w:rPr>
                <w:noProof/>
              </w:rPr>
            </w:pPr>
            <w:r>
              <w:rPr>
                <w:noProof/>
              </w:rPr>
              <w:t>0</w:t>
            </w:r>
          </w:p>
        </w:tc>
        <w:tc>
          <w:tcPr>
            <w:tcW w:w="993" w:type="dxa"/>
            <w:tcBorders>
              <w:top w:val="single" w:sz="4" w:space="0" w:color="auto"/>
              <w:left w:val="nil"/>
              <w:bottom w:val="single" w:sz="4" w:space="0" w:color="auto"/>
              <w:right w:val="single" w:sz="4" w:space="0" w:color="auto"/>
            </w:tcBorders>
            <w:shd w:val="clear" w:color="auto" w:fill="C6EFCE"/>
            <w:noWrap/>
          </w:tcPr>
          <w:p w14:paraId="7D00310C" w14:textId="77777777" w:rsidR="00553430" w:rsidRDefault="00212577">
            <w:pPr>
              <w:pStyle w:val="P68B1DB1-Normal66"/>
              <w:spacing w:after="200" w:line="276" w:lineRule="auto"/>
              <w:jc w:val="center"/>
              <w:rPr>
                <w:noProof/>
              </w:rPr>
            </w:pPr>
            <w:r>
              <w:rPr>
                <w:noProof/>
              </w:rPr>
              <w:t>20</w:t>
            </w:r>
          </w:p>
        </w:tc>
        <w:tc>
          <w:tcPr>
            <w:tcW w:w="992" w:type="dxa"/>
            <w:tcBorders>
              <w:top w:val="single" w:sz="4" w:space="0" w:color="auto"/>
              <w:left w:val="nil"/>
              <w:bottom w:val="single" w:sz="4" w:space="0" w:color="auto"/>
              <w:right w:val="single" w:sz="4" w:space="0" w:color="auto"/>
            </w:tcBorders>
            <w:shd w:val="clear" w:color="auto" w:fill="C6EFCE"/>
            <w:noWrap/>
          </w:tcPr>
          <w:p w14:paraId="0B66A1CF" w14:textId="77777777" w:rsidR="00553430" w:rsidRDefault="00212577">
            <w:pPr>
              <w:pStyle w:val="P68B1DB1-Normal66"/>
              <w:spacing w:after="200" w:line="276" w:lineRule="auto"/>
              <w:jc w:val="center"/>
              <w:rPr>
                <w:noProof/>
              </w:rPr>
            </w:pPr>
            <w:r>
              <w:rPr>
                <w:noProof/>
              </w:rPr>
              <w:t>T3</w:t>
            </w:r>
          </w:p>
        </w:tc>
        <w:tc>
          <w:tcPr>
            <w:tcW w:w="992" w:type="dxa"/>
            <w:tcBorders>
              <w:top w:val="single" w:sz="4" w:space="0" w:color="auto"/>
              <w:left w:val="nil"/>
              <w:bottom w:val="single" w:sz="4" w:space="0" w:color="auto"/>
              <w:right w:val="single" w:sz="4" w:space="0" w:color="auto"/>
            </w:tcBorders>
            <w:shd w:val="clear" w:color="auto" w:fill="C6EFCE"/>
            <w:noWrap/>
          </w:tcPr>
          <w:p w14:paraId="7B5A2CD5" w14:textId="77777777" w:rsidR="00553430" w:rsidRDefault="00212577">
            <w:pPr>
              <w:pStyle w:val="P68B1DB1-Normal66"/>
              <w:spacing w:after="200" w:line="276" w:lineRule="auto"/>
              <w:jc w:val="center"/>
              <w:rPr>
                <w:noProof/>
              </w:rPr>
            </w:pPr>
            <w:r>
              <w:rPr>
                <w:noProof/>
              </w:rPr>
              <w:t>2023</w:t>
            </w:r>
          </w:p>
        </w:tc>
        <w:tc>
          <w:tcPr>
            <w:tcW w:w="3458" w:type="dxa"/>
            <w:tcBorders>
              <w:top w:val="single" w:sz="4" w:space="0" w:color="auto"/>
              <w:left w:val="nil"/>
              <w:bottom w:val="single" w:sz="4" w:space="0" w:color="auto"/>
              <w:right w:val="single" w:sz="4" w:space="0" w:color="auto"/>
            </w:tcBorders>
            <w:shd w:val="clear" w:color="auto" w:fill="C6EFCE"/>
            <w:noWrap/>
          </w:tcPr>
          <w:p w14:paraId="4D76CEC8" w14:textId="01FD1C95" w:rsidR="00553430" w:rsidRDefault="00212577">
            <w:pPr>
              <w:pStyle w:val="P68B1DB1-Normal66"/>
              <w:spacing w:after="200" w:line="276" w:lineRule="auto"/>
              <w:rPr>
                <w:noProof/>
              </w:rPr>
            </w:pPr>
            <w:r>
              <w:rPr>
                <w:noProof/>
              </w:rPr>
              <w:t xml:space="preserve">20 % des fonctionnaires travaillent déjà dans le modèle du travail intelligent, ce qui leur permet de travailler à distance afin de fournir un service public continu et de qualité accessible à tous et d’accroître la motivation des fonctionnaires. </w:t>
            </w:r>
          </w:p>
        </w:tc>
      </w:tr>
      <w:tr w:rsidR="00553430" w14:paraId="47BEF391" w14:textId="77777777" w:rsidTr="0019760D">
        <w:trPr>
          <w:trHeight w:val="28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D49780E" w14:textId="77777777" w:rsidR="00553430" w:rsidRDefault="00212577">
            <w:pPr>
              <w:pStyle w:val="P68B1DB1-Normal66"/>
              <w:spacing w:after="200" w:line="276" w:lineRule="auto"/>
              <w:jc w:val="center"/>
              <w:rPr>
                <w:noProof/>
              </w:rPr>
            </w:pPr>
            <w:r>
              <w:rPr>
                <w:noProof/>
              </w:rPr>
              <w:t>169</w:t>
            </w:r>
          </w:p>
        </w:tc>
        <w:tc>
          <w:tcPr>
            <w:tcW w:w="1098" w:type="dxa"/>
            <w:tcBorders>
              <w:top w:val="single" w:sz="4" w:space="0" w:color="auto"/>
              <w:left w:val="nil"/>
              <w:bottom w:val="single" w:sz="4" w:space="0" w:color="auto"/>
              <w:right w:val="single" w:sz="4" w:space="0" w:color="auto"/>
            </w:tcBorders>
            <w:shd w:val="clear" w:color="auto" w:fill="C6EFCE"/>
            <w:noWrap/>
          </w:tcPr>
          <w:p w14:paraId="568F7665" w14:textId="77777777" w:rsidR="00553430" w:rsidRDefault="00212577">
            <w:pPr>
              <w:pStyle w:val="P68B1DB1-Normal66"/>
              <w:spacing w:after="200" w:line="276" w:lineRule="auto"/>
              <w:jc w:val="center"/>
              <w:rPr>
                <w:noProof/>
              </w:rPr>
            </w:pPr>
            <w:r>
              <w:rPr>
                <w:noProof/>
              </w:rPr>
              <w:t>C2.2. R2-I2</w:t>
            </w:r>
          </w:p>
        </w:tc>
        <w:tc>
          <w:tcPr>
            <w:tcW w:w="1046" w:type="dxa"/>
            <w:tcBorders>
              <w:top w:val="single" w:sz="4" w:space="0" w:color="auto"/>
              <w:left w:val="nil"/>
              <w:bottom w:val="single" w:sz="4" w:space="0" w:color="auto"/>
              <w:right w:val="single" w:sz="4" w:space="0" w:color="auto"/>
            </w:tcBorders>
            <w:shd w:val="clear" w:color="auto" w:fill="C6EFCE"/>
            <w:noWrap/>
          </w:tcPr>
          <w:p w14:paraId="58BDDB34" w14:textId="77777777" w:rsidR="00553430" w:rsidRDefault="00212577">
            <w:pPr>
              <w:pStyle w:val="P68B1DB1-Normal66"/>
              <w:spacing w:after="200" w:line="276" w:lineRule="auto"/>
              <w:jc w:val="center"/>
              <w:rPr>
                <w:noProof/>
              </w:rPr>
            </w:pPr>
            <w:r>
              <w:rPr>
                <w:noProof/>
              </w:rPr>
              <w:t>T</w:t>
            </w:r>
          </w:p>
        </w:tc>
        <w:tc>
          <w:tcPr>
            <w:tcW w:w="1400" w:type="dxa"/>
            <w:tcBorders>
              <w:top w:val="single" w:sz="4" w:space="0" w:color="auto"/>
              <w:left w:val="nil"/>
              <w:bottom w:val="single" w:sz="4" w:space="0" w:color="auto"/>
              <w:right w:val="single" w:sz="4" w:space="0" w:color="auto"/>
            </w:tcBorders>
            <w:shd w:val="clear" w:color="auto" w:fill="C6EFCE"/>
            <w:noWrap/>
          </w:tcPr>
          <w:p w14:paraId="068F43EB" w14:textId="7CEC805B" w:rsidR="00553430" w:rsidRDefault="00212577">
            <w:pPr>
              <w:pStyle w:val="P68B1DB1-Normal66"/>
              <w:spacing w:after="200" w:line="276" w:lineRule="auto"/>
              <w:rPr>
                <w:noProof/>
              </w:rPr>
            </w:pPr>
            <w:r>
              <w:rPr>
                <w:noProof/>
              </w:rPr>
              <w:t xml:space="preserve">Au moins 60 % des fonctionnaires formés à la méthode de travail intelligente </w:t>
            </w:r>
          </w:p>
        </w:tc>
        <w:tc>
          <w:tcPr>
            <w:tcW w:w="2259" w:type="dxa"/>
            <w:tcBorders>
              <w:top w:val="single" w:sz="4" w:space="0" w:color="auto"/>
              <w:left w:val="nil"/>
              <w:bottom w:val="single" w:sz="4" w:space="0" w:color="auto"/>
              <w:right w:val="single" w:sz="4" w:space="0" w:color="auto"/>
            </w:tcBorders>
            <w:shd w:val="clear" w:color="auto" w:fill="C6EFCE"/>
            <w:noWrap/>
          </w:tcPr>
          <w:p w14:paraId="412D42AC" w14:textId="77777777" w:rsidR="00553430" w:rsidRDefault="00212577">
            <w:pPr>
              <w:pStyle w:val="P68B1DB1-Normal66"/>
              <w:spacing w:after="200" w:line="276" w:lineRule="auto"/>
              <w:rPr>
                <w:noProof/>
              </w:rPr>
            </w:pPr>
            <w:r>
              <w:rPr>
                <w:noProof/>
              </w:rPr>
              <w:t xml:space="preserve"> </w:t>
            </w:r>
          </w:p>
        </w:tc>
        <w:tc>
          <w:tcPr>
            <w:tcW w:w="1138" w:type="dxa"/>
            <w:tcBorders>
              <w:top w:val="single" w:sz="4" w:space="0" w:color="auto"/>
              <w:left w:val="nil"/>
              <w:bottom w:val="single" w:sz="4" w:space="0" w:color="auto"/>
              <w:right w:val="single" w:sz="4" w:space="0" w:color="auto"/>
            </w:tcBorders>
            <w:shd w:val="clear" w:color="auto" w:fill="C6EFCE"/>
            <w:noWrap/>
          </w:tcPr>
          <w:p w14:paraId="00639216" w14:textId="77777777" w:rsidR="00553430" w:rsidRDefault="00212577">
            <w:pPr>
              <w:pStyle w:val="P68B1DB1-Normal66"/>
              <w:spacing w:after="200" w:line="276" w:lineRule="auto"/>
              <w:jc w:val="center"/>
              <w:rPr>
                <w:noProof/>
              </w:rPr>
            </w:pPr>
            <w:r>
              <w:rPr>
                <w:noProof/>
              </w:rPr>
              <w:t>% (pourcentage)</w:t>
            </w:r>
          </w:p>
        </w:tc>
        <w:tc>
          <w:tcPr>
            <w:tcW w:w="1083" w:type="dxa"/>
            <w:tcBorders>
              <w:top w:val="single" w:sz="4" w:space="0" w:color="auto"/>
              <w:left w:val="nil"/>
              <w:bottom w:val="single" w:sz="4" w:space="0" w:color="auto"/>
              <w:right w:val="single" w:sz="4" w:space="0" w:color="auto"/>
            </w:tcBorders>
            <w:shd w:val="clear" w:color="auto" w:fill="C6EFCE"/>
            <w:noWrap/>
          </w:tcPr>
          <w:p w14:paraId="06E8020E" w14:textId="77777777" w:rsidR="00553430" w:rsidRDefault="00212577">
            <w:pPr>
              <w:pStyle w:val="P68B1DB1-Normal66"/>
              <w:spacing w:after="200" w:line="276" w:lineRule="auto"/>
              <w:jc w:val="center"/>
              <w:rPr>
                <w:noProof/>
              </w:rPr>
            </w:pPr>
            <w:r>
              <w:rPr>
                <w:noProof/>
              </w:rPr>
              <w:t>0</w:t>
            </w:r>
          </w:p>
        </w:tc>
        <w:tc>
          <w:tcPr>
            <w:tcW w:w="993" w:type="dxa"/>
            <w:tcBorders>
              <w:top w:val="single" w:sz="4" w:space="0" w:color="auto"/>
              <w:left w:val="nil"/>
              <w:bottom w:val="single" w:sz="4" w:space="0" w:color="auto"/>
              <w:right w:val="single" w:sz="4" w:space="0" w:color="auto"/>
            </w:tcBorders>
            <w:shd w:val="clear" w:color="auto" w:fill="C6EFCE"/>
            <w:noWrap/>
          </w:tcPr>
          <w:p w14:paraId="0DA37F13" w14:textId="77777777" w:rsidR="00553430" w:rsidRDefault="00212577">
            <w:pPr>
              <w:pStyle w:val="P68B1DB1-Normal66"/>
              <w:spacing w:after="200" w:line="276" w:lineRule="auto"/>
              <w:jc w:val="center"/>
              <w:rPr>
                <w:noProof/>
              </w:rPr>
            </w:pPr>
            <w:r>
              <w:rPr>
                <w:noProof/>
              </w:rPr>
              <w:t>60</w:t>
            </w:r>
          </w:p>
        </w:tc>
        <w:tc>
          <w:tcPr>
            <w:tcW w:w="992" w:type="dxa"/>
            <w:tcBorders>
              <w:top w:val="single" w:sz="4" w:space="0" w:color="auto"/>
              <w:left w:val="nil"/>
              <w:bottom w:val="single" w:sz="4" w:space="0" w:color="auto"/>
              <w:right w:val="single" w:sz="4" w:space="0" w:color="auto"/>
            </w:tcBorders>
            <w:shd w:val="clear" w:color="auto" w:fill="C6EFCE"/>
            <w:noWrap/>
          </w:tcPr>
          <w:p w14:paraId="544EAF4B" w14:textId="77777777" w:rsidR="00553430" w:rsidRDefault="00212577">
            <w:pPr>
              <w:pStyle w:val="P68B1DB1-Normal66"/>
              <w:spacing w:after="200" w:line="276" w:lineRule="auto"/>
              <w:jc w:val="center"/>
              <w:rPr>
                <w:noProof/>
              </w:rPr>
            </w:pPr>
            <w:r>
              <w:rPr>
                <w:noProof/>
              </w:rPr>
              <w:t>T3</w:t>
            </w:r>
          </w:p>
        </w:tc>
        <w:tc>
          <w:tcPr>
            <w:tcW w:w="992" w:type="dxa"/>
            <w:tcBorders>
              <w:top w:val="single" w:sz="4" w:space="0" w:color="auto"/>
              <w:left w:val="nil"/>
              <w:bottom w:val="single" w:sz="4" w:space="0" w:color="auto"/>
              <w:right w:val="single" w:sz="4" w:space="0" w:color="auto"/>
            </w:tcBorders>
            <w:shd w:val="clear" w:color="auto" w:fill="C6EFCE"/>
            <w:noWrap/>
          </w:tcPr>
          <w:p w14:paraId="69A7B210" w14:textId="77777777" w:rsidR="00553430" w:rsidRDefault="00212577">
            <w:pPr>
              <w:pStyle w:val="P68B1DB1-Normal66"/>
              <w:spacing w:after="200" w:line="276" w:lineRule="auto"/>
              <w:jc w:val="center"/>
              <w:rPr>
                <w:noProof/>
              </w:rPr>
            </w:pPr>
            <w:r>
              <w:rPr>
                <w:noProof/>
              </w:rPr>
              <w:t>2023</w:t>
            </w:r>
          </w:p>
        </w:tc>
        <w:tc>
          <w:tcPr>
            <w:tcW w:w="3458" w:type="dxa"/>
            <w:tcBorders>
              <w:top w:val="single" w:sz="4" w:space="0" w:color="auto"/>
              <w:left w:val="nil"/>
              <w:bottom w:val="single" w:sz="4" w:space="0" w:color="auto"/>
              <w:right w:val="single" w:sz="4" w:space="0" w:color="auto"/>
            </w:tcBorders>
            <w:shd w:val="clear" w:color="auto" w:fill="C6EFCE"/>
            <w:noWrap/>
          </w:tcPr>
          <w:p w14:paraId="616701DA" w14:textId="18D5EB20" w:rsidR="00553430" w:rsidRDefault="00212577">
            <w:pPr>
              <w:pStyle w:val="P68B1DB1-Normal66"/>
              <w:spacing w:after="200" w:line="276" w:lineRule="auto"/>
              <w:rPr>
                <w:noProof/>
              </w:rPr>
            </w:pPr>
            <w:r>
              <w:rPr>
                <w:noProof/>
              </w:rPr>
              <w:t xml:space="preserve">60 % des fonctionnaires sont formés au modèle de travail intelligent et possèdent les compétences nécessaires pour travailler à </w:t>
            </w:r>
            <w:r>
              <w:rPr>
                <w:noProof/>
              </w:rPr>
              <w:t xml:space="preserve">distance afin de fournir un service public continu et de qualité accessible à tous et d’accroître la motivation des fonctionnaires. </w:t>
            </w:r>
          </w:p>
        </w:tc>
      </w:tr>
      <w:tr w:rsidR="00553430" w14:paraId="0304ADDB" w14:textId="77777777" w:rsidTr="0019760D">
        <w:trPr>
          <w:trHeight w:val="283"/>
          <w:jc w:val="center"/>
        </w:trPr>
        <w:tc>
          <w:tcPr>
            <w:tcW w:w="851" w:type="dxa"/>
            <w:tcBorders>
              <w:top w:val="nil"/>
              <w:left w:val="single" w:sz="4" w:space="0" w:color="auto"/>
              <w:bottom w:val="single" w:sz="4" w:space="0" w:color="auto"/>
              <w:right w:val="single" w:sz="4" w:space="0" w:color="auto"/>
            </w:tcBorders>
            <w:shd w:val="clear" w:color="auto" w:fill="C6EFCE"/>
            <w:noWrap/>
          </w:tcPr>
          <w:p w14:paraId="0392E6AF" w14:textId="77777777" w:rsidR="00553430" w:rsidRDefault="00212577">
            <w:pPr>
              <w:pStyle w:val="P68B1DB1-Normal66"/>
              <w:spacing w:after="200" w:line="276" w:lineRule="auto"/>
              <w:jc w:val="center"/>
              <w:rPr>
                <w:noProof/>
              </w:rPr>
            </w:pPr>
            <w:r>
              <w:rPr>
                <w:noProof/>
              </w:rPr>
              <w:t>170</w:t>
            </w:r>
          </w:p>
        </w:tc>
        <w:tc>
          <w:tcPr>
            <w:tcW w:w="1098" w:type="dxa"/>
            <w:tcBorders>
              <w:top w:val="nil"/>
              <w:left w:val="nil"/>
              <w:bottom w:val="single" w:sz="4" w:space="0" w:color="auto"/>
              <w:right w:val="single" w:sz="4" w:space="0" w:color="auto"/>
            </w:tcBorders>
            <w:shd w:val="clear" w:color="auto" w:fill="C6EFCE"/>
            <w:noWrap/>
          </w:tcPr>
          <w:p w14:paraId="35A8755B" w14:textId="77777777" w:rsidR="00553430" w:rsidRDefault="00212577">
            <w:pPr>
              <w:pStyle w:val="P68B1DB1-Normal66"/>
              <w:spacing w:after="200" w:line="276" w:lineRule="auto"/>
              <w:jc w:val="center"/>
              <w:rPr>
                <w:noProof/>
              </w:rPr>
            </w:pPr>
            <w:r>
              <w:rPr>
                <w:noProof/>
              </w:rPr>
              <w:t>C2.2. R3</w:t>
            </w:r>
          </w:p>
        </w:tc>
        <w:tc>
          <w:tcPr>
            <w:tcW w:w="1046" w:type="dxa"/>
            <w:tcBorders>
              <w:top w:val="nil"/>
              <w:left w:val="nil"/>
              <w:bottom w:val="single" w:sz="4" w:space="0" w:color="auto"/>
              <w:right w:val="single" w:sz="4" w:space="0" w:color="auto"/>
            </w:tcBorders>
            <w:shd w:val="clear" w:color="auto" w:fill="C6EFCE"/>
            <w:noWrap/>
          </w:tcPr>
          <w:p w14:paraId="1AAAFD3A" w14:textId="77777777" w:rsidR="00553430" w:rsidRDefault="00212577">
            <w:pPr>
              <w:pStyle w:val="P68B1DB1-Normal66"/>
              <w:spacing w:after="200" w:line="276" w:lineRule="auto"/>
              <w:jc w:val="center"/>
              <w:rPr>
                <w:noProof/>
              </w:rPr>
            </w:pPr>
            <w:r>
              <w:rPr>
                <w:noProof/>
              </w:rPr>
              <w:t>M</w:t>
            </w:r>
          </w:p>
        </w:tc>
        <w:tc>
          <w:tcPr>
            <w:tcW w:w="1400" w:type="dxa"/>
            <w:tcBorders>
              <w:top w:val="nil"/>
              <w:left w:val="nil"/>
              <w:bottom w:val="single" w:sz="4" w:space="0" w:color="auto"/>
              <w:right w:val="single" w:sz="4" w:space="0" w:color="auto"/>
            </w:tcBorders>
            <w:shd w:val="clear" w:color="auto" w:fill="C6EFCE"/>
            <w:noWrap/>
          </w:tcPr>
          <w:p w14:paraId="2CC15364" w14:textId="77777777" w:rsidR="00553430" w:rsidRDefault="00212577">
            <w:pPr>
              <w:pStyle w:val="P68B1DB1-Normal66"/>
              <w:spacing w:after="200" w:line="276" w:lineRule="auto"/>
              <w:rPr>
                <w:noProof/>
              </w:rPr>
            </w:pPr>
            <w:r>
              <w:rPr>
                <w:noProof/>
              </w:rPr>
              <w:t>Mise en place d'un service d'e-conservation</w:t>
            </w:r>
          </w:p>
        </w:tc>
        <w:tc>
          <w:tcPr>
            <w:tcW w:w="2259" w:type="dxa"/>
            <w:tcBorders>
              <w:top w:val="nil"/>
              <w:left w:val="nil"/>
              <w:bottom w:val="single" w:sz="4" w:space="0" w:color="auto"/>
              <w:right w:val="single" w:sz="4" w:space="0" w:color="auto"/>
            </w:tcBorders>
            <w:shd w:val="clear" w:color="auto" w:fill="C6EFCE"/>
            <w:noWrap/>
          </w:tcPr>
          <w:p w14:paraId="0FA8FB72" w14:textId="77777777" w:rsidR="00553430" w:rsidRDefault="00212577">
            <w:pPr>
              <w:pStyle w:val="P68B1DB1-Normal66"/>
              <w:spacing w:after="200" w:line="276" w:lineRule="auto"/>
              <w:rPr>
                <w:noProof/>
              </w:rPr>
            </w:pPr>
            <w:r>
              <w:rPr>
                <w:noProof/>
              </w:rPr>
              <w:t xml:space="preserve">Service public numérique de la base de conservation en ligne </w:t>
            </w:r>
            <w:r>
              <w:rPr>
                <w:noProof/>
              </w:rPr>
              <w:t>pleinement fonctionnel et accessible</w:t>
            </w:r>
          </w:p>
        </w:tc>
        <w:tc>
          <w:tcPr>
            <w:tcW w:w="1138" w:type="dxa"/>
            <w:tcBorders>
              <w:top w:val="nil"/>
              <w:left w:val="nil"/>
              <w:bottom w:val="single" w:sz="4" w:space="0" w:color="auto"/>
              <w:right w:val="single" w:sz="4" w:space="0" w:color="auto"/>
            </w:tcBorders>
            <w:shd w:val="clear" w:color="auto" w:fill="C6EFCE"/>
            <w:noWrap/>
          </w:tcPr>
          <w:p w14:paraId="60C30F44" w14:textId="77777777" w:rsidR="00553430" w:rsidRDefault="00212577">
            <w:pPr>
              <w:pStyle w:val="P68B1DB1-Normal66"/>
              <w:spacing w:after="200" w:line="276" w:lineRule="auto"/>
              <w:jc w:val="center"/>
              <w:rPr>
                <w:noProof/>
              </w:rPr>
            </w:pPr>
            <w:r>
              <w:rPr>
                <w:noProof/>
              </w:rPr>
              <w:t> </w:t>
            </w:r>
          </w:p>
        </w:tc>
        <w:tc>
          <w:tcPr>
            <w:tcW w:w="1083" w:type="dxa"/>
            <w:tcBorders>
              <w:top w:val="nil"/>
              <w:left w:val="nil"/>
              <w:bottom w:val="single" w:sz="4" w:space="0" w:color="auto"/>
              <w:right w:val="single" w:sz="4" w:space="0" w:color="auto"/>
            </w:tcBorders>
            <w:shd w:val="clear" w:color="auto" w:fill="C6EFCE"/>
            <w:noWrap/>
          </w:tcPr>
          <w:p w14:paraId="362D8F27" w14:textId="77777777" w:rsidR="00553430" w:rsidRDefault="00212577">
            <w:pPr>
              <w:pStyle w:val="P68B1DB1-Normal66"/>
              <w:spacing w:after="200" w:line="276" w:lineRule="auto"/>
              <w:jc w:val="center"/>
              <w:rPr>
                <w:noProof/>
              </w:rPr>
            </w:pPr>
            <w:r>
              <w:rPr>
                <w:noProof/>
              </w:rPr>
              <w:t> </w:t>
            </w:r>
          </w:p>
        </w:tc>
        <w:tc>
          <w:tcPr>
            <w:tcW w:w="993" w:type="dxa"/>
            <w:tcBorders>
              <w:top w:val="nil"/>
              <w:left w:val="nil"/>
              <w:bottom w:val="single" w:sz="4" w:space="0" w:color="auto"/>
              <w:right w:val="single" w:sz="4" w:space="0" w:color="auto"/>
            </w:tcBorders>
            <w:shd w:val="clear" w:color="auto" w:fill="C6EFCE"/>
            <w:noWrap/>
          </w:tcPr>
          <w:p w14:paraId="0CD990C8" w14:textId="77777777" w:rsidR="00553430" w:rsidRDefault="00212577">
            <w:pPr>
              <w:pStyle w:val="P68B1DB1-Normal66"/>
              <w:spacing w:after="200" w:line="276" w:lineRule="auto"/>
              <w:jc w:val="center"/>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1193F252" w14:textId="77777777" w:rsidR="00553430" w:rsidRDefault="00212577">
            <w:pPr>
              <w:pStyle w:val="P68B1DB1-Normal66"/>
              <w:spacing w:after="200" w:line="276" w:lineRule="auto"/>
              <w:jc w:val="center"/>
              <w:rPr>
                <w:noProof/>
              </w:rPr>
            </w:pPr>
            <w:r>
              <w:rPr>
                <w:noProof/>
              </w:rPr>
              <w:t>T4</w:t>
            </w:r>
          </w:p>
        </w:tc>
        <w:tc>
          <w:tcPr>
            <w:tcW w:w="992" w:type="dxa"/>
            <w:tcBorders>
              <w:top w:val="nil"/>
              <w:left w:val="nil"/>
              <w:bottom w:val="single" w:sz="4" w:space="0" w:color="auto"/>
              <w:right w:val="single" w:sz="4" w:space="0" w:color="auto"/>
            </w:tcBorders>
            <w:shd w:val="clear" w:color="auto" w:fill="C6EFCE"/>
            <w:noWrap/>
          </w:tcPr>
          <w:p w14:paraId="73C3E6F6" w14:textId="77777777" w:rsidR="00553430" w:rsidRDefault="00212577">
            <w:pPr>
              <w:pStyle w:val="P68B1DB1-Normal66"/>
              <w:spacing w:after="200" w:line="276" w:lineRule="auto"/>
              <w:jc w:val="center"/>
              <w:rPr>
                <w:noProof/>
              </w:rPr>
            </w:pPr>
            <w:r>
              <w:rPr>
                <w:noProof/>
              </w:rPr>
              <w:t>2023</w:t>
            </w:r>
          </w:p>
        </w:tc>
        <w:tc>
          <w:tcPr>
            <w:tcW w:w="3458" w:type="dxa"/>
            <w:tcBorders>
              <w:top w:val="nil"/>
              <w:left w:val="nil"/>
              <w:bottom w:val="single" w:sz="4" w:space="0" w:color="auto"/>
              <w:right w:val="single" w:sz="4" w:space="0" w:color="auto"/>
            </w:tcBorders>
            <w:shd w:val="clear" w:color="auto" w:fill="C6EFCE"/>
            <w:noWrap/>
          </w:tcPr>
          <w:p w14:paraId="3D806DE5" w14:textId="77777777" w:rsidR="00553430" w:rsidRDefault="00212577">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 xml:space="preserve">En mettant en place une infrastructure numérique et des services d'administration publique, le développement d'un système de bases de conservation améliore la gestion de la documentation par les autorités </w:t>
            </w:r>
            <w:r>
              <w:rPr>
                <w:rFonts w:ascii="Times New Roman" w:eastAsia="Calibri" w:hAnsi="Times New Roman" w:cs="Times New Roman"/>
                <w:noProof/>
                <w:color w:val="000000" w:themeColor="text1"/>
              </w:rPr>
              <w:t xml:space="preserve">publiques et d'autres créateurs de documents en tant que fonctions de soutien essentielles pour tous les processus opérationnels. Le système de conservation en ligne permet une fourniture plus efficace des services de l’administration publique au moyen de </w:t>
            </w:r>
            <w:r>
              <w:rPr>
                <w:rFonts w:ascii="Times New Roman" w:eastAsia="Calibri" w:hAnsi="Times New Roman" w:cs="Times New Roman"/>
                <w:noProof/>
                <w:color w:val="000000" w:themeColor="text1"/>
              </w:rPr>
              <w:t>solutions TIC mises en œuvre qui garantissent l’interopérabilité et le partage des données, la réduction des coûts, la transparence des entreprises et la protection des droits des citoyens.</w:t>
            </w:r>
            <w:r>
              <w:rPr>
                <w:rFonts w:ascii="Times New Roman" w:hAnsi="Times New Roman" w:cs="Times New Roman"/>
                <w:noProof/>
              </w:rPr>
              <w:br/>
            </w:r>
            <w:r>
              <w:rPr>
                <w:rFonts w:ascii="Times New Roman" w:eastAsia="Calibri" w:hAnsi="Times New Roman" w:cs="Times New Roman"/>
                <w:noProof/>
                <w:color w:val="000000" w:themeColor="text1"/>
              </w:rPr>
              <w:t>Le service public numérique (base de conservation électronique) li</w:t>
            </w:r>
            <w:r>
              <w:rPr>
                <w:rFonts w:ascii="Times New Roman" w:eastAsia="Calibri" w:hAnsi="Times New Roman" w:cs="Times New Roman"/>
                <w:noProof/>
                <w:color w:val="000000" w:themeColor="text1"/>
              </w:rPr>
              <w:t>é aux services publics numériques existants est mis en place, en supprimant les obstacles administratifs dans le processus d’octroi de licences en vertu de la loi sur la protection et la conservation des biens culturels.</w:t>
            </w:r>
          </w:p>
        </w:tc>
      </w:tr>
      <w:tr w:rsidR="00553430" w14:paraId="4E85FA2B" w14:textId="77777777" w:rsidTr="0019760D">
        <w:trPr>
          <w:trHeight w:val="28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58E5EDB" w14:textId="77777777" w:rsidR="00553430" w:rsidRDefault="00212577">
            <w:pPr>
              <w:pStyle w:val="P68B1DB1-Normal66"/>
              <w:spacing w:after="200" w:line="276" w:lineRule="auto"/>
              <w:jc w:val="center"/>
              <w:rPr>
                <w:noProof/>
              </w:rPr>
            </w:pPr>
            <w:r>
              <w:rPr>
                <w:noProof/>
              </w:rPr>
              <w:t>171</w:t>
            </w:r>
          </w:p>
        </w:tc>
        <w:tc>
          <w:tcPr>
            <w:tcW w:w="1098" w:type="dxa"/>
            <w:tcBorders>
              <w:top w:val="single" w:sz="4" w:space="0" w:color="auto"/>
              <w:left w:val="nil"/>
              <w:bottom w:val="single" w:sz="4" w:space="0" w:color="auto"/>
              <w:right w:val="single" w:sz="4" w:space="0" w:color="auto"/>
            </w:tcBorders>
            <w:shd w:val="clear" w:color="auto" w:fill="C6EFCE"/>
            <w:noWrap/>
          </w:tcPr>
          <w:p w14:paraId="21D9EF86" w14:textId="77777777" w:rsidR="00553430" w:rsidRDefault="00212577">
            <w:pPr>
              <w:pStyle w:val="P68B1DB1-Normal66"/>
              <w:spacing w:after="200" w:line="276" w:lineRule="auto"/>
              <w:jc w:val="center"/>
              <w:rPr>
                <w:noProof/>
              </w:rPr>
            </w:pPr>
            <w:r>
              <w:rPr>
                <w:noProof/>
              </w:rPr>
              <w:t>C2.2. R3</w:t>
            </w:r>
          </w:p>
        </w:tc>
        <w:tc>
          <w:tcPr>
            <w:tcW w:w="1046" w:type="dxa"/>
            <w:tcBorders>
              <w:top w:val="single" w:sz="4" w:space="0" w:color="auto"/>
              <w:left w:val="nil"/>
              <w:bottom w:val="single" w:sz="4" w:space="0" w:color="auto"/>
              <w:right w:val="single" w:sz="4" w:space="0" w:color="auto"/>
            </w:tcBorders>
            <w:shd w:val="clear" w:color="auto" w:fill="C6EFCE"/>
            <w:noWrap/>
          </w:tcPr>
          <w:p w14:paraId="40C6AABE" w14:textId="77777777" w:rsidR="00553430" w:rsidRDefault="00212577">
            <w:pPr>
              <w:pStyle w:val="P68B1DB1-Normal66"/>
              <w:spacing w:after="200" w:line="276" w:lineRule="auto"/>
              <w:jc w:val="center"/>
              <w:rPr>
                <w:noProof/>
              </w:rPr>
            </w:pPr>
            <w:r>
              <w:rPr>
                <w:noProof/>
              </w:rPr>
              <w:t>M</w:t>
            </w:r>
          </w:p>
        </w:tc>
        <w:tc>
          <w:tcPr>
            <w:tcW w:w="1400" w:type="dxa"/>
            <w:tcBorders>
              <w:top w:val="single" w:sz="4" w:space="0" w:color="auto"/>
              <w:left w:val="nil"/>
              <w:bottom w:val="single" w:sz="4" w:space="0" w:color="auto"/>
              <w:right w:val="single" w:sz="4" w:space="0" w:color="auto"/>
            </w:tcBorders>
            <w:shd w:val="clear" w:color="auto" w:fill="C6EFCE"/>
            <w:noWrap/>
          </w:tcPr>
          <w:p w14:paraId="2091044E" w14:textId="77777777" w:rsidR="00553430" w:rsidRDefault="00212577">
            <w:pPr>
              <w:pStyle w:val="P68B1DB1-Normal66"/>
              <w:spacing w:after="200" w:line="276" w:lineRule="auto"/>
              <w:rPr>
                <w:noProof/>
              </w:rPr>
            </w:pPr>
            <w:r>
              <w:rPr>
                <w:noProof/>
              </w:rPr>
              <w:t xml:space="preserve">Mise en place d'un </w:t>
            </w:r>
            <w:r>
              <w:rPr>
                <w:noProof/>
              </w:rPr>
              <w:t>système national d'information sur les archives</w:t>
            </w:r>
          </w:p>
        </w:tc>
        <w:tc>
          <w:tcPr>
            <w:tcW w:w="2259" w:type="dxa"/>
            <w:tcBorders>
              <w:top w:val="single" w:sz="4" w:space="0" w:color="auto"/>
              <w:left w:val="nil"/>
              <w:bottom w:val="single" w:sz="4" w:space="0" w:color="auto"/>
              <w:right w:val="single" w:sz="4" w:space="0" w:color="auto"/>
            </w:tcBorders>
            <w:shd w:val="clear" w:color="auto" w:fill="C6EFCE"/>
            <w:noWrap/>
          </w:tcPr>
          <w:p w14:paraId="765EF089" w14:textId="77777777" w:rsidR="00553430" w:rsidRDefault="00212577">
            <w:pPr>
              <w:pStyle w:val="P68B1DB1-Normal66"/>
              <w:spacing w:after="200" w:line="276" w:lineRule="auto"/>
              <w:rPr>
                <w:noProof/>
              </w:rPr>
            </w:pPr>
            <w:r>
              <w:rPr>
                <w:noProof/>
              </w:rPr>
              <w:t xml:space="preserve">Système national d'information des archives entièrement fonctionnel et accessible </w:t>
            </w:r>
          </w:p>
        </w:tc>
        <w:tc>
          <w:tcPr>
            <w:tcW w:w="1138" w:type="dxa"/>
            <w:tcBorders>
              <w:top w:val="single" w:sz="4" w:space="0" w:color="auto"/>
              <w:left w:val="nil"/>
              <w:bottom w:val="single" w:sz="4" w:space="0" w:color="auto"/>
              <w:right w:val="single" w:sz="4" w:space="0" w:color="auto"/>
            </w:tcBorders>
            <w:shd w:val="clear" w:color="auto" w:fill="C6EFCE"/>
            <w:noWrap/>
          </w:tcPr>
          <w:p w14:paraId="333EAD8F" w14:textId="77777777" w:rsidR="00553430" w:rsidRDefault="00212577">
            <w:pPr>
              <w:pStyle w:val="P68B1DB1-Normal66"/>
              <w:spacing w:after="200" w:line="276" w:lineRule="auto"/>
              <w:jc w:val="center"/>
              <w:rPr>
                <w:noProof/>
              </w:rPr>
            </w:pPr>
            <w:r>
              <w:rPr>
                <w:noProof/>
              </w:rPr>
              <w:t> </w:t>
            </w:r>
          </w:p>
        </w:tc>
        <w:tc>
          <w:tcPr>
            <w:tcW w:w="1083" w:type="dxa"/>
            <w:tcBorders>
              <w:top w:val="single" w:sz="4" w:space="0" w:color="auto"/>
              <w:left w:val="nil"/>
              <w:bottom w:val="single" w:sz="4" w:space="0" w:color="auto"/>
              <w:right w:val="single" w:sz="4" w:space="0" w:color="auto"/>
            </w:tcBorders>
            <w:shd w:val="clear" w:color="auto" w:fill="C6EFCE"/>
            <w:noWrap/>
          </w:tcPr>
          <w:p w14:paraId="06950F1C" w14:textId="77777777" w:rsidR="00553430" w:rsidRDefault="00212577">
            <w:pPr>
              <w:pStyle w:val="P68B1DB1-Normal66"/>
              <w:spacing w:after="200" w:line="276" w:lineRule="auto"/>
              <w:jc w:val="center"/>
              <w:rPr>
                <w:noProof/>
              </w:rPr>
            </w:pPr>
            <w:r>
              <w:rPr>
                <w:noProof/>
              </w:rPr>
              <w:t> </w:t>
            </w:r>
          </w:p>
        </w:tc>
        <w:tc>
          <w:tcPr>
            <w:tcW w:w="993" w:type="dxa"/>
            <w:tcBorders>
              <w:top w:val="single" w:sz="4" w:space="0" w:color="auto"/>
              <w:left w:val="nil"/>
              <w:bottom w:val="single" w:sz="4" w:space="0" w:color="auto"/>
              <w:right w:val="single" w:sz="4" w:space="0" w:color="auto"/>
            </w:tcBorders>
            <w:shd w:val="clear" w:color="auto" w:fill="C6EFCE"/>
            <w:noWrap/>
          </w:tcPr>
          <w:p w14:paraId="1F715594" w14:textId="77777777" w:rsidR="00553430" w:rsidRDefault="00212577">
            <w:pPr>
              <w:pStyle w:val="P68B1DB1-Normal66"/>
              <w:spacing w:after="200" w:line="276" w:lineRule="auto"/>
              <w:jc w:val="center"/>
              <w:rPr>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59ECCF47" w14:textId="77777777" w:rsidR="00553430" w:rsidRDefault="00212577">
            <w:pPr>
              <w:pStyle w:val="P68B1DB1-Normal66"/>
              <w:spacing w:after="200" w:line="276" w:lineRule="auto"/>
              <w:jc w:val="center"/>
              <w:rPr>
                <w:noProof/>
              </w:rPr>
            </w:pPr>
            <w:r>
              <w:rPr>
                <w:noProof/>
              </w:rPr>
              <w:t>T2</w:t>
            </w:r>
          </w:p>
        </w:tc>
        <w:tc>
          <w:tcPr>
            <w:tcW w:w="992" w:type="dxa"/>
            <w:tcBorders>
              <w:top w:val="single" w:sz="4" w:space="0" w:color="auto"/>
              <w:left w:val="nil"/>
              <w:bottom w:val="single" w:sz="4" w:space="0" w:color="auto"/>
              <w:right w:val="single" w:sz="4" w:space="0" w:color="auto"/>
            </w:tcBorders>
            <w:shd w:val="clear" w:color="auto" w:fill="C6EFCE"/>
            <w:noWrap/>
          </w:tcPr>
          <w:p w14:paraId="6CD8BFB1" w14:textId="77777777" w:rsidR="00553430" w:rsidRDefault="00212577">
            <w:pPr>
              <w:pStyle w:val="P68B1DB1-Normal66"/>
              <w:spacing w:after="200" w:line="276" w:lineRule="auto"/>
              <w:jc w:val="center"/>
              <w:rPr>
                <w:noProof/>
              </w:rPr>
            </w:pPr>
            <w:r>
              <w:rPr>
                <w:noProof/>
              </w:rPr>
              <w:t>2024</w:t>
            </w:r>
          </w:p>
        </w:tc>
        <w:tc>
          <w:tcPr>
            <w:tcW w:w="3458" w:type="dxa"/>
            <w:tcBorders>
              <w:top w:val="single" w:sz="4" w:space="0" w:color="auto"/>
              <w:left w:val="nil"/>
              <w:bottom w:val="single" w:sz="4" w:space="0" w:color="auto"/>
              <w:right w:val="single" w:sz="4" w:space="0" w:color="auto"/>
            </w:tcBorders>
            <w:shd w:val="clear" w:color="auto" w:fill="C6EFCE"/>
            <w:noWrap/>
          </w:tcPr>
          <w:p w14:paraId="523ECE87" w14:textId="77777777" w:rsidR="00553430" w:rsidRDefault="00212577">
            <w:pPr>
              <w:pStyle w:val="P68B1DB1-Normal66"/>
              <w:spacing w:after="200" w:line="276" w:lineRule="auto"/>
              <w:rPr>
                <w:noProof/>
              </w:rPr>
            </w:pPr>
            <w:r>
              <w:rPr>
                <w:noProof/>
              </w:rPr>
              <w:t>Un système national d'information sur les archives est mis en place pour améliorer la gestion de la documentati</w:t>
            </w:r>
            <w:r>
              <w:rPr>
                <w:noProof/>
              </w:rPr>
              <w:t xml:space="preserve">on par les autorités publiques et les autres créateurs de documents, en tant que fonction d'appui essentielle pour tous les processus opérationnels. </w:t>
            </w:r>
          </w:p>
        </w:tc>
      </w:tr>
      <w:tr w:rsidR="00553430" w14:paraId="6A10019F" w14:textId="77777777" w:rsidTr="0019760D">
        <w:trPr>
          <w:trHeight w:val="283"/>
          <w:jc w:val="center"/>
        </w:trPr>
        <w:tc>
          <w:tcPr>
            <w:tcW w:w="851" w:type="dxa"/>
            <w:tcBorders>
              <w:top w:val="nil"/>
              <w:left w:val="single" w:sz="4" w:space="0" w:color="auto"/>
              <w:bottom w:val="single" w:sz="4" w:space="0" w:color="auto"/>
              <w:right w:val="single" w:sz="4" w:space="0" w:color="auto"/>
            </w:tcBorders>
            <w:shd w:val="clear" w:color="auto" w:fill="C6EFCE"/>
            <w:noWrap/>
          </w:tcPr>
          <w:p w14:paraId="04DB1765" w14:textId="77777777" w:rsidR="00553430" w:rsidRDefault="00212577">
            <w:pPr>
              <w:pStyle w:val="P68B1DB1-Normal66"/>
              <w:spacing w:after="0" w:line="276" w:lineRule="auto"/>
              <w:jc w:val="center"/>
              <w:rPr>
                <w:noProof/>
              </w:rPr>
            </w:pPr>
            <w:r>
              <w:rPr>
                <w:noProof/>
              </w:rPr>
              <w:t>172</w:t>
            </w:r>
          </w:p>
        </w:tc>
        <w:tc>
          <w:tcPr>
            <w:tcW w:w="1098" w:type="dxa"/>
            <w:tcBorders>
              <w:top w:val="nil"/>
              <w:left w:val="nil"/>
              <w:bottom w:val="single" w:sz="4" w:space="0" w:color="auto"/>
              <w:right w:val="single" w:sz="4" w:space="0" w:color="auto"/>
            </w:tcBorders>
            <w:shd w:val="clear" w:color="auto" w:fill="C6EFCE"/>
            <w:noWrap/>
          </w:tcPr>
          <w:p w14:paraId="641D3403" w14:textId="77777777" w:rsidR="00553430" w:rsidRDefault="00212577">
            <w:pPr>
              <w:pStyle w:val="P68B1DB1-Normal66"/>
              <w:spacing w:after="200" w:line="276" w:lineRule="auto"/>
              <w:jc w:val="center"/>
              <w:rPr>
                <w:noProof/>
              </w:rPr>
            </w:pPr>
            <w:r>
              <w:rPr>
                <w:noProof/>
              </w:rPr>
              <w:t>C2.2. R3-I1</w:t>
            </w:r>
          </w:p>
        </w:tc>
        <w:tc>
          <w:tcPr>
            <w:tcW w:w="1046" w:type="dxa"/>
            <w:tcBorders>
              <w:top w:val="nil"/>
              <w:left w:val="nil"/>
              <w:bottom w:val="single" w:sz="4" w:space="0" w:color="auto"/>
              <w:right w:val="single" w:sz="4" w:space="0" w:color="auto"/>
            </w:tcBorders>
            <w:shd w:val="clear" w:color="auto" w:fill="C6EFCE"/>
            <w:noWrap/>
          </w:tcPr>
          <w:p w14:paraId="4F614B61" w14:textId="77777777" w:rsidR="00553430" w:rsidRDefault="00212577">
            <w:pPr>
              <w:pStyle w:val="P68B1DB1-Normal66"/>
              <w:spacing w:after="200" w:line="276" w:lineRule="auto"/>
              <w:jc w:val="center"/>
              <w:rPr>
                <w:noProof/>
              </w:rPr>
            </w:pPr>
            <w:r>
              <w:rPr>
                <w:noProof/>
              </w:rPr>
              <w:t>T</w:t>
            </w:r>
          </w:p>
        </w:tc>
        <w:tc>
          <w:tcPr>
            <w:tcW w:w="1400" w:type="dxa"/>
            <w:tcBorders>
              <w:top w:val="nil"/>
              <w:left w:val="nil"/>
              <w:bottom w:val="single" w:sz="4" w:space="0" w:color="auto"/>
              <w:right w:val="single" w:sz="4" w:space="0" w:color="auto"/>
            </w:tcBorders>
            <w:shd w:val="clear" w:color="auto" w:fill="C6EFCE"/>
            <w:noWrap/>
          </w:tcPr>
          <w:p w14:paraId="62959E7B" w14:textId="77777777" w:rsidR="00553430" w:rsidRDefault="00212577">
            <w:pPr>
              <w:pStyle w:val="P68B1DB1-Normal66"/>
              <w:spacing w:after="200" w:line="276" w:lineRule="auto"/>
              <w:rPr>
                <w:noProof/>
              </w:rPr>
            </w:pPr>
            <w:r>
              <w:rPr>
                <w:noProof/>
              </w:rPr>
              <w:t xml:space="preserve">Création d'un ensemble de 60 bases de conservation accessibles au public pour les sites culturels et historiques les plus complexes de grande valeur monumentale </w:t>
            </w:r>
          </w:p>
        </w:tc>
        <w:tc>
          <w:tcPr>
            <w:tcW w:w="2259" w:type="dxa"/>
            <w:tcBorders>
              <w:top w:val="nil"/>
              <w:left w:val="nil"/>
              <w:bottom w:val="single" w:sz="4" w:space="0" w:color="auto"/>
              <w:right w:val="single" w:sz="4" w:space="0" w:color="auto"/>
            </w:tcBorders>
            <w:shd w:val="clear" w:color="auto" w:fill="C6EFCE"/>
            <w:noWrap/>
          </w:tcPr>
          <w:p w14:paraId="20EDB126" w14:textId="77777777" w:rsidR="00553430" w:rsidRDefault="00212577">
            <w:pPr>
              <w:pStyle w:val="P68B1DB1-Normal66"/>
              <w:spacing w:after="200" w:line="276" w:lineRule="auto"/>
              <w:rPr>
                <w:noProof/>
              </w:rPr>
            </w:pPr>
            <w:r>
              <w:rPr>
                <w:noProof/>
              </w:rPr>
              <w:t xml:space="preserve"> </w:t>
            </w:r>
          </w:p>
        </w:tc>
        <w:tc>
          <w:tcPr>
            <w:tcW w:w="1138" w:type="dxa"/>
            <w:tcBorders>
              <w:top w:val="nil"/>
              <w:left w:val="nil"/>
              <w:bottom w:val="single" w:sz="4" w:space="0" w:color="auto"/>
              <w:right w:val="single" w:sz="4" w:space="0" w:color="auto"/>
            </w:tcBorders>
            <w:shd w:val="clear" w:color="auto" w:fill="C6EFCE"/>
            <w:noWrap/>
          </w:tcPr>
          <w:p w14:paraId="59B1B7D3" w14:textId="77777777" w:rsidR="00553430" w:rsidRDefault="00212577">
            <w:pPr>
              <w:pStyle w:val="P68B1DB1-Normal66"/>
              <w:spacing w:after="200" w:line="276" w:lineRule="auto"/>
              <w:jc w:val="center"/>
              <w:rPr>
                <w:noProof/>
              </w:rPr>
            </w:pPr>
            <w:r>
              <w:rPr>
                <w:noProof/>
              </w:rPr>
              <w:t>Numéro</w:t>
            </w:r>
          </w:p>
        </w:tc>
        <w:tc>
          <w:tcPr>
            <w:tcW w:w="1083" w:type="dxa"/>
            <w:tcBorders>
              <w:top w:val="nil"/>
              <w:left w:val="nil"/>
              <w:bottom w:val="single" w:sz="4" w:space="0" w:color="auto"/>
              <w:right w:val="single" w:sz="4" w:space="0" w:color="auto"/>
            </w:tcBorders>
            <w:shd w:val="clear" w:color="auto" w:fill="C6EFCE"/>
            <w:noWrap/>
          </w:tcPr>
          <w:p w14:paraId="11E5FC43" w14:textId="77777777" w:rsidR="00553430" w:rsidRDefault="00212577">
            <w:pPr>
              <w:pStyle w:val="P68B1DB1-Normal66"/>
              <w:spacing w:after="200" w:line="276" w:lineRule="auto"/>
              <w:jc w:val="center"/>
              <w:rPr>
                <w:noProof/>
              </w:rPr>
            </w:pPr>
            <w:r>
              <w:rPr>
                <w:noProof/>
              </w:rPr>
              <w:t>0</w:t>
            </w:r>
          </w:p>
        </w:tc>
        <w:tc>
          <w:tcPr>
            <w:tcW w:w="993" w:type="dxa"/>
            <w:tcBorders>
              <w:top w:val="nil"/>
              <w:left w:val="nil"/>
              <w:bottom w:val="single" w:sz="4" w:space="0" w:color="auto"/>
              <w:right w:val="single" w:sz="4" w:space="0" w:color="auto"/>
            </w:tcBorders>
            <w:shd w:val="clear" w:color="auto" w:fill="C6EFCE"/>
            <w:noWrap/>
          </w:tcPr>
          <w:p w14:paraId="3F0B4B51" w14:textId="77777777" w:rsidR="00553430" w:rsidRDefault="00212577">
            <w:pPr>
              <w:pStyle w:val="P68B1DB1-Normal66"/>
              <w:spacing w:after="200" w:line="276" w:lineRule="auto"/>
              <w:jc w:val="center"/>
              <w:rPr>
                <w:noProof/>
              </w:rPr>
            </w:pPr>
            <w:r>
              <w:rPr>
                <w:noProof/>
              </w:rPr>
              <w:t>60</w:t>
            </w:r>
          </w:p>
        </w:tc>
        <w:tc>
          <w:tcPr>
            <w:tcW w:w="992" w:type="dxa"/>
            <w:tcBorders>
              <w:top w:val="nil"/>
              <w:left w:val="nil"/>
              <w:bottom w:val="single" w:sz="4" w:space="0" w:color="auto"/>
              <w:right w:val="single" w:sz="4" w:space="0" w:color="auto"/>
            </w:tcBorders>
            <w:shd w:val="clear" w:color="auto" w:fill="C6EFCE"/>
            <w:noWrap/>
          </w:tcPr>
          <w:p w14:paraId="2F552603" w14:textId="77777777" w:rsidR="00553430" w:rsidRDefault="00212577">
            <w:pPr>
              <w:pStyle w:val="P68B1DB1-Normal66"/>
              <w:spacing w:after="200" w:line="276" w:lineRule="auto"/>
              <w:jc w:val="center"/>
              <w:rPr>
                <w:noProof/>
              </w:rPr>
            </w:pPr>
            <w:r>
              <w:rPr>
                <w:noProof/>
              </w:rPr>
              <w:t>T2</w:t>
            </w:r>
          </w:p>
        </w:tc>
        <w:tc>
          <w:tcPr>
            <w:tcW w:w="992" w:type="dxa"/>
            <w:tcBorders>
              <w:top w:val="nil"/>
              <w:left w:val="nil"/>
              <w:bottom w:val="single" w:sz="4" w:space="0" w:color="auto"/>
              <w:right w:val="single" w:sz="4" w:space="0" w:color="auto"/>
            </w:tcBorders>
            <w:shd w:val="clear" w:color="auto" w:fill="C6EFCE"/>
            <w:noWrap/>
          </w:tcPr>
          <w:p w14:paraId="70A014C8" w14:textId="77777777" w:rsidR="00553430" w:rsidRDefault="00212577">
            <w:pPr>
              <w:pStyle w:val="P68B1DB1-Normal66"/>
              <w:spacing w:after="200" w:line="276" w:lineRule="auto"/>
              <w:jc w:val="center"/>
              <w:rPr>
                <w:noProof/>
              </w:rPr>
            </w:pPr>
            <w:r>
              <w:rPr>
                <w:noProof/>
              </w:rPr>
              <w:t>2026</w:t>
            </w:r>
          </w:p>
        </w:tc>
        <w:tc>
          <w:tcPr>
            <w:tcW w:w="3458" w:type="dxa"/>
            <w:tcBorders>
              <w:top w:val="nil"/>
              <w:left w:val="nil"/>
              <w:bottom w:val="single" w:sz="4" w:space="0" w:color="auto"/>
              <w:right w:val="single" w:sz="4" w:space="0" w:color="auto"/>
            </w:tcBorders>
            <w:shd w:val="clear" w:color="auto" w:fill="C6EFCE"/>
            <w:noWrap/>
          </w:tcPr>
          <w:p w14:paraId="484A38BD" w14:textId="4F3B6047" w:rsidR="00553430" w:rsidRDefault="00212577">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Une plateforme informatique comprenant au moins 60 bases de conservation</w:t>
            </w:r>
            <w:r>
              <w:rPr>
                <w:rFonts w:ascii="Times New Roman" w:eastAsia="Calibri" w:hAnsi="Times New Roman" w:cs="Times New Roman"/>
                <w:noProof/>
                <w:color w:val="000000" w:themeColor="text1"/>
              </w:rPr>
              <w:t xml:space="preserve"> en ligne a été créée et rendue publique. </w:t>
            </w:r>
            <w:r>
              <w:rPr>
                <w:rFonts w:ascii="Times New Roman" w:hAnsi="Times New Roman" w:cs="Times New Roman"/>
                <w:noProof/>
              </w:rPr>
              <w:br/>
            </w:r>
            <w:r>
              <w:rPr>
                <w:rFonts w:ascii="Times New Roman" w:eastAsia="Calibri" w:hAnsi="Times New Roman" w:cs="Times New Roman"/>
                <w:noProof/>
                <w:color w:val="000000" w:themeColor="text1"/>
              </w:rPr>
              <w:t>Une base de conservation en ligne est mise en place pour les sites historiques culturels de grande valeur monumentale qui répondent aux critères de mise en danger et d’urgence d’achèvement compte tenu des opératio</w:t>
            </w:r>
            <w:r>
              <w:rPr>
                <w:rFonts w:ascii="Times New Roman" w:eastAsia="Calibri" w:hAnsi="Times New Roman" w:cs="Times New Roman"/>
                <w:noProof/>
                <w:color w:val="000000" w:themeColor="text1"/>
              </w:rPr>
              <w:t>ns de construction prévues.</w:t>
            </w:r>
          </w:p>
          <w:p w14:paraId="626F7CB4" w14:textId="77777777" w:rsidR="00553430" w:rsidRDefault="00553430">
            <w:pPr>
              <w:spacing w:after="200" w:line="276" w:lineRule="auto"/>
              <w:rPr>
                <w:rFonts w:ascii="Times New Roman" w:eastAsia="Calibri" w:hAnsi="Times New Roman" w:cs="Times New Roman"/>
                <w:noProof/>
                <w:color w:val="000000" w:themeColor="text1"/>
                <w:sz w:val="20"/>
                <w:szCs w:val="20"/>
              </w:rPr>
            </w:pPr>
          </w:p>
        </w:tc>
      </w:tr>
      <w:tr w:rsidR="00553430" w14:paraId="0FF0F257" w14:textId="77777777" w:rsidTr="0019760D">
        <w:trPr>
          <w:trHeight w:val="28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31B10C0" w14:textId="77777777" w:rsidR="00553430" w:rsidRDefault="00212577">
            <w:pPr>
              <w:pStyle w:val="P68B1DB1-Normal66"/>
              <w:spacing w:after="200" w:line="276" w:lineRule="auto"/>
              <w:jc w:val="center"/>
              <w:rPr>
                <w:noProof/>
              </w:rPr>
            </w:pPr>
            <w:r>
              <w:rPr>
                <w:noProof/>
              </w:rPr>
              <w:t>173</w:t>
            </w:r>
          </w:p>
        </w:tc>
        <w:tc>
          <w:tcPr>
            <w:tcW w:w="1098" w:type="dxa"/>
            <w:tcBorders>
              <w:top w:val="single" w:sz="4" w:space="0" w:color="auto"/>
              <w:left w:val="nil"/>
              <w:bottom w:val="single" w:sz="4" w:space="0" w:color="auto"/>
              <w:right w:val="single" w:sz="4" w:space="0" w:color="auto"/>
            </w:tcBorders>
            <w:shd w:val="clear" w:color="auto" w:fill="C6EFCE"/>
            <w:noWrap/>
          </w:tcPr>
          <w:p w14:paraId="405E3D03" w14:textId="77777777" w:rsidR="00553430" w:rsidRDefault="00212577">
            <w:pPr>
              <w:pStyle w:val="P68B1DB1-Normal66"/>
              <w:spacing w:after="200" w:line="276" w:lineRule="auto"/>
              <w:jc w:val="center"/>
              <w:rPr>
                <w:noProof/>
              </w:rPr>
            </w:pPr>
            <w:r>
              <w:rPr>
                <w:noProof/>
              </w:rPr>
              <w:t>C2.2. R3-I2</w:t>
            </w:r>
          </w:p>
        </w:tc>
        <w:tc>
          <w:tcPr>
            <w:tcW w:w="1046" w:type="dxa"/>
            <w:tcBorders>
              <w:top w:val="single" w:sz="4" w:space="0" w:color="auto"/>
              <w:left w:val="nil"/>
              <w:bottom w:val="single" w:sz="4" w:space="0" w:color="auto"/>
              <w:right w:val="single" w:sz="4" w:space="0" w:color="auto"/>
            </w:tcBorders>
            <w:shd w:val="clear" w:color="auto" w:fill="C6EFCE"/>
            <w:noWrap/>
          </w:tcPr>
          <w:p w14:paraId="7A577CD2" w14:textId="77777777" w:rsidR="00553430" w:rsidRDefault="00212577">
            <w:pPr>
              <w:pStyle w:val="P68B1DB1-Normal66"/>
              <w:spacing w:after="200" w:line="276" w:lineRule="auto"/>
              <w:jc w:val="center"/>
              <w:rPr>
                <w:noProof/>
              </w:rPr>
            </w:pPr>
            <w:r>
              <w:rPr>
                <w:noProof/>
              </w:rPr>
              <w:t>T</w:t>
            </w:r>
          </w:p>
        </w:tc>
        <w:tc>
          <w:tcPr>
            <w:tcW w:w="1400" w:type="dxa"/>
            <w:tcBorders>
              <w:top w:val="single" w:sz="4" w:space="0" w:color="auto"/>
              <w:left w:val="nil"/>
              <w:bottom w:val="single" w:sz="4" w:space="0" w:color="auto"/>
              <w:right w:val="single" w:sz="4" w:space="0" w:color="auto"/>
            </w:tcBorders>
            <w:shd w:val="clear" w:color="auto" w:fill="C6EFCE"/>
            <w:noWrap/>
          </w:tcPr>
          <w:p w14:paraId="095C883E" w14:textId="77777777" w:rsidR="00553430" w:rsidRDefault="00212577">
            <w:pPr>
              <w:pStyle w:val="P68B1DB1-Normal66"/>
              <w:spacing w:after="200" w:line="276" w:lineRule="auto"/>
              <w:rPr>
                <w:noProof/>
              </w:rPr>
            </w:pPr>
            <w:r>
              <w:rPr>
                <w:noProof/>
              </w:rPr>
              <w:t>600 créateurs de documents utilisent le système d'information d'archives</w:t>
            </w:r>
          </w:p>
        </w:tc>
        <w:tc>
          <w:tcPr>
            <w:tcW w:w="2259" w:type="dxa"/>
            <w:tcBorders>
              <w:top w:val="single" w:sz="4" w:space="0" w:color="auto"/>
              <w:left w:val="nil"/>
              <w:bottom w:val="single" w:sz="4" w:space="0" w:color="auto"/>
              <w:right w:val="single" w:sz="4" w:space="0" w:color="auto"/>
            </w:tcBorders>
            <w:shd w:val="clear" w:color="auto" w:fill="C6EFCE"/>
            <w:noWrap/>
          </w:tcPr>
          <w:p w14:paraId="3DE3610E" w14:textId="77777777" w:rsidR="00553430" w:rsidRDefault="00212577">
            <w:pPr>
              <w:pStyle w:val="P68B1DB1-Normal66"/>
              <w:spacing w:after="200" w:line="276" w:lineRule="auto"/>
              <w:rPr>
                <w:noProof/>
              </w:rPr>
            </w:pPr>
            <w:r>
              <w:rPr>
                <w:noProof/>
              </w:rPr>
              <w:t xml:space="preserve"> </w:t>
            </w:r>
          </w:p>
        </w:tc>
        <w:tc>
          <w:tcPr>
            <w:tcW w:w="1138" w:type="dxa"/>
            <w:tcBorders>
              <w:top w:val="single" w:sz="4" w:space="0" w:color="auto"/>
              <w:left w:val="nil"/>
              <w:bottom w:val="single" w:sz="4" w:space="0" w:color="auto"/>
              <w:right w:val="single" w:sz="4" w:space="0" w:color="auto"/>
            </w:tcBorders>
            <w:shd w:val="clear" w:color="auto" w:fill="C6EFCE"/>
            <w:noWrap/>
          </w:tcPr>
          <w:p w14:paraId="570F2835" w14:textId="77777777" w:rsidR="00553430" w:rsidRDefault="00212577">
            <w:pPr>
              <w:pStyle w:val="P68B1DB1-Normal66"/>
              <w:spacing w:after="200" w:line="276" w:lineRule="auto"/>
              <w:jc w:val="center"/>
              <w:rPr>
                <w:noProof/>
              </w:rPr>
            </w:pPr>
            <w:r>
              <w:rPr>
                <w:noProof/>
              </w:rPr>
              <w:t>Numéro</w:t>
            </w:r>
          </w:p>
        </w:tc>
        <w:tc>
          <w:tcPr>
            <w:tcW w:w="1083" w:type="dxa"/>
            <w:tcBorders>
              <w:top w:val="single" w:sz="4" w:space="0" w:color="auto"/>
              <w:left w:val="nil"/>
              <w:bottom w:val="single" w:sz="4" w:space="0" w:color="auto"/>
              <w:right w:val="single" w:sz="4" w:space="0" w:color="auto"/>
            </w:tcBorders>
            <w:shd w:val="clear" w:color="auto" w:fill="C6EFCE"/>
            <w:noWrap/>
          </w:tcPr>
          <w:p w14:paraId="7B865616" w14:textId="77777777" w:rsidR="00553430" w:rsidRDefault="00212577">
            <w:pPr>
              <w:pStyle w:val="P68B1DB1-Normal66"/>
              <w:spacing w:after="200" w:line="276" w:lineRule="auto"/>
              <w:jc w:val="center"/>
              <w:rPr>
                <w:noProof/>
              </w:rPr>
            </w:pPr>
            <w:r>
              <w:rPr>
                <w:noProof/>
              </w:rPr>
              <w:t>0</w:t>
            </w:r>
          </w:p>
        </w:tc>
        <w:tc>
          <w:tcPr>
            <w:tcW w:w="993" w:type="dxa"/>
            <w:tcBorders>
              <w:top w:val="single" w:sz="4" w:space="0" w:color="auto"/>
              <w:left w:val="nil"/>
              <w:bottom w:val="single" w:sz="4" w:space="0" w:color="auto"/>
              <w:right w:val="single" w:sz="4" w:space="0" w:color="auto"/>
            </w:tcBorders>
            <w:shd w:val="clear" w:color="auto" w:fill="C6EFCE"/>
            <w:noWrap/>
          </w:tcPr>
          <w:p w14:paraId="6BA18C37" w14:textId="77777777" w:rsidR="00553430" w:rsidRDefault="00212577">
            <w:pPr>
              <w:pStyle w:val="P68B1DB1-Normal66"/>
              <w:spacing w:after="200" w:line="276" w:lineRule="auto"/>
              <w:jc w:val="center"/>
              <w:rPr>
                <w:noProof/>
              </w:rPr>
            </w:pPr>
            <w:r>
              <w:rPr>
                <w:noProof/>
              </w:rPr>
              <w:t>600</w:t>
            </w:r>
          </w:p>
        </w:tc>
        <w:tc>
          <w:tcPr>
            <w:tcW w:w="992" w:type="dxa"/>
            <w:tcBorders>
              <w:top w:val="single" w:sz="4" w:space="0" w:color="auto"/>
              <w:left w:val="nil"/>
              <w:bottom w:val="single" w:sz="4" w:space="0" w:color="auto"/>
              <w:right w:val="single" w:sz="4" w:space="0" w:color="auto"/>
            </w:tcBorders>
            <w:shd w:val="clear" w:color="auto" w:fill="C6EFCE"/>
            <w:noWrap/>
          </w:tcPr>
          <w:p w14:paraId="2F8D0E7F" w14:textId="77777777" w:rsidR="00553430" w:rsidRDefault="00212577">
            <w:pPr>
              <w:pStyle w:val="P68B1DB1-Normal66"/>
              <w:spacing w:after="200" w:line="276" w:lineRule="auto"/>
              <w:jc w:val="center"/>
              <w:rPr>
                <w:noProof/>
              </w:rPr>
            </w:pPr>
            <w:r>
              <w:rPr>
                <w:noProof/>
              </w:rPr>
              <w:t>T2</w:t>
            </w:r>
          </w:p>
        </w:tc>
        <w:tc>
          <w:tcPr>
            <w:tcW w:w="992" w:type="dxa"/>
            <w:tcBorders>
              <w:top w:val="single" w:sz="4" w:space="0" w:color="auto"/>
              <w:left w:val="nil"/>
              <w:bottom w:val="single" w:sz="4" w:space="0" w:color="auto"/>
              <w:right w:val="single" w:sz="4" w:space="0" w:color="auto"/>
            </w:tcBorders>
            <w:shd w:val="clear" w:color="auto" w:fill="C6EFCE"/>
            <w:noWrap/>
          </w:tcPr>
          <w:p w14:paraId="5171E2FF" w14:textId="77777777" w:rsidR="00553430" w:rsidRDefault="00212577">
            <w:pPr>
              <w:pStyle w:val="P68B1DB1-Normal66"/>
              <w:spacing w:after="200" w:line="276" w:lineRule="auto"/>
              <w:jc w:val="center"/>
              <w:rPr>
                <w:noProof/>
              </w:rPr>
            </w:pPr>
            <w:r>
              <w:rPr>
                <w:noProof/>
              </w:rPr>
              <w:t>2026</w:t>
            </w:r>
          </w:p>
        </w:tc>
        <w:tc>
          <w:tcPr>
            <w:tcW w:w="3458" w:type="dxa"/>
            <w:tcBorders>
              <w:top w:val="single" w:sz="4" w:space="0" w:color="auto"/>
              <w:left w:val="nil"/>
              <w:bottom w:val="single" w:sz="4" w:space="0" w:color="auto"/>
              <w:right w:val="single" w:sz="4" w:space="0" w:color="auto"/>
            </w:tcBorders>
            <w:shd w:val="clear" w:color="auto" w:fill="C6EFCE"/>
            <w:noWrap/>
          </w:tcPr>
          <w:p w14:paraId="191E27B5" w14:textId="77777777" w:rsidR="00553430" w:rsidRDefault="00212577">
            <w:pPr>
              <w:pStyle w:val="P68B1DB1-Normal66"/>
              <w:spacing w:after="200" w:line="276" w:lineRule="auto"/>
              <w:rPr>
                <w:noProof/>
              </w:rPr>
            </w:pPr>
            <w:r>
              <w:rPr>
                <w:noProof/>
              </w:rPr>
              <w:t>Au moins 600 créateurs utilisent le système d'information national pour gérer et stocker la documentation. .</w:t>
            </w:r>
          </w:p>
          <w:p w14:paraId="34E600C7" w14:textId="77777777" w:rsidR="00553430" w:rsidRDefault="00212577">
            <w:pPr>
              <w:pStyle w:val="P68B1DB1-Normal66"/>
              <w:spacing w:after="200" w:line="276" w:lineRule="auto"/>
              <w:rPr>
                <w:noProof/>
                <w:color w:val="000000" w:themeColor="text1"/>
              </w:rPr>
            </w:pPr>
            <w:r>
              <w:rPr>
                <w:noProof/>
              </w:rPr>
              <w:t xml:space="preserve">La mise en place du système national d'information sur les archives comprend les activités suivantes: </w:t>
            </w:r>
          </w:p>
          <w:p w14:paraId="76B8AAB5" w14:textId="77777777" w:rsidR="00553430" w:rsidRDefault="00212577">
            <w:pPr>
              <w:pStyle w:val="P68B1DB1-ListParagraph78"/>
              <w:numPr>
                <w:ilvl w:val="0"/>
                <w:numId w:val="58"/>
              </w:numPr>
              <w:spacing w:before="120" w:after="200" w:line="276" w:lineRule="auto"/>
              <w:rPr>
                <w:noProof/>
                <w:color w:val="000000" w:themeColor="text1"/>
              </w:rPr>
            </w:pPr>
            <w:r>
              <w:rPr>
                <w:noProof/>
              </w:rPr>
              <w:t xml:space="preserve">Renforcement de la capacité de stockage dans 8 archives gouvernementales régionales pour le transfert de documents papier permanents, </w:t>
            </w:r>
          </w:p>
          <w:p w14:paraId="2579C87C" w14:textId="1AEABF54" w:rsidR="00553430" w:rsidRDefault="00212577">
            <w:pPr>
              <w:pStyle w:val="P68B1DB1-ListParagraph78"/>
              <w:numPr>
                <w:ilvl w:val="0"/>
                <w:numId w:val="58"/>
              </w:numPr>
              <w:spacing w:before="120" w:after="200" w:line="276" w:lineRule="auto"/>
              <w:rPr>
                <w:noProof/>
                <w:color w:val="000000" w:themeColor="text1"/>
              </w:rPr>
            </w:pPr>
            <w:r>
              <w:rPr>
                <w:noProof/>
              </w:rPr>
              <w:t>Établir et sélecti</w:t>
            </w:r>
            <w:r>
              <w:rPr>
                <w:noProof/>
              </w:rPr>
              <w:t xml:space="preserve">onner des dossiers papier auprès des autorités judiciaires, </w:t>
            </w:r>
          </w:p>
          <w:p w14:paraId="4C0CF1B9" w14:textId="2779F337" w:rsidR="00553430" w:rsidRDefault="00212577">
            <w:pPr>
              <w:pStyle w:val="P68B1DB1-ListParagraph78"/>
              <w:numPr>
                <w:ilvl w:val="0"/>
                <w:numId w:val="58"/>
              </w:numPr>
              <w:spacing w:before="120" w:after="200" w:line="276" w:lineRule="auto"/>
              <w:rPr>
                <w:noProof/>
                <w:color w:val="000000" w:themeColor="text1"/>
              </w:rPr>
            </w:pPr>
            <w:r>
              <w:rPr>
                <w:noProof/>
              </w:rPr>
              <w:t xml:space="preserve">l'élimination des dossiers par les autorités judiciaires qui ont dépassé les délais de conservation et qui ne sont plus utilisés pour les processus opérationnels réguliers, </w:t>
            </w:r>
          </w:p>
          <w:p w14:paraId="27A21449" w14:textId="77777777" w:rsidR="00553430" w:rsidRDefault="00212577">
            <w:pPr>
              <w:pStyle w:val="P68B1DB1-ListParagraph78"/>
              <w:numPr>
                <w:ilvl w:val="0"/>
                <w:numId w:val="58"/>
              </w:numPr>
              <w:spacing w:before="120" w:after="200" w:line="276" w:lineRule="auto"/>
              <w:rPr>
                <w:noProof/>
                <w:color w:val="000000" w:themeColor="text1"/>
              </w:rPr>
            </w:pPr>
            <w:r>
              <w:rPr>
                <w:noProof/>
              </w:rPr>
              <w:t>La numérisation de ce</w:t>
            </w:r>
            <w:r>
              <w:rPr>
                <w:noProof/>
              </w:rPr>
              <w:t>rtains documents papier conservés par les autorités judiciaires conformément aux lignes directrices professionnelles pour la numérisation des archives et à la législation en vigueur.</w:t>
            </w:r>
          </w:p>
        </w:tc>
      </w:tr>
      <w:tr w:rsidR="00553430" w14:paraId="47FFF3F6" w14:textId="77777777" w:rsidTr="0019760D">
        <w:trPr>
          <w:trHeight w:val="28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98DA177" w14:textId="77777777" w:rsidR="00553430" w:rsidRDefault="00212577">
            <w:pPr>
              <w:pStyle w:val="P68B1DB1-Normal66"/>
              <w:spacing w:after="200" w:line="276" w:lineRule="auto"/>
              <w:jc w:val="center"/>
              <w:rPr>
                <w:noProof/>
              </w:rPr>
            </w:pPr>
            <w:r>
              <w:rPr>
                <w:noProof/>
              </w:rPr>
              <w:t>174</w:t>
            </w:r>
          </w:p>
        </w:tc>
        <w:tc>
          <w:tcPr>
            <w:tcW w:w="1098" w:type="dxa"/>
            <w:tcBorders>
              <w:top w:val="single" w:sz="4" w:space="0" w:color="auto"/>
              <w:left w:val="nil"/>
              <w:bottom w:val="single" w:sz="4" w:space="0" w:color="auto"/>
              <w:right w:val="single" w:sz="4" w:space="0" w:color="auto"/>
            </w:tcBorders>
            <w:shd w:val="clear" w:color="auto" w:fill="C6EFCE"/>
            <w:noWrap/>
          </w:tcPr>
          <w:p w14:paraId="39780C00" w14:textId="77777777" w:rsidR="00553430" w:rsidRDefault="00212577">
            <w:pPr>
              <w:pStyle w:val="P68B1DB1-Normal66"/>
              <w:spacing w:after="200" w:line="276" w:lineRule="auto"/>
              <w:jc w:val="center"/>
              <w:rPr>
                <w:noProof/>
              </w:rPr>
            </w:pPr>
            <w:r>
              <w:rPr>
                <w:noProof/>
              </w:rPr>
              <w:t>C2.2. R4</w:t>
            </w:r>
          </w:p>
        </w:tc>
        <w:tc>
          <w:tcPr>
            <w:tcW w:w="1046" w:type="dxa"/>
            <w:tcBorders>
              <w:top w:val="single" w:sz="4" w:space="0" w:color="auto"/>
              <w:left w:val="nil"/>
              <w:bottom w:val="single" w:sz="4" w:space="0" w:color="auto"/>
              <w:right w:val="single" w:sz="4" w:space="0" w:color="auto"/>
            </w:tcBorders>
            <w:shd w:val="clear" w:color="auto" w:fill="C6EFCE"/>
            <w:noWrap/>
          </w:tcPr>
          <w:p w14:paraId="4D713790" w14:textId="77777777" w:rsidR="00553430" w:rsidRDefault="00212577">
            <w:pPr>
              <w:pStyle w:val="P68B1DB1-Normal66"/>
              <w:spacing w:after="200" w:line="276" w:lineRule="auto"/>
              <w:jc w:val="center"/>
              <w:rPr>
                <w:noProof/>
              </w:rPr>
            </w:pPr>
            <w:r>
              <w:rPr>
                <w:noProof/>
              </w:rPr>
              <w:t>M</w:t>
            </w:r>
          </w:p>
        </w:tc>
        <w:tc>
          <w:tcPr>
            <w:tcW w:w="1400" w:type="dxa"/>
            <w:tcBorders>
              <w:top w:val="single" w:sz="4" w:space="0" w:color="auto"/>
              <w:left w:val="nil"/>
              <w:bottom w:val="single" w:sz="4" w:space="0" w:color="auto"/>
              <w:right w:val="single" w:sz="4" w:space="0" w:color="auto"/>
            </w:tcBorders>
            <w:shd w:val="clear" w:color="auto" w:fill="C6EFCE"/>
            <w:noWrap/>
          </w:tcPr>
          <w:p w14:paraId="0B6D67CE" w14:textId="77777777" w:rsidR="00553430" w:rsidRDefault="00212577">
            <w:pPr>
              <w:pStyle w:val="P68B1DB1-Normal66"/>
              <w:spacing w:after="200" w:line="276" w:lineRule="auto"/>
              <w:rPr>
                <w:noProof/>
              </w:rPr>
            </w:pPr>
            <w:r>
              <w:rPr>
                <w:noProof/>
              </w:rPr>
              <w:t>Modification des cadres législatifs visant à encourager la fusion volontaire fonctionnelle ou effective des collectivités locales et adoption d’une décision du gouvernement croate sur les critères d’octroi d’incitations fiscales pour les fusions volontaire</w:t>
            </w:r>
            <w:r>
              <w:rPr>
                <w:noProof/>
              </w:rPr>
              <w:t>s fonctionnelles ou réelles</w:t>
            </w:r>
          </w:p>
        </w:tc>
        <w:tc>
          <w:tcPr>
            <w:tcW w:w="2259" w:type="dxa"/>
            <w:tcBorders>
              <w:top w:val="single" w:sz="4" w:space="0" w:color="auto"/>
              <w:left w:val="nil"/>
              <w:bottom w:val="single" w:sz="4" w:space="0" w:color="auto"/>
              <w:right w:val="single" w:sz="4" w:space="0" w:color="auto"/>
            </w:tcBorders>
            <w:shd w:val="clear" w:color="auto" w:fill="C6EFCE"/>
            <w:noWrap/>
          </w:tcPr>
          <w:p w14:paraId="7F34112A" w14:textId="62110D64" w:rsidR="00553430" w:rsidRDefault="00212577">
            <w:pPr>
              <w:pStyle w:val="P68B1DB1-Normal66"/>
              <w:spacing w:after="200" w:line="276" w:lineRule="auto"/>
              <w:rPr>
                <w:noProof/>
              </w:rPr>
            </w:pPr>
            <w:r>
              <w:rPr>
                <w:noProof/>
              </w:rPr>
              <w:t xml:space="preserve">Entrée en vigueur du cadre législatif </w:t>
            </w:r>
          </w:p>
        </w:tc>
        <w:tc>
          <w:tcPr>
            <w:tcW w:w="1138" w:type="dxa"/>
            <w:tcBorders>
              <w:top w:val="single" w:sz="4" w:space="0" w:color="auto"/>
              <w:left w:val="nil"/>
              <w:bottom w:val="single" w:sz="4" w:space="0" w:color="auto"/>
              <w:right w:val="single" w:sz="4" w:space="0" w:color="auto"/>
            </w:tcBorders>
            <w:shd w:val="clear" w:color="auto" w:fill="C6EFCE"/>
            <w:noWrap/>
          </w:tcPr>
          <w:p w14:paraId="0B837577" w14:textId="77777777" w:rsidR="00553430" w:rsidRDefault="00212577">
            <w:pPr>
              <w:pStyle w:val="P68B1DB1-Normal66"/>
              <w:spacing w:after="200" w:line="276" w:lineRule="auto"/>
              <w:jc w:val="center"/>
              <w:rPr>
                <w:noProof/>
              </w:rPr>
            </w:pPr>
            <w:r>
              <w:rPr>
                <w:noProof/>
              </w:rPr>
              <w:t> </w:t>
            </w:r>
          </w:p>
        </w:tc>
        <w:tc>
          <w:tcPr>
            <w:tcW w:w="1083" w:type="dxa"/>
            <w:tcBorders>
              <w:top w:val="single" w:sz="4" w:space="0" w:color="auto"/>
              <w:left w:val="nil"/>
              <w:bottom w:val="single" w:sz="4" w:space="0" w:color="auto"/>
              <w:right w:val="single" w:sz="4" w:space="0" w:color="auto"/>
            </w:tcBorders>
            <w:shd w:val="clear" w:color="auto" w:fill="C6EFCE"/>
            <w:noWrap/>
          </w:tcPr>
          <w:p w14:paraId="4D3E1DC9" w14:textId="77777777" w:rsidR="00553430" w:rsidRDefault="00212577">
            <w:pPr>
              <w:pStyle w:val="P68B1DB1-Normal66"/>
              <w:spacing w:after="200" w:line="276" w:lineRule="auto"/>
              <w:jc w:val="center"/>
              <w:rPr>
                <w:noProof/>
              </w:rPr>
            </w:pPr>
            <w:r>
              <w:rPr>
                <w:noProof/>
              </w:rPr>
              <w:t> </w:t>
            </w:r>
          </w:p>
        </w:tc>
        <w:tc>
          <w:tcPr>
            <w:tcW w:w="993" w:type="dxa"/>
            <w:tcBorders>
              <w:top w:val="single" w:sz="4" w:space="0" w:color="auto"/>
              <w:left w:val="nil"/>
              <w:bottom w:val="single" w:sz="4" w:space="0" w:color="auto"/>
              <w:right w:val="single" w:sz="4" w:space="0" w:color="auto"/>
            </w:tcBorders>
            <w:shd w:val="clear" w:color="auto" w:fill="C6EFCE"/>
            <w:noWrap/>
          </w:tcPr>
          <w:p w14:paraId="630993C4" w14:textId="77777777" w:rsidR="00553430" w:rsidRDefault="00212577">
            <w:pPr>
              <w:pStyle w:val="P68B1DB1-Normal66"/>
              <w:spacing w:after="200" w:line="276" w:lineRule="auto"/>
              <w:jc w:val="center"/>
              <w:rPr>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0176A7B0" w14:textId="77777777" w:rsidR="00553430" w:rsidRDefault="00212577">
            <w:pPr>
              <w:pStyle w:val="P68B1DB1-Normal66"/>
              <w:spacing w:after="200" w:line="276" w:lineRule="auto"/>
              <w:jc w:val="center"/>
              <w:rPr>
                <w:noProof/>
              </w:rPr>
            </w:pPr>
            <w:r>
              <w:rPr>
                <w:noProof/>
              </w:rPr>
              <w:t>T1</w:t>
            </w:r>
          </w:p>
        </w:tc>
        <w:tc>
          <w:tcPr>
            <w:tcW w:w="992" w:type="dxa"/>
            <w:tcBorders>
              <w:top w:val="single" w:sz="4" w:space="0" w:color="auto"/>
              <w:left w:val="nil"/>
              <w:bottom w:val="single" w:sz="4" w:space="0" w:color="auto"/>
              <w:right w:val="single" w:sz="4" w:space="0" w:color="auto"/>
            </w:tcBorders>
            <w:shd w:val="clear" w:color="auto" w:fill="C6EFCE"/>
            <w:noWrap/>
          </w:tcPr>
          <w:p w14:paraId="400BCA7A" w14:textId="77777777" w:rsidR="00553430" w:rsidRDefault="00212577">
            <w:pPr>
              <w:pStyle w:val="P68B1DB1-Normal66"/>
              <w:spacing w:after="200" w:line="276" w:lineRule="auto"/>
              <w:jc w:val="center"/>
              <w:rPr>
                <w:noProof/>
              </w:rPr>
            </w:pPr>
            <w:r>
              <w:rPr>
                <w:noProof/>
              </w:rPr>
              <w:t>2022</w:t>
            </w:r>
          </w:p>
        </w:tc>
        <w:tc>
          <w:tcPr>
            <w:tcW w:w="3458" w:type="dxa"/>
            <w:tcBorders>
              <w:top w:val="single" w:sz="4" w:space="0" w:color="auto"/>
              <w:left w:val="nil"/>
              <w:bottom w:val="single" w:sz="4" w:space="0" w:color="auto"/>
              <w:right w:val="single" w:sz="4" w:space="0" w:color="auto"/>
            </w:tcBorders>
            <w:shd w:val="clear" w:color="auto" w:fill="C6EFCE"/>
            <w:noWrap/>
          </w:tcPr>
          <w:p w14:paraId="1F63855D" w14:textId="77777777" w:rsidR="00553430" w:rsidRDefault="00212577">
            <w:pPr>
              <w:pStyle w:val="P68B1DB1-Normal66"/>
              <w:spacing w:after="200" w:line="276" w:lineRule="auto"/>
              <w:rPr>
                <w:noProof/>
              </w:rPr>
            </w:pPr>
            <w:r>
              <w:rPr>
                <w:noProof/>
              </w:rPr>
              <w:t>Le cadre législatif modifié et le mécanisme de soutien financier encouragent une fusion fonctionnelle et efficace des collectivités locales, tout en garantissant des ressource</w:t>
            </w:r>
            <w:r>
              <w:rPr>
                <w:noProof/>
              </w:rPr>
              <w:t>s suffisantes dans le budget de l’État pour encourager financièrement la fusion effective d’au moins 20 % des collectivités locales, soit un minimum de 40 % des collectivités locales au cours de la période allant jusqu’en 2026. Ce faisant, les UGL fusionné</w:t>
            </w:r>
            <w:r>
              <w:rPr>
                <w:noProof/>
              </w:rPr>
              <w:t>es sur le plan fonctionnel conservent les mêmes ressources budgétaires dont elles disposaient avant la fusion, pendant une période minimale de deux ans, les incitations couvrent également les coûts de mélange ponctuels et fournissent des ressources supplém</w:t>
            </w:r>
            <w:r>
              <w:rPr>
                <w:noProof/>
              </w:rPr>
              <w:t>entaires sur la base des économies réalisées au cours des cinq prochaines années. En outre, les incitations aux fusions réelles d'UGL comprennent des transferts de capitaux ponctuels sur cinq ans à utiliser par l'UGL consacrée aux projets d'infrastructure.</w:t>
            </w:r>
            <w:r>
              <w:rPr>
                <w:noProof/>
              </w:rPr>
              <w:t xml:space="preserve"> La décision du gouvernement croate fixe les critères et le niveau des incitations, avec des incitations fiscales plus importantes pour les fusions réelles, tandis que les incitations aux fusions fonctionnelles dépendent du nombre et du type de fonctions e</w:t>
            </w:r>
            <w:r>
              <w:rPr>
                <w:noProof/>
              </w:rPr>
              <w:t>nvisagées pour la fusion. À la suite de l’adoption de la décision du gouvernement de la République de Croatie, une invitation publique à manifester leur intérêt pour la fusion fonctionnelle volontaire ou effective est publiée au journal officiel.</w:t>
            </w:r>
          </w:p>
        </w:tc>
      </w:tr>
      <w:tr w:rsidR="00553430" w14:paraId="47B8C28A" w14:textId="77777777" w:rsidTr="0019760D">
        <w:trPr>
          <w:trHeight w:val="28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13F0087" w14:textId="77777777" w:rsidR="00553430" w:rsidRDefault="00212577">
            <w:pPr>
              <w:pStyle w:val="P68B1DB1-Normal66"/>
              <w:spacing w:after="200" w:line="276" w:lineRule="auto"/>
              <w:jc w:val="center"/>
              <w:rPr>
                <w:noProof/>
              </w:rPr>
            </w:pPr>
            <w:r>
              <w:rPr>
                <w:noProof/>
              </w:rPr>
              <w:t>175</w:t>
            </w:r>
          </w:p>
        </w:tc>
        <w:tc>
          <w:tcPr>
            <w:tcW w:w="1098" w:type="dxa"/>
            <w:tcBorders>
              <w:top w:val="single" w:sz="4" w:space="0" w:color="auto"/>
              <w:left w:val="nil"/>
              <w:bottom w:val="single" w:sz="4" w:space="0" w:color="auto"/>
              <w:right w:val="single" w:sz="4" w:space="0" w:color="auto"/>
            </w:tcBorders>
            <w:shd w:val="clear" w:color="auto" w:fill="C6EFCE"/>
            <w:noWrap/>
          </w:tcPr>
          <w:p w14:paraId="290424EB" w14:textId="77777777" w:rsidR="00553430" w:rsidRDefault="00212577">
            <w:pPr>
              <w:pStyle w:val="P68B1DB1-Normal66"/>
              <w:spacing w:after="200" w:line="276" w:lineRule="auto"/>
              <w:jc w:val="center"/>
              <w:rPr>
                <w:noProof/>
              </w:rPr>
            </w:pPr>
            <w:r>
              <w:rPr>
                <w:noProof/>
              </w:rPr>
              <w:t>C2.2. R4-I1</w:t>
            </w:r>
          </w:p>
        </w:tc>
        <w:tc>
          <w:tcPr>
            <w:tcW w:w="1046" w:type="dxa"/>
            <w:tcBorders>
              <w:top w:val="single" w:sz="4" w:space="0" w:color="auto"/>
              <w:left w:val="nil"/>
              <w:bottom w:val="single" w:sz="4" w:space="0" w:color="auto"/>
              <w:right w:val="single" w:sz="4" w:space="0" w:color="auto"/>
            </w:tcBorders>
            <w:shd w:val="clear" w:color="auto" w:fill="C6EFCE"/>
            <w:noWrap/>
          </w:tcPr>
          <w:p w14:paraId="1F09181A" w14:textId="77777777" w:rsidR="00553430" w:rsidRDefault="00212577">
            <w:pPr>
              <w:pStyle w:val="P68B1DB1-Normal66"/>
              <w:spacing w:after="200" w:line="276" w:lineRule="auto"/>
              <w:jc w:val="center"/>
              <w:rPr>
                <w:noProof/>
              </w:rPr>
            </w:pPr>
            <w:r>
              <w:rPr>
                <w:noProof/>
              </w:rPr>
              <w:t>M</w:t>
            </w:r>
          </w:p>
        </w:tc>
        <w:tc>
          <w:tcPr>
            <w:tcW w:w="1400" w:type="dxa"/>
            <w:tcBorders>
              <w:top w:val="single" w:sz="4" w:space="0" w:color="auto"/>
              <w:left w:val="nil"/>
              <w:bottom w:val="single" w:sz="4" w:space="0" w:color="auto"/>
              <w:right w:val="single" w:sz="4" w:space="0" w:color="auto"/>
            </w:tcBorders>
            <w:shd w:val="clear" w:color="auto" w:fill="C6EFCE"/>
            <w:noWrap/>
          </w:tcPr>
          <w:p w14:paraId="3AEE50EC" w14:textId="77777777" w:rsidR="00553430" w:rsidRDefault="00212577">
            <w:pPr>
              <w:pStyle w:val="P68B1DB1-Normal66"/>
              <w:spacing w:after="200" w:line="276" w:lineRule="auto"/>
              <w:rPr>
                <w:noProof/>
              </w:rPr>
            </w:pPr>
            <w:r>
              <w:rPr>
                <w:noProof/>
              </w:rPr>
              <w:t>Mécanisme de soutien pour les connexions fonctionnelles et réelles volontaires et mise en place d'un système de soutien complet pour le couplage fonctionnel et efficace des unités</w:t>
            </w:r>
          </w:p>
        </w:tc>
        <w:tc>
          <w:tcPr>
            <w:tcW w:w="2259" w:type="dxa"/>
            <w:tcBorders>
              <w:top w:val="single" w:sz="4" w:space="0" w:color="auto"/>
              <w:left w:val="nil"/>
              <w:bottom w:val="single" w:sz="4" w:space="0" w:color="auto"/>
              <w:right w:val="single" w:sz="4" w:space="0" w:color="auto"/>
            </w:tcBorders>
            <w:shd w:val="clear" w:color="auto" w:fill="C6EFCE"/>
            <w:noWrap/>
          </w:tcPr>
          <w:p w14:paraId="63A33F68" w14:textId="5F045563" w:rsidR="00553430" w:rsidRDefault="00212577">
            <w:pPr>
              <w:pStyle w:val="P68B1DB1-Normal66"/>
              <w:spacing w:after="200" w:line="276" w:lineRule="auto"/>
              <w:rPr>
                <w:noProof/>
              </w:rPr>
            </w:pPr>
            <w:r>
              <w:rPr>
                <w:noProof/>
              </w:rPr>
              <w:t xml:space="preserve">Un mécanisme d'appui global est en place pour les fusions fonctionnelles/réelles d'unités d'administration locale. </w:t>
            </w:r>
          </w:p>
        </w:tc>
        <w:tc>
          <w:tcPr>
            <w:tcW w:w="1138" w:type="dxa"/>
            <w:tcBorders>
              <w:top w:val="single" w:sz="4" w:space="0" w:color="auto"/>
              <w:left w:val="nil"/>
              <w:bottom w:val="single" w:sz="4" w:space="0" w:color="auto"/>
              <w:right w:val="single" w:sz="4" w:space="0" w:color="auto"/>
            </w:tcBorders>
            <w:shd w:val="clear" w:color="auto" w:fill="C6EFCE"/>
            <w:noWrap/>
          </w:tcPr>
          <w:p w14:paraId="08C4522D" w14:textId="77777777" w:rsidR="00553430" w:rsidRDefault="00212577">
            <w:pPr>
              <w:pStyle w:val="P68B1DB1-Normal66"/>
              <w:spacing w:after="200" w:line="276" w:lineRule="auto"/>
              <w:jc w:val="center"/>
              <w:rPr>
                <w:noProof/>
              </w:rPr>
            </w:pPr>
            <w:r>
              <w:rPr>
                <w:noProof/>
              </w:rPr>
              <w:t> </w:t>
            </w:r>
          </w:p>
        </w:tc>
        <w:tc>
          <w:tcPr>
            <w:tcW w:w="1083" w:type="dxa"/>
            <w:tcBorders>
              <w:top w:val="single" w:sz="4" w:space="0" w:color="auto"/>
              <w:left w:val="nil"/>
              <w:bottom w:val="single" w:sz="4" w:space="0" w:color="auto"/>
              <w:right w:val="single" w:sz="4" w:space="0" w:color="auto"/>
            </w:tcBorders>
            <w:shd w:val="clear" w:color="auto" w:fill="C6EFCE"/>
            <w:noWrap/>
          </w:tcPr>
          <w:p w14:paraId="6E913035" w14:textId="77777777" w:rsidR="00553430" w:rsidRDefault="00212577">
            <w:pPr>
              <w:pStyle w:val="P68B1DB1-Normal66"/>
              <w:spacing w:after="200" w:line="276" w:lineRule="auto"/>
              <w:jc w:val="center"/>
              <w:rPr>
                <w:noProof/>
              </w:rPr>
            </w:pPr>
            <w:r>
              <w:rPr>
                <w:noProof/>
              </w:rPr>
              <w:t> </w:t>
            </w:r>
          </w:p>
        </w:tc>
        <w:tc>
          <w:tcPr>
            <w:tcW w:w="993" w:type="dxa"/>
            <w:tcBorders>
              <w:top w:val="single" w:sz="4" w:space="0" w:color="auto"/>
              <w:left w:val="nil"/>
              <w:bottom w:val="single" w:sz="4" w:space="0" w:color="auto"/>
              <w:right w:val="single" w:sz="4" w:space="0" w:color="auto"/>
            </w:tcBorders>
            <w:shd w:val="clear" w:color="auto" w:fill="C6EFCE"/>
            <w:noWrap/>
          </w:tcPr>
          <w:p w14:paraId="52F3535E" w14:textId="77777777" w:rsidR="00553430" w:rsidRDefault="00212577">
            <w:pPr>
              <w:pStyle w:val="P68B1DB1-Normal66"/>
              <w:spacing w:after="200" w:line="276" w:lineRule="auto"/>
              <w:jc w:val="center"/>
              <w:rPr>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5BD22F90" w14:textId="77777777" w:rsidR="00553430" w:rsidRDefault="00212577">
            <w:pPr>
              <w:pStyle w:val="P68B1DB1-Normal66"/>
              <w:spacing w:after="200" w:line="276" w:lineRule="auto"/>
              <w:jc w:val="center"/>
              <w:rPr>
                <w:noProof/>
              </w:rPr>
            </w:pPr>
            <w:r>
              <w:rPr>
                <w:noProof/>
              </w:rPr>
              <w:t>T2</w:t>
            </w:r>
          </w:p>
        </w:tc>
        <w:tc>
          <w:tcPr>
            <w:tcW w:w="992" w:type="dxa"/>
            <w:tcBorders>
              <w:top w:val="single" w:sz="4" w:space="0" w:color="auto"/>
              <w:left w:val="nil"/>
              <w:bottom w:val="single" w:sz="4" w:space="0" w:color="auto"/>
              <w:right w:val="single" w:sz="4" w:space="0" w:color="auto"/>
            </w:tcBorders>
            <w:shd w:val="clear" w:color="auto" w:fill="C6EFCE"/>
            <w:noWrap/>
          </w:tcPr>
          <w:p w14:paraId="29778F2A" w14:textId="77777777" w:rsidR="00553430" w:rsidRDefault="00212577">
            <w:pPr>
              <w:pStyle w:val="P68B1DB1-Normal66"/>
              <w:spacing w:after="200" w:line="276" w:lineRule="auto"/>
              <w:jc w:val="center"/>
              <w:rPr>
                <w:noProof/>
              </w:rPr>
            </w:pPr>
            <w:r>
              <w:rPr>
                <w:noProof/>
              </w:rPr>
              <w:t>2025</w:t>
            </w:r>
          </w:p>
        </w:tc>
        <w:tc>
          <w:tcPr>
            <w:tcW w:w="3458" w:type="dxa"/>
            <w:tcBorders>
              <w:top w:val="single" w:sz="4" w:space="0" w:color="auto"/>
              <w:left w:val="nil"/>
              <w:bottom w:val="single" w:sz="4" w:space="0" w:color="auto"/>
              <w:right w:val="single" w:sz="4" w:space="0" w:color="auto"/>
            </w:tcBorders>
            <w:shd w:val="clear" w:color="auto" w:fill="C6EFCE"/>
            <w:noWrap/>
          </w:tcPr>
          <w:p w14:paraId="6ABC0EA7" w14:textId="77777777" w:rsidR="00553430" w:rsidRDefault="00212577">
            <w:pPr>
              <w:pStyle w:val="P68B1DB1-Normal66"/>
              <w:spacing w:after="200" w:line="276" w:lineRule="auto"/>
              <w:rPr>
                <w:noProof/>
                <w:color w:val="000000" w:themeColor="text1"/>
              </w:rPr>
            </w:pPr>
            <w:r>
              <w:rPr>
                <w:noProof/>
              </w:rPr>
              <w:t>Un système informatique développé dans le cadre du projet du Fonds social européen «Optimisation du système d'autonomie locale</w:t>
            </w:r>
            <w:r>
              <w:rPr>
                <w:noProof/>
              </w:rPr>
              <w:t xml:space="preserve"> et régionale» est mis à niveau afin de soutenir et d'encourager les unités gouvernementales locales à exécuter conjointement des tâches (fusion fonctionnelle) ou à fusionner effectivement avec d'autres unités autonomes locales, .</w:t>
            </w:r>
          </w:p>
          <w:p w14:paraId="4B8B190C" w14:textId="77777777" w:rsidR="00553430" w:rsidRDefault="00212577">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Le soutien à la poursuite</w:t>
            </w:r>
            <w:r>
              <w:rPr>
                <w:rFonts w:ascii="Times New Roman" w:eastAsia="Calibri" w:hAnsi="Times New Roman" w:cs="Times New Roman"/>
                <w:noProof/>
                <w:color w:val="000000" w:themeColor="text1"/>
              </w:rPr>
              <w:t xml:space="preserve"> du processus d’optimisation fonctionnelle des emplois dans le cadre des compétences des unités locales comprend:</w:t>
            </w:r>
            <w:r>
              <w:rPr>
                <w:rFonts w:ascii="Times New Roman" w:hAnsi="Times New Roman" w:cs="Times New Roman"/>
                <w:noProof/>
              </w:rPr>
              <w:br/>
            </w:r>
            <w:r>
              <w:rPr>
                <w:rFonts w:ascii="Times New Roman" w:eastAsia="Calibri" w:hAnsi="Times New Roman" w:cs="Times New Roman"/>
                <w:noProof/>
                <w:color w:val="000000" w:themeColor="text1"/>
              </w:rPr>
              <w:t>- questionnaire (d'auto-)évaluation élaboré et rempli par les collectivités locales afin d'évaluer la capacité des collectivités à exécuter le</w:t>
            </w:r>
            <w:r>
              <w:rPr>
                <w:rFonts w:ascii="Times New Roman" w:eastAsia="Calibri" w:hAnsi="Times New Roman" w:cs="Times New Roman"/>
                <w:noProof/>
                <w:color w:val="000000" w:themeColor="text1"/>
              </w:rPr>
              <w:t>s tâches relevant de leur champ d'application et de démontrer la nécessité et l'intérêt de l'exécution conjointe des tâches, c'est-à-dire de la fusion proprement dite, dans toutes les collectivités locales;</w:t>
            </w:r>
          </w:p>
          <w:p w14:paraId="324CCF48" w14:textId="77777777" w:rsidR="00553430" w:rsidRDefault="00212577">
            <w:pPr>
              <w:pStyle w:val="P68B1DB1-Normal59"/>
              <w:spacing w:after="200" w:line="276" w:lineRule="auto"/>
              <w:rPr>
                <w:rFonts w:ascii="Times New Roman" w:eastAsia="Calibri" w:hAnsi="Times New Roman" w:cs="Times New Roman"/>
                <w:noProof/>
              </w:rPr>
            </w:pPr>
            <w:r>
              <w:rPr>
                <w:rFonts w:ascii="Times New Roman" w:hAnsi="Times New Roman" w:cs="Times New Roman"/>
                <w:noProof/>
                <w:color w:val="000000" w:themeColor="text1"/>
              </w:rPr>
              <w:t xml:space="preserve">- Lignes directrices qui seront élaborées sur la </w:t>
            </w:r>
            <w:r>
              <w:rPr>
                <w:rFonts w:ascii="Times New Roman" w:hAnsi="Times New Roman" w:cs="Times New Roman"/>
                <w:noProof/>
                <w:color w:val="000000" w:themeColor="text1"/>
              </w:rPr>
              <w:t xml:space="preserve">base des données susmentionnées. </w:t>
            </w:r>
            <w:r>
              <w:rPr>
                <w:rFonts w:ascii="Times New Roman" w:hAnsi="Times New Roman" w:cs="Times New Roman"/>
                <w:noProof/>
              </w:rPr>
              <w:br/>
            </w:r>
            <w:r>
              <w:rPr>
                <w:rFonts w:ascii="Times New Roman" w:eastAsia="Calibri" w:hAnsi="Times New Roman" w:cs="Times New Roman"/>
                <w:noProof/>
                <w:color w:val="000000" w:themeColor="text1"/>
              </w:rPr>
              <w:t>- Identification des opérations convenant aux performances conjointes entre unités individuelles pour améliorer l'efficacité, identification des partenaires potentiels pour les fusions finctionnelles et réelles, modèles pr</w:t>
            </w:r>
            <w:r>
              <w:rPr>
                <w:rFonts w:ascii="Times New Roman" w:eastAsia="Calibri" w:hAnsi="Times New Roman" w:cs="Times New Roman"/>
                <w:noProof/>
                <w:color w:val="000000" w:themeColor="text1"/>
              </w:rPr>
              <w:t>oposés pour les fusions.</w:t>
            </w:r>
            <w:r>
              <w:rPr>
                <w:rFonts w:ascii="Times New Roman" w:hAnsi="Times New Roman" w:cs="Times New Roman"/>
                <w:noProof/>
              </w:rPr>
              <w:br/>
            </w:r>
            <w:r>
              <w:rPr>
                <w:rFonts w:ascii="Times New Roman" w:eastAsia="Calibri" w:hAnsi="Times New Roman" w:cs="Times New Roman"/>
                <w:noProof/>
                <w:color w:val="000000" w:themeColor="text1"/>
              </w:rPr>
              <w:t xml:space="preserve">- Mise en place d'un système de support informatique pour relier fonctionnellement les tâches des collectivités locales </w:t>
            </w:r>
            <w:r>
              <w:rPr>
                <w:rFonts w:ascii="Times New Roman" w:hAnsi="Times New Roman" w:cs="Times New Roman"/>
                <w:noProof/>
              </w:rPr>
              <w:br/>
              <w:t xml:space="preserve"> </w:t>
            </w:r>
            <w:r>
              <w:rPr>
                <w:rFonts w:ascii="Times New Roman" w:eastAsia="Calibri" w:hAnsi="Times New Roman" w:cs="Times New Roman"/>
                <w:noProof/>
                <w:color w:val="000000" w:themeColor="text1"/>
              </w:rPr>
              <w:t>Éducation de 50 fonctionnaires de l'administration de l'État pour soutenir les unités de l'administration loc</w:t>
            </w:r>
            <w:r>
              <w:rPr>
                <w:rFonts w:ascii="Times New Roman" w:eastAsia="Calibri" w:hAnsi="Times New Roman" w:cs="Times New Roman"/>
                <w:noProof/>
                <w:color w:val="000000" w:themeColor="text1"/>
              </w:rPr>
              <w:t>ale en termes de connexions fonctionnelles et les fusions réelles sont achevées.</w:t>
            </w:r>
            <w:r>
              <w:rPr>
                <w:rFonts w:ascii="Times New Roman" w:hAnsi="Times New Roman" w:cs="Times New Roman"/>
                <w:noProof/>
              </w:rPr>
              <w:br/>
            </w:r>
            <w:r>
              <w:rPr>
                <w:rFonts w:ascii="Times New Roman" w:eastAsia="Calibri" w:hAnsi="Times New Roman" w:cs="Times New Roman"/>
                <w:noProof/>
                <w:color w:val="000000" w:themeColor="text1"/>
              </w:rPr>
              <w:t>Formation de 100 fonctionnaires des collectivités locales à l'exécution de tâches conjointes dans le cadre d'un lien fonctionnel achevé.</w:t>
            </w:r>
          </w:p>
        </w:tc>
      </w:tr>
    </w:tbl>
    <w:p w14:paraId="160C099E" w14:textId="77777777" w:rsidR="00553430" w:rsidRDefault="00553430">
      <w:pPr>
        <w:rPr>
          <w:noProof/>
        </w:rPr>
        <w:sectPr w:rsidR="00553430" w:rsidSect="00FA29B2">
          <w:headerReference w:type="even" r:id="rId153"/>
          <w:headerReference w:type="default" r:id="rId154"/>
          <w:footerReference w:type="even" r:id="rId155"/>
          <w:footerReference w:type="default" r:id="rId156"/>
          <w:headerReference w:type="first" r:id="rId157"/>
          <w:footerReference w:type="first" r:id="rId158"/>
          <w:pgSz w:w="16839" w:h="11907" w:orient="landscape"/>
          <w:pgMar w:top="1134" w:right="1134" w:bottom="1134" w:left="1134" w:header="567" w:footer="567" w:gutter="0"/>
          <w:cols w:space="708"/>
          <w:docGrid w:linePitch="360"/>
        </w:sectPr>
      </w:pPr>
    </w:p>
    <w:p w14:paraId="66D9B1F0" w14:textId="49B7D0DC" w:rsidR="00553430" w:rsidRDefault="00212577">
      <w:pPr>
        <w:pStyle w:val="paragraph"/>
        <w:spacing w:before="0" w:beforeAutospacing="0" w:after="0" w:afterAutospacing="0"/>
        <w:ind w:left="840"/>
        <w:jc w:val="both"/>
        <w:textAlignment w:val="baseline"/>
        <w:rPr>
          <w:rStyle w:val="eop"/>
          <w:noProof/>
          <w:szCs w:val="24"/>
          <w:u w:val="single"/>
        </w:rPr>
      </w:pPr>
      <w:r>
        <w:rPr>
          <w:rStyle w:val="normaltextrun"/>
          <w:b/>
          <w:noProof/>
          <w:szCs w:val="24"/>
          <w:u w:val="single"/>
        </w:rPr>
        <w:t xml:space="preserve">H.3. </w:t>
      </w:r>
      <w:r>
        <w:rPr>
          <w:noProof/>
          <w:szCs w:val="24"/>
          <w:u w:val="single"/>
        </w:rPr>
        <w:t xml:space="preserve"> </w:t>
      </w:r>
      <w:r>
        <w:rPr>
          <w:rStyle w:val="normaltextrun"/>
          <w:b/>
          <w:noProof/>
          <w:szCs w:val="24"/>
          <w:u w:val="single"/>
        </w:rPr>
        <w:t xml:space="preserve">Description des réformes et des investissements pour le prêt </w:t>
      </w:r>
    </w:p>
    <w:p w14:paraId="488C1F3A" w14:textId="77777777" w:rsidR="00553430" w:rsidRDefault="00553430">
      <w:pPr>
        <w:pStyle w:val="paragraph"/>
        <w:spacing w:before="0" w:beforeAutospacing="0" w:after="0" w:afterAutospacing="0"/>
        <w:ind w:left="840"/>
        <w:jc w:val="both"/>
        <w:textAlignment w:val="baseline"/>
        <w:rPr>
          <w:noProof/>
          <w:szCs w:val="24"/>
        </w:rPr>
      </w:pPr>
    </w:p>
    <w:p w14:paraId="4296C225" w14:textId="0DA8E829" w:rsidR="00553430" w:rsidRDefault="00212577">
      <w:pPr>
        <w:pStyle w:val="P68B1DB1-Normal96"/>
        <w:keepNext/>
        <w:spacing w:line="240" w:lineRule="auto"/>
        <w:ind w:left="851"/>
        <w:jc w:val="both"/>
        <w:outlineLvl w:val="2"/>
        <w:rPr>
          <w:i/>
          <w:iCs/>
          <w:noProof/>
        </w:rPr>
      </w:pPr>
      <w:r>
        <w:rPr>
          <w:noProof/>
        </w:rPr>
        <w:t xml:space="preserve">Réforme C2.2 R5 – Nouveaux modèles de rémunération et de travail dans la fonction publique – relèvement de l’ambition de la réforme en prévoyant des exigences spécifiques supplémentaires concernant le contenu des statuts </w:t>
      </w:r>
    </w:p>
    <w:p w14:paraId="2CA2E99F" w14:textId="77777777" w:rsidR="00553430" w:rsidRDefault="00212577">
      <w:pPr>
        <w:pStyle w:val="P68B1DB1-Normal46"/>
        <w:spacing w:line="240" w:lineRule="auto"/>
        <w:jc w:val="both"/>
        <w:rPr>
          <w:rFonts w:eastAsia="Calibri"/>
          <w:noProof/>
        </w:rPr>
      </w:pPr>
      <w:r>
        <w:rPr>
          <w:noProof/>
        </w:rPr>
        <w:t>Cette réforme vise à relever l'amb</w:t>
      </w:r>
      <w:r>
        <w:rPr>
          <w:noProof/>
        </w:rPr>
        <w:t>ition de la mise en œuvre de la réforme R2 Nouveaux modèles de rémunération et de travail dans la fonction publique et la fonction publique, en ajoutant des exigences spécifiques sur le contenu des règlements accompagnant la loi sur les salaires dans la fo</w:t>
      </w:r>
      <w:r>
        <w:rPr>
          <w:noProof/>
        </w:rPr>
        <w:t>nction publique et la fonction publique adoptée en vertu de la R2.</w:t>
      </w:r>
    </w:p>
    <w:p w14:paraId="00E94CFC" w14:textId="44EEEB65" w:rsidR="00553430" w:rsidRDefault="00212577">
      <w:pPr>
        <w:pStyle w:val="P68B1DB1-Normal33"/>
        <w:spacing w:line="240" w:lineRule="auto"/>
        <w:jc w:val="both"/>
        <w:rPr>
          <w:noProof/>
        </w:rPr>
      </w:pPr>
      <w:r>
        <w:rPr>
          <w:noProof/>
        </w:rPr>
        <w:t>Les décrets gouvernementaux soutenant la loi sur les salaires dans les services civils et publics définissent en détail les fourchettes de coefficients et les tranches de salaire à l'intéri</w:t>
      </w:r>
      <w:r>
        <w:rPr>
          <w:noProof/>
        </w:rPr>
        <w:t xml:space="preserve">eur de l'échelle de rémunération uniforme pour les organismes publics et les services publics. </w:t>
      </w:r>
    </w:p>
    <w:p w14:paraId="113B1952" w14:textId="77777777" w:rsidR="00553430" w:rsidRDefault="00212577">
      <w:pPr>
        <w:pStyle w:val="P68B1DB1-Normal33"/>
        <w:spacing w:line="240" w:lineRule="auto"/>
        <w:jc w:val="both"/>
        <w:rPr>
          <w:noProof/>
        </w:rPr>
      </w:pPr>
      <w:r>
        <w:rPr>
          <w:noProof/>
        </w:rPr>
        <w:t>En outre, un règlement gouvernemental fixe les intitulés des postes, les conditions d'affectation à un poste spécifique, le classement des postes, le grade de s</w:t>
      </w:r>
      <w:r>
        <w:rPr>
          <w:noProof/>
        </w:rPr>
        <w:t xml:space="preserve">alaire concerné et les coefficients de calcul du salaire à l'intérieur de ce grade. </w:t>
      </w:r>
    </w:p>
    <w:p w14:paraId="234713FE" w14:textId="77777777" w:rsidR="00553430" w:rsidRDefault="00212577">
      <w:pPr>
        <w:pStyle w:val="P68B1DB1-Normal33"/>
        <w:spacing w:line="240" w:lineRule="auto"/>
        <w:jc w:val="both"/>
        <w:rPr>
          <w:noProof/>
        </w:rPr>
      </w:pPr>
      <w:r>
        <w:rPr>
          <w:noProof/>
        </w:rPr>
        <w:t>Les coefficients de calcul des salaires sont déterminés sur la base d’un exercice d’évaluation des emplois, en tenant compte des critères standard d’évaluation et de class</w:t>
      </w:r>
      <w:r>
        <w:rPr>
          <w:noProof/>
        </w:rPr>
        <w:t>ification des emplois définis dans la loi sur les salaires dans les services civils et publics (tels que la complexité des emplois, l’expérience professionnelle requise, l’autonomie de travail et les compétences et licences supplémentaires requises). La fa</w:t>
      </w:r>
      <w:r>
        <w:rPr>
          <w:noProof/>
        </w:rPr>
        <w:t>çon dont les critères standard doivent être appliqués dans le processus d'évaluation et de classification des emplois sera déterminée par les règlements du gouvernement.</w:t>
      </w:r>
    </w:p>
    <w:p w14:paraId="78D6B4E6" w14:textId="77777777" w:rsidR="00553430" w:rsidRDefault="00212577">
      <w:pPr>
        <w:pStyle w:val="P68B1DB1-Normal33"/>
        <w:spacing w:line="240" w:lineRule="auto"/>
        <w:jc w:val="both"/>
        <w:rPr>
          <w:noProof/>
        </w:rPr>
      </w:pPr>
      <w:r>
        <w:rPr>
          <w:noProof/>
        </w:rPr>
        <w:t>L’évaluation comparative des emplois vise à garantir la mise en œuvre du principe de l</w:t>
      </w:r>
      <w:r>
        <w:rPr>
          <w:noProof/>
        </w:rPr>
        <w:t xml:space="preserve">’égalité de rémunération pour un même travail ou un travail de même valeur en appliquant des critères de référence standard uniformes et à éliminer la pratique selon laquelle les emplois ayant des emplois identiques ou similaires, mais dans des organismes </w:t>
      </w:r>
      <w:r>
        <w:rPr>
          <w:noProof/>
        </w:rPr>
        <w:t xml:space="preserve">publics ou des services publics différents, sont rémunérés différemment. </w:t>
      </w:r>
    </w:p>
    <w:p w14:paraId="5FE6D7E6" w14:textId="74505BFF" w:rsidR="00553430" w:rsidRDefault="00212577">
      <w:pPr>
        <w:pStyle w:val="P68B1DB1-Normal33"/>
        <w:spacing w:line="240" w:lineRule="auto"/>
        <w:jc w:val="both"/>
        <w:rPr>
          <w:noProof/>
        </w:rPr>
      </w:pPr>
      <w:r>
        <w:rPr>
          <w:noProof/>
        </w:rPr>
        <w:t>Enfin, les règlements visent à faire en sorte que le même grade soit classé comme des postes de même valeur ou proches de la même valeur en termes de complexité de l'emploi, de respo</w:t>
      </w:r>
      <w:r>
        <w:rPr>
          <w:noProof/>
        </w:rPr>
        <w:t xml:space="preserve">nsabilités, d'autonomie de travail et d'autres critères standard. </w:t>
      </w:r>
    </w:p>
    <w:p w14:paraId="35F569D9" w14:textId="77777777" w:rsidR="00553430" w:rsidRDefault="00212577">
      <w:pPr>
        <w:pStyle w:val="P68B1DB1-Normal33"/>
        <w:spacing w:line="240" w:lineRule="auto"/>
        <w:jc w:val="both"/>
        <w:rPr>
          <w:noProof/>
        </w:rPr>
      </w:pPr>
      <w:r>
        <w:rPr>
          <w:noProof/>
        </w:rPr>
        <w:t>La mesure est achevée au plus tard le 30 juin 2024.</w:t>
      </w:r>
    </w:p>
    <w:p w14:paraId="22EA74C3" w14:textId="77777777" w:rsidR="00553430" w:rsidRDefault="00553430">
      <w:pPr>
        <w:spacing w:line="240" w:lineRule="auto"/>
        <w:jc w:val="both"/>
        <w:rPr>
          <w:rFonts w:eastAsia="Calibri"/>
          <w:noProof/>
          <w:szCs w:val="24"/>
        </w:rPr>
      </w:pPr>
    </w:p>
    <w:p w14:paraId="178E28E5" w14:textId="77777777" w:rsidR="00553430" w:rsidRDefault="00553430">
      <w:pPr>
        <w:pStyle w:val="paragraph"/>
        <w:spacing w:before="0" w:beforeAutospacing="0" w:after="0" w:afterAutospacing="0"/>
        <w:ind w:left="840"/>
        <w:jc w:val="both"/>
        <w:textAlignment w:val="baseline"/>
        <w:rPr>
          <w:rFonts w:ascii="Segoe UI" w:hAnsi="Segoe UI" w:cs="Segoe UI"/>
          <w:noProof/>
          <w:sz w:val="18"/>
          <w:szCs w:val="18"/>
        </w:rPr>
      </w:pPr>
    </w:p>
    <w:p w14:paraId="43C39AAE" w14:textId="77777777" w:rsidR="00553430" w:rsidRDefault="00553430">
      <w:pPr>
        <w:pStyle w:val="paragraph"/>
        <w:spacing w:before="0" w:beforeAutospacing="0" w:after="0" w:afterAutospacing="0"/>
        <w:ind w:left="840"/>
        <w:jc w:val="both"/>
        <w:textAlignment w:val="baseline"/>
        <w:rPr>
          <w:rStyle w:val="normaltextrun"/>
          <w:b/>
          <w:bCs/>
          <w:noProof/>
        </w:rPr>
        <w:sectPr w:rsidR="00553430" w:rsidSect="00FA29B2">
          <w:headerReference w:type="even" r:id="rId159"/>
          <w:headerReference w:type="default" r:id="rId160"/>
          <w:footerReference w:type="even" r:id="rId161"/>
          <w:footerReference w:type="default" r:id="rId162"/>
          <w:headerReference w:type="first" r:id="rId163"/>
          <w:footerReference w:type="first" r:id="rId164"/>
          <w:pgSz w:w="11907" w:h="16839"/>
          <w:pgMar w:top="1134" w:right="1134" w:bottom="1134" w:left="1134" w:header="567" w:footer="567" w:gutter="0"/>
          <w:cols w:space="708"/>
          <w:docGrid w:linePitch="360"/>
        </w:sectPr>
      </w:pPr>
    </w:p>
    <w:p w14:paraId="4211D59C" w14:textId="21B8FECA" w:rsidR="00553430" w:rsidRDefault="00212577">
      <w:pPr>
        <w:pStyle w:val="paragraph"/>
        <w:spacing w:before="0" w:beforeAutospacing="0" w:after="0" w:afterAutospacing="0"/>
        <w:ind w:left="840"/>
        <w:jc w:val="both"/>
        <w:textAlignment w:val="baseline"/>
        <w:rPr>
          <w:rFonts w:ascii="Segoe UI" w:hAnsi="Segoe UI" w:cs="Segoe UI"/>
          <w:noProof/>
          <w:sz w:val="18"/>
          <w:szCs w:val="18"/>
          <w:u w:val="single"/>
        </w:rPr>
      </w:pPr>
      <w:r>
        <w:rPr>
          <w:rStyle w:val="normaltextrun"/>
          <w:b/>
          <w:noProof/>
          <w:u w:val="single"/>
        </w:rPr>
        <w:t xml:space="preserve">H.4. Étapes, objectifs, indicateurs et calendrier du suivi et de la mise en œuvre du prêt </w:t>
      </w:r>
    </w:p>
    <w:p w14:paraId="413C97B1" w14:textId="6C33DA83" w:rsidR="00553430" w:rsidRDefault="00212577">
      <w:pPr>
        <w:pStyle w:val="paragraph"/>
        <w:spacing w:before="0" w:beforeAutospacing="0" w:after="0" w:afterAutospacing="0"/>
        <w:ind w:left="840"/>
        <w:jc w:val="both"/>
        <w:textAlignment w:val="baseline"/>
        <w:rPr>
          <w:rFonts w:ascii="Segoe UI" w:hAnsi="Segoe UI" w:cs="Segoe UI"/>
          <w:noProof/>
          <w:sz w:val="18"/>
          <w:szCs w:val="18"/>
        </w:rPr>
      </w:pPr>
      <w:r>
        <w:rPr>
          <w:rStyle w:val="normaltextrun"/>
          <w:i/>
          <w:noProof/>
          <w:color w:val="4F81BD"/>
        </w:rPr>
        <w:t xml:space="preserve">. </w:t>
      </w:r>
    </w:p>
    <w:tbl>
      <w:tblPr>
        <w:tblW w:w="15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78"/>
        <w:gridCol w:w="1034"/>
        <w:gridCol w:w="1063"/>
        <w:gridCol w:w="1829"/>
        <w:gridCol w:w="12"/>
        <w:gridCol w:w="2256"/>
        <w:gridCol w:w="851"/>
        <w:gridCol w:w="897"/>
        <w:gridCol w:w="851"/>
        <w:gridCol w:w="893"/>
        <w:gridCol w:w="850"/>
        <w:gridCol w:w="4385"/>
      </w:tblGrid>
      <w:tr w:rsidR="00553430" w14:paraId="2489924E" w14:textId="77777777">
        <w:trPr>
          <w:trHeight w:val="693"/>
          <w:tblHeader/>
          <w:jc w:val="center"/>
        </w:trPr>
        <w:tc>
          <w:tcPr>
            <w:tcW w:w="778" w:type="dxa"/>
            <w:vMerge w:val="restart"/>
            <w:shd w:val="clear" w:color="auto" w:fill="BDD7EE"/>
            <w:vAlign w:val="center"/>
            <w:hideMark/>
          </w:tcPr>
          <w:p w14:paraId="4C9428DB" w14:textId="77777777" w:rsidR="00553430" w:rsidRDefault="00212577">
            <w:pPr>
              <w:pStyle w:val="P68B1DB1-Normal58"/>
              <w:spacing w:after="0" w:line="276" w:lineRule="auto"/>
              <w:jc w:val="center"/>
              <w:rPr>
                <w:bCs/>
                <w:noProof/>
              </w:rPr>
            </w:pPr>
            <w:r>
              <w:rPr>
                <w:noProof/>
              </w:rPr>
              <w:t>Numéro</w:t>
            </w:r>
          </w:p>
        </w:tc>
        <w:tc>
          <w:tcPr>
            <w:tcW w:w="1034" w:type="dxa"/>
            <w:vMerge w:val="restart"/>
            <w:shd w:val="clear" w:color="auto" w:fill="BDD7EE"/>
            <w:vAlign w:val="center"/>
            <w:hideMark/>
          </w:tcPr>
          <w:p w14:paraId="6AF0454E" w14:textId="77777777" w:rsidR="00553430" w:rsidRDefault="00212577">
            <w:pPr>
              <w:pStyle w:val="P68B1DB1-Normal58"/>
              <w:spacing w:after="0" w:line="276" w:lineRule="auto"/>
              <w:jc w:val="center"/>
              <w:rPr>
                <w:bCs/>
                <w:noProof/>
              </w:rPr>
            </w:pPr>
            <w:r>
              <w:rPr>
                <w:noProof/>
              </w:rPr>
              <w:t>Mesure</w:t>
            </w:r>
          </w:p>
        </w:tc>
        <w:tc>
          <w:tcPr>
            <w:tcW w:w="1063" w:type="dxa"/>
            <w:vMerge w:val="restart"/>
            <w:shd w:val="clear" w:color="auto" w:fill="BDD7EE"/>
            <w:vAlign w:val="center"/>
            <w:hideMark/>
          </w:tcPr>
          <w:p w14:paraId="1E9FA2D2" w14:textId="77777777" w:rsidR="00553430" w:rsidRDefault="00212577">
            <w:pPr>
              <w:pStyle w:val="P68B1DB1-Normal58"/>
              <w:spacing w:after="0" w:line="276" w:lineRule="auto"/>
              <w:jc w:val="center"/>
              <w:rPr>
                <w:bCs/>
                <w:noProof/>
              </w:rPr>
            </w:pPr>
            <w:r>
              <w:rPr>
                <w:noProof/>
              </w:rPr>
              <w:t>Étape/cible</w:t>
            </w:r>
          </w:p>
        </w:tc>
        <w:tc>
          <w:tcPr>
            <w:tcW w:w="1829" w:type="dxa"/>
            <w:vMerge w:val="restart"/>
            <w:shd w:val="clear" w:color="auto" w:fill="BDD7EE"/>
            <w:vAlign w:val="center"/>
            <w:hideMark/>
          </w:tcPr>
          <w:p w14:paraId="6D3611E7" w14:textId="77777777" w:rsidR="00553430" w:rsidRDefault="00212577">
            <w:pPr>
              <w:pStyle w:val="P68B1DB1-Normal58"/>
              <w:spacing w:after="0" w:line="276" w:lineRule="auto"/>
              <w:jc w:val="center"/>
              <w:rPr>
                <w:bCs/>
                <w:noProof/>
              </w:rPr>
            </w:pPr>
            <w:r>
              <w:rPr>
                <w:noProof/>
              </w:rPr>
              <w:t>Nom</w:t>
            </w:r>
          </w:p>
        </w:tc>
        <w:tc>
          <w:tcPr>
            <w:tcW w:w="2268" w:type="dxa"/>
            <w:gridSpan w:val="2"/>
            <w:vMerge w:val="restart"/>
            <w:shd w:val="clear" w:color="auto" w:fill="BDD7EE"/>
            <w:vAlign w:val="center"/>
            <w:hideMark/>
          </w:tcPr>
          <w:p w14:paraId="4E59ACEC" w14:textId="77777777" w:rsidR="00553430" w:rsidRDefault="00212577">
            <w:pPr>
              <w:pStyle w:val="P68B1DB1-Normal58"/>
              <w:spacing w:after="0" w:line="276" w:lineRule="auto"/>
              <w:jc w:val="center"/>
              <w:rPr>
                <w:bCs/>
                <w:noProof/>
              </w:rPr>
            </w:pPr>
            <w:r>
              <w:rPr>
                <w:noProof/>
              </w:rPr>
              <w:t xml:space="preserve">Indicateurs qualitatifs </w:t>
            </w:r>
            <w:r>
              <w:rPr>
                <w:noProof/>
              </w:rPr>
              <w:br/>
              <w:t>(pour les jalons)</w:t>
            </w:r>
          </w:p>
        </w:tc>
        <w:tc>
          <w:tcPr>
            <w:tcW w:w="2599" w:type="dxa"/>
            <w:gridSpan w:val="3"/>
            <w:shd w:val="clear" w:color="auto" w:fill="BDD7EE"/>
            <w:vAlign w:val="center"/>
            <w:hideMark/>
          </w:tcPr>
          <w:p w14:paraId="614BCA0D" w14:textId="77777777" w:rsidR="00553430" w:rsidRDefault="00212577">
            <w:pPr>
              <w:pStyle w:val="P68B1DB1-Normal58"/>
              <w:spacing w:after="0" w:line="276" w:lineRule="auto"/>
              <w:jc w:val="center"/>
              <w:rPr>
                <w:bCs/>
                <w:noProof/>
              </w:rPr>
            </w:pPr>
            <w:r>
              <w:rPr>
                <w:noProof/>
              </w:rPr>
              <w:t xml:space="preserve">Indicateurs quantitatifs </w:t>
            </w:r>
            <w:r>
              <w:rPr>
                <w:noProof/>
              </w:rPr>
              <w:br/>
              <w:t>(pour les objectifs)</w:t>
            </w:r>
          </w:p>
        </w:tc>
        <w:tc>
          <w:tcPr>
            <w:tcW w:w="1606" w:type="dxa"/>
            <w:gridSpan w:val="2"/>
            <w:shd w:val="clear" w:color="auto" w:fill="BDD7EE"/>
            <w:vAlign w:val="center"/>
            <w:hideMark/>
          </w:tcPr>
          <w:p w14:paraId="33933947" w14:textId="77777777" w:rsidR="00553430" w:rsidRDefault="00212577">
            <w:pPr>
              <w:pStyle w:val="P68B1DB1-Normal58"/>
              <w:spacing w:after="0" w:line="276" w:lineRule="auto"/>
              <w:jc w:val="center"/>
              <w:rPr>
                <w:bCs/>
                <w:noProof/>
              </w:rPr>
            </w:pPr>
            <w:r>
              <w:rPr>
                <w:noProof/>
              </w:rPr>
              <w:t>Temps</w:t>
            </w:r>
          </w:p>
        </w:tc>
        <w:tc>
          <w:tcPr>
            <w:tcW w:w="4385" w:type="dxa"/>
            <w:vMerge w:val="restart"/>
            <w:shd w:val="clear" w:color="auto" w:fill="BDD7EE"/>
            <w:vAlign w:val="center"/>
            <w:hideMark/>
          </w:tcPr>
          <w:p w14:paraId="3209297E" w14:textId="77777777" w:rsidR="00553430" w:rsidRDefault="00212577">
            <w:pPr>
              <w:pStyle w:val="P68B1DB1-Normal58"/>
              <w:spacing w:after="0" w:line="276" w:lineRule="auto"/>
              <w:jc w:val="center"/>
              <w:rPr>
                <w:bCs/>
                <w:noProof/>
              </w:rPr>
            </w:pPr>
            <w:r>
              <w:rPr>
                <w:noProof/>
              </w:rPr>
              <w:t>Description de chaque jalon et cible</w:t>
            </w:r>
          </w:p>
        </w:tc>
      </w:tr>
      <w:tr w:rsidR="00553430" w14:paraId="718A21CB" w14:textId="77777777">
        <w:trPr>
          <w:trHeight w:val="55"/>
          <w:tblHeader/>
          <w:jc w:val="center"/>
        </w:trPr>
        <w:tc>
          <w:tcPr>
            <w:tcW w:w="778" w:type="dxa"/>
            <w:vMerge/>
            <w:hideMark/>
          </w:tcPr>
          <w:p w14:paraId="4CBE7168"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34" w:type="dxa"/>
            <w:vMerge/>
            <w:hideMark/>
          </w:tcPr>
          <w:p w14:paraId="41119007"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63" w:type="dxa"/>
            <w:vMerge/>
            <w:hideMark/>
          </w:tcPr>
          <w:p w14:paraId="59CF2FF0"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829" w:type="dxa"/>
            <w:vMerge/>
            <w:hideMark/>
          </w:tcPr>
          <w:p w14:paraId="7C6EEA64" w14:textId="77777777" w:rsidR="00553430" w:rsidRDefault="00553430">
            <w:pPr>
              <w:spacing w:after="0" w:line="276" w:lineRule="auto"/>
              <w:rPr>
                <w:rFonts w:ascii="Times New Roman" w:eastAsia="Times New Roman" w:hAnsi="Times New Roman" w:cs="Times New Roman"/>
                <w:b/>
                <w:noProof/>
                <w:sz w:val="20"/>
                <w:szCs w:val="20"/>
              </w:rPr>
            </w:pPr>
          </w:p>
        </w:tc>
        <w:tc>
          <w:tcPr>
            <w:tcW w:w="2268" w:type="dxa"/>
            <w:gridSpan w:val="2"/>
            <w:vMerge/>
            <w:hideMark/>
          </w:tcPr>
          <w:p w14:paraId="46230739" w14:textId="77777777" w:rsidR="00553430" w:rsidRDefault="00553430">
            <w:pPr>
              <w:spacing w:after="0" w:line="276" w:lineRule="auto"/>
              <w:rPr>
                <w:rFonts w:ascii="Times New Roman" w:eastAsia="Times New Roman" w:hAnsi="Times New Roman" w:cs="Times New Roman"/>
                <w:b/>
                <w:noProof/>
                <w:sz w:val="20"/>
                <w:szCs w:val="20"/>
              </w:rPr>
            </w:pPr>
          </w:p>
        </w:tc>
        <w:tc>
          <w:tcPr>
            <w:tcW w:w="851" w:type="dxa"/>
            <w:shd w:val="clear" w:color="auto" w:fill="BDD7EE"/>
            <w:vAlign w:val="center"/>
            <w:hideMark/>
          </w:tcPr>
          <w:p w14:paraId="48D8EA27" w14:textId="77777777" w:rsidR="00553430" w:rsidRDefault="00212577">
            <w:pPr>
              <w:pStyle w:val="P68B1DB1-Normal58"/>
              <w:spacing w:after="0" w:line="276" w:lineRule="auto"/>
              <w:jc w:val="center"/>
              <w:rPr>
                <w:bCs/>
                <w:noProof/>
              </w:rPr>
            </w:pPr>
            <w:r>
              <w:rPr>
                <w:noProof/>
              </w:rPr>
              <w:t>Unité</w:t>
            </w:r>
          </w:p>
        </w:tc>
        <w:tc>
          <w:tcPr>
            <w:tcW w:w="897" w:type="dxa"/>
            <w:shd w:val="clear" w:color="auto" w:fill="BDD7EE"/>
            <w:vAlign w:val="center"/>
            <w:hideMark/>
          </w:tcPr>
          <w:p w14:paraId="449BA8D8" w14:textId="77777777" w:rsidR="00553430" w:rsidRDefault="00212577">
            <w:pPr>
              <w:pStyle w:val="P68B1DB1-Normal58"/>
              <w:spacing w:after="0" w:line="276" w:lineRule="auto"/>
              <w:jc w:val="center"/>
              <w:rPr>
                <w:bCs/>
                <w:noProof/>
              </w:rPr>
            </w:pPr>
            <w:r>
              <w:rPr>
                <w:noProof/>
              </w:rPr>
              <w:t>Données de référence</w:t>
            </w:r>
          </w:p>
        </w:tc>
        <w:tc>
          <w:tcPr>
            <w:tcW w:w="851" w:type="dxa"/>
            <w:shd w:val="clear" w:color="auto" w:fill="BDD7EE"/>
            <w:vAlign w:val="center"/>
            <w:hideMark/>
          </w:tcPr>
          <w:p w14:paraId="22A935AC" w14:textId="77777777" w:rsidR="00553430" w:rsidRDefault="00212577">
            <w:pPr>
              <w:pStyle w:val="P68B1DB1-Normal58"/>
              <w:spacing w:after="0" w:line="276" w:lineRule="auto"/>
              <w:jc w:val="center"/>
              <w:rPr>
                <w:bCs/>
                <w:noProof/>
              </w:rPr>
            </w:pPr>
            <w:r>
              <w:rPr>
                <w:noProof/>
              </w:rPr>
              <w:t>Objectif</w:t>
            </w:r>
          </w:p>
        </w:tc>
        <w:tc>
          <w:tcPr>
            <w:tcW w:w="756" w:type="dxa"/>
            <w:shd w:val="clear" w:color="auto" w:fill="BDD7EE"/>
            <w:vAlign w:val="center"/>
            <w:hideMark/>
          </w:tcPr>
          <w:p w14:paraId="507CBABC" w14:textId="77777777" w:rsidR="00553430" w:rsidRDefault="00212577">
            <w:pPr>
              <w:pStyle w:val="P68B1DB1-Normal58"/>
              <w:spacing w:after="0" w:line="276" w:lineRule="auto"/>
              <w:jc w:val="center"/>
              <w:rPr>
                <w:bCs/>
                <w:noProof/>
              </w:rPr>
            </w:pPr>
            <w:r>
              <w:rPr>
                <w:noProof/>
              </w:rPr>
              <w:t>Trimestre</w:t>
            </w:r>
          </w:p>
        </w:tc>
        <w:tc>
          <w:tcPr>
            <w:tcW w:w="850" w:type="dxa"/>
            <w:shd w:val="clear" w:color="auto" w:fill="BDD7EE"/>
            <w:vAlign w:val="center"/>
            <w:hideMark/>
          </w:tcPr>
          <w:p w14:paraId="5C14A16D" w14:textId="77777777" w:rsidR="00553430" w:rsidRDefault="00212577">
            <w:pPr>
              <w:pStyle w:val="P68B1DB1-Normal58"/>
              <w:spacing w:after="0" w:line="276" w:lineRule="auto"/>
              <w:jc w:val="center"/>
              <w:rPr>
                <w:bCs/>
                <w:noProof/>
              </w:rPr>
            </w:pPr>
            <w:r>
              <w:rPr>
                <w:noProof/>
              </w:rPr>
              <w:t>Année</w:t>
            </w:r>
          </w:p>
        </w:tc>
        <w:tc>
          <w:tcPr>
            <w:tcW w:w="4385" w:type="dxa"/>
            <w:vMerge/>
            <w:hideMark/>
          </w:tcPr>
          <w:p w14:paraId="1E81B85A"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6C8F5BFF" w14:textId="77777777">
        <w:trPr>
          <w:trHeight w:val="283"/>
          <w:jc w:val="center"/>
        </w:trPr>
        <w:tc>
          <w:tcPr>
            <w:tcW w:w="778" w:type="dxa"/>
            <w:shd w:val="clear" w:color="auto" w:fill="C6EFCE"/>
            <w:noWrap/>
          </w:tcPr>
          <w:p w14:paraId="5B3F656D" w14:textId="77777777" w:rsidR="00553430" w:rsidRDefault="00212577">
            <w:pPr>
              <w:pStyle w:val="P68B1DB1-Normal70"/>
              <w:spacing w:after="0" w:line="276" w:lineRule="auto"/>
              <w:jc w:val="center"/>
              <w:rPr>
                <w:noProof/>
              </w:rPr>
            </w:pPr>
            <w:r>
              <w:rPr>
                <w:noProof/>
              </w:rPr>
              <w:t>393</w:t>
            </w:r>
          </w:p>
        </w:tc>
        <w:tc>
          <w:tcPr>
            <w:tcW w:w="1034" w:type="dxa"/>
            <w:shd w:val="clear" w:color="auto" w:fill="C6EFCE"/>
            <w:noWrap/>
          </w:tcPr>
          <w:p w14:paraId="2A22EA07" w14:textId="77777777" w:rsidR="00553430" w:rsidRDefault="00212577">
            <w:pPr>
              <w:pStyle w:val="P68B1DB1-Normal66"/>
              <w:spacing w:after="200" w:line="276" w:lineRule="auto"/>
              <w:jc w:val="center"/>
              <w:rPr>
                <w:noProof/>
              </w:rPr>
            </w:pPr>
            <w:r>
              <w:rPr>
                <w:noProof/>
              </w:rPr>
              <w:t>C2.2.R5</w:t>
            </w:r>
          </w:p>
        </w:tc>
        <w:tc>
          <w:tcPr>
            <w:tcW w:w="1063" w:type="dxa"/>
            <w:shd w:val="clear" w:color="auto" w:fill="C6EFCE"/>
            <w:noWrap/>
          </w:tcPr>
          <w:p w14:paraId="1878E9CF" w14:textId="77777777" w:rsidR="00553430" w:rsidRDefault="00212577">
            <w:pPr>
              <w:pStyle w:val="P68B1DB1-Normal66"/>
              <w:spacing w:after="200" w:line="276" w:lineRule="auto"/>
              <w:jc w:val="center"/>
              <w:rPr>
                <w:noProof/>
              </w:rPr>
            </w:pPr>
            <w:r>
              <w:rPr>
                <w:noProof/>
              </w:rPr>
              <w:t>M</w:t>
            </w:r>
          </w:p>
        </w:tc>
        <w:tc>
          <w:tcPr>
            <w:tcW w:w="1841" w:type="dxa"/>
            <w:gridSpan w:val="2"/>
            <w:shd w:val="clear" w:color="auto" w:fill="C6EFCE"/>
            <w:noWrap/>
          </w:tcPr>
          <w:p w14:paraId="71AE66D0" w14:textId="77777777" w:rsidR="00553430" w:rsidRDefault="00212577">
            <w:pPr>
              <w:pStyle w:val="P68B1DB1-Normal66"/>
              <w:spacing w:after="240" w:line="276" w:lineRule="auto"/>
              <w:rPr>
                <w:noProof/>
              </w:rPr>
            </w:pPr>
            <w:r>
              <w:rPr>
                <w:noProof/>
              </w:rPr>
              <w:t>Entrée en vigueur des règlements réglementant les nouveaux modèles salariaux et le système centralisé de sélection dans les services civils et publics</w:t>
            </w:r>
          </w:p>
        </w:tc>
        <w:tc>
          <w:tcPr>
            <w:tcW w:w="2256" w:type="dxa"/>
            <w:shd w:val="clear" w:color="auto" w:fill="C6EFCE"/>
            <w:noWrap/>
          </w:tcPr>
          <w:p w14:paraId="4AAB37BE" w14:textId="77777777" w:rsidR="00553430" w:rsidRDefault="00212577">
            <w:pPr>
              <w:pStyle w:val="P68B1DB1-Normal66"/>
              <w:spacing w:after="240" w:line="276" w:lineRule="auto"/>
              <w:rPr>
                <w:noProof/>
              </w:rPr>
            </w:pPr>
            <w:r>
              <w:rPr>
                <w:noProof/>
              </w:rPr>
              <w:t xml:space="preserve">Entrée en vigueur de la </w:t>
            </w:r>
            <w:r>
              <w:rPr>
                <w:noProof/>
              </w:rPr>
              <w:t>réglementation gouvernementale fixant les critères de réglementation des nouveaux modèles salariaux dans les services civils et publics</w:t>
            </w:r>
          </w:p>
        </w:tc>
        <w:tc>
          <w:tcPr>
            <w:tcW w:w="851" w:type="dxa"/>
            <w:shd w:val="clear" w:color="auto" w:fill="C6EFCE"/>
            <w:noWrap/>
          </w:tcPr>
          <w:p w14:paraId="2586495E" w14:textId="77777777" w:rsidR="00553430" w:rsidRDefault="00212577">
            <w:pPr>
              <w:pStyle w:val="P68B1DB1-Normal66"/>
              <w:spacing w:after="0" w:line="276" w:lineRule="auto"/>
              <w:jc w:val="center"/>
              <w:rPr>
                <w:noProof/>
                <w:color w:val="000000" w:themeColor="text1"/>
              </w:rPr>
            </w:pPr>
            <w:r>
              <w:rPr>
                <w:noProof/>
              </w:rPr>
              <w:t> </w:t>
            </w:r>
          </w:p>
        </w:tc>
        <w:tc>
          <w:tcPr>
            <w:tcW w:w="897" w:type="dxa"/>
            <w:shd w:val="clear" w:color="auto" w:fill="C6EFCE"/>
            <w:noWrap/>
          </w:tcPr>
          <w:p w14:paraId="2BB970B8" w14:textId="77777777" w:rsidR="00553430" w:rsidRDefault="00212577">
            <w:pPr>
              <w:pStyle w:val="P68B1DB1-Normal66"/>
              <w:spacing w:after="200" w:line="276" w:lineRule="auto"/>
              <w:jc w:val="center"/>
              <w:rPr>
                <w:noProof/>
                <w:color w:val="000000" w:themeColor="text1"/>
              </w:rPr>
            </w:pPr>
            <w:r>
              <w:rPr>
                <w:noProof/>
              </w:rPr>
              <w:t> </w:t>
            </w:r>
          </w:p>
        </w:tc>
        <w:tc>
          <w:tcPr>
            <w:tcW w:w="851" w:type="dxa"/>
            <w:shd w:val="clear" w:color="auto" w:fill="C6EFCE"/>
            <w:noWrap/>
          </w:tcPr>
          <w:p w14:paraId="042606F5" w14:textId="77777777" w:rsidR="00553430" w:rsidRDefault="00212577">
            <w:pPr>
              <w:pStyle w:val="P68B1DB1-Normal66"/>
              <w:spacing w:after="200" w:line="276" w:lineRule="auto"/>
              <w:jc w:val="center"/>
              <w:rPr>
                <w:noProof/>
                <w:color w:val="000000" w:themeColor="text1"/>
              </w:rPr>
            </w:pPr>
            <w:r>
              <w:rPr>
                <w:noProof/>
              </w:rPr>
              <w:t> </w:t>
            </w:r>
          </w:p>
        </w:tc>
        <w:tc>
          <w:tcPr>
            <w:tcW w:w="756" w:type="dxa"/>
            <w:shd w:val="clear" w:color="auto" w:fill="C6EFCE"/>
            <w:noWrap/>
          </w:tcPr>
          <w:p w14:paraId="41E59CC0" w14:textId="77777777" w:rsidR="00553430" w:rsidRDefault="00212577">
            <w:pPr>
              <w:pStyle w:val="P68B1DB1-Normal66"/>
              <w:spacing w:after="200" w:line="276" w:lineRule="auto"/>
              <w:jc w:val="center"/>
              <w:rPr>
                <w:noProof/>
              </w:rPr>
            </w:pPr>
            <w:r>
              <w:rPr>
                <w:noProof/>
              </w:rPr>
              <w:t>T2</w:t>
            </w:r>
          </w:p>
        </w:tc>
        <w:tc>
          <w:tcPr>
            <w:tcW w:w="850" w:type="dxa"/>
            <w:shd w:val="clear" w:color="auto" w:fill="C6EFCE"/>
            <w:noWrap/>
          </w:tcPr>
          <w:p w14:paraId="20BB50FC" w14:textId="77777777" w:rsidR="00553430" w:rsidRDefault="00212577">
            <w:pPr>
              <w:pStyle w:val="P68B1DB1-Normal66"/>
              <w:spacing w:after="200" w:line="276" w:lineRule="auto"/>
              <w:jc w:val="center"/>
              <w:rPr>
                <w:noProof/>
              </w:rPr>
            </w:pPr>
            <w:r>
              <w:rPr>
                <w:noProof/>
              </w:rPr>
              <w:t>2024</w:t>
            </w:r>
          </w:p>
        </w:tc>
        <w:tc>
          <w:tcPr>
            <w:tcW w:w="4385" w:type="dxa"/>
            <w:shd w:val="clear" w:color="auto" w:fill="C6EFCE"/>
            <w:noWrap/>
          </w:tcPr>
          <w:p w14:paraId="4D1EA837" w14:textId="2D9466F3" w:rsidR="00553430" w:rsidRDefault="00212577">
            <w:pPr>
              <w:pStyle w:val="P68B1DB1-Normal66"/>
              <w:spacing w:after="0" w:line="276" w:lineRule="auto"/>
              <w:rPr>
                <w:noProof/>
                <w:color w:val="000000" w:themeColor="text1"/>
              </w:rPr>
            </w:pPr>
            <w:r>
              <w:rPr>
                <w:noProof/>
              </w:rPr>
              <w:t>Entrée en vigueur de six règlements détaillant le système de rémunération des grades et des coefficients d</w:t>
            </w:r>
            <w:r>
              <w:rPr>
                <w:noProof/>
              </w:rPr>
              <w:t>e rémunération des employés de la fonction publique et de la fonction publique, ainsi que la procédure, les critères et la méthode d'évaluation des performances des fonctionnaires et des employés des organes de l'État et de la fonction publique. Les statut</w:t>
            </w:r>
            <w:r>
              <w:rPr>
                <w:noProof/>
              </w:rPr>
              <w:t xml:space="preserve">s tiennent compte, le cas échéant, de l'analyse effectuée par la Banque mondiale dans le cadre de l'investissement C2.2.R2-I1. </w:t>
            </w:r>
          </w:p>
          <w:p w14:paraId="2C282990" w14:textId="77777777" w:rsidR="00553430" w:rsidRDefault="00212577">
            <w:pPr>
              <w:pStyle w:val="P68B1DB1-Normal66"/>
              <w:spacing w:after="0" w:line="276" w:lineRule="auto"/>
              <w:rPr>
                <w:noProof/>
              </w:rPr>
            </w:pPr>
            <w:r>
              <w:rPr>
                <w:noProof/>
              </w:rPr>
              <w:t xml:space="preserve">Les statuts définissent: </w:t>
            </w:r>
          </w:p>
          <w:p w14:paraId="1BCF3C27" w14:textId="77777777" w:rsidR="00553430" w:rsidRDefault="00212577">
            <w:pPr>
              <w:pStyle w:val="P68B1DB1-Normal66"/>
              <w:spacing w:after="0" w:line="276" w:lineRule="auto"/>
              <w:rPr>
                <w:noProof/>
                <w:color w:val="000000" w:themeColor="text1"/>
              </w:rPr>
            </w:pPr>
            <w:r>
              <w:rPr>
                <w:noProof/>
              </w:rPr>
              <w:t>la méthode d'application des critères standard, fixés par la loi sur les salaires dans les services ci</w:t>
            </w:r>
            <w:r>
              <w:rPr>
                <w:noProof/>
              </w:rPr>
              <w:t>vils et publics, dans la procédure d'évaluation et de classification des postes dans les organismes publics et les services publics (des équipes d'experts de l'administration publique et des services publics évalueront les postes et, en coopération avec le</w:t>
            </w:r>
            <w:r>
              <w:rPr>
                <w:noProof/>
              </w:rPr>
              <w:t xml:space="preserve"> ministère de la justice et de l'administration ou le ministère du travail, du système de retraite, de la famille et de la politique sociale, effectueront une analyse à prendre en compte lors de la détermination des coefficients salariaux); </w:t>
            </w:r>
          </w:p>
          <w:p w14:paraId="7843588A" w14:textId="77777777" w:rsidR="00553430" w:rsidRDefault="00212577">
            <w:pPr>
              <w:pStyle w:val="P68B1DB1-Normal66"/>
              <w:spacing w:after="0" w:line="276" w:lineRule="auto"/>
              <w:rPr>
                <w:noProof/>
                <w:u w:val="single"/>
              </w:rPr>
            </w:pPr>
            <w:r>
              <w:rPr>
                <w:noProof/>
              </w:rPr>
              <w:t>-les titres de</w:t>
            </w:r>
            <w:r>
              <w:rPr>
                <w:noProof/>
              </w:rPr>
              <w:t>s postes, les conditions de sélection aux postes, le classement des postes et les grades salariaux concernés, ainsi que les coefficients salariaux dans la fonction publique (à la suite de la consolidation ou de la réduction du nombre de postes);</w:t>
            </w:r>
            <w:r>
              <w:rPr>
                <w:noProof/>
                <w:u w:val="single"/>
              </w:rPr>
              <w:t xml:space="preserve"> </w:t>
            </w:r>
          </w:p>
          <w:p w14:paraId="4AA8A510" w14:textId="77777777" w:rsidR="00553430" w:rsidRDefault="00212577">
            <w:pPr>
              <w:pStyle w:val="P68B1DB1-Normal66"/>
              <w:spacing w:after="0" w:line="276" w:lineRule="auto"/>
              <w:rPr>
                <w:noProof/>
              </w:rPr>
            </w:pPr>
            <w:r>
              <w:rPr>
                <w:noProof/>
              </w:rPr>
              <w:t>-les four</w:t>
            </w:r>
            <w:r>
              <w:rPr>
                <w:noProof/>
              </w:rPr>
              <w:t>chettes de coefficients à l’intérieur des grades salariaux de l’échelle salariale uniforme pour les services civils et publics;</w:t>
            </w:r>
          </w:p>
          <w:p w14:paraId="42D12543" w14:textId="77777777" w:rsidR="00553430" w:rsidRDefault="00212577">
            <w:pPr>
              <w:pStyle w:val="P68B1DB1-Normal66"/>
              <w:spacing w:after="0" w:line="276" w:lineRule="auto"/>
              <w:rPr>
                <w:noProof/>
              </w:rPr>
            </w:pPr>
            <w:r>
              <w:rPr>
                <w:noProof/>
              </w:rPr>
              <w:t>-la procédure, les critères et la méthode d'évaluation des performances des fonctionnaires (y compris ceux occupant des postes d</w:t>
            </w:r>
            <w:r>
              <w:rPr>
                <w:noProof/>
              </w:rPr>
              <w:t>'encadrement) et des agents de la fonction publique.</w:t>
            </w:r>
          </w:p>
        </w:tc>
      </w:tr>
    </w:tbl>
    <w:p w14:paraId="52C92B9D" w14:textId="77777777" w:rsidR="00553430" w:rsidRDefault="00553430">
      <w:pPr>
        <w:pStyle w:val="paragraph"/>
        <w:spacing w:before="0" w:beforeAutospacing="0" w:after="0" w:afterAutospacing="0"/>
        <w:jc w:val="both"/>
        <w:rPr>
          <w:rStyle w:val="eop"/>
          <w:noProof/>
          <w:color w:val="4F81BD"/>
        </w:rPr>
      </w:pPr>
    </w:p>
    <w:p w14:paraId="0A9B081F" w14:textId="77777777" w:rsidR="00553430" w:rsidRDefault="00553430">
      <w:pPr>
        <w:rPr>
          <w:noProof/>
        </w:rPr>
      </w:pPr>
    </w:p>
    <w:p w14:paraId="789337D1" w14:textId="77777777" w:rsidR="00553430" w:rsidRDefault="00553430">
      <w:pPr>
        <w:rPr>
          <w:noProof/>
        </w:rPr>
        <w:sectPr w:rsidR="00553430" w:rsidSect="00FA29B2">
          <w:headerReference w:type="even" r:id="rId165"/>
          <w:headerReference w:type="default" r:id="rId166"/>
          <w:footerReference w:type="even" r:id="rId167"/>
          <w:footerReference w:type="default" r:id="rId168"/>
          <w:headerReference w:type="first" r:id="rId169"/>
          <w:footerReference w:type="first" r:id="rId170"/>
          <w:pgSz w:w="16838" w:h="11906" w:orient="landscape"/>
          <w:pgMar w:top="1134" w:right="1134" w:bottom="1134" w:left="1134" w:header="567" w:footer="567" w:gutter="0"/>
          <w:cols w:space="708"/>
          <w:docGrid w:linePitch="360"/>
        </w:sectPr>
      </w:pPr>
    </w:p>
    <w:p w14:paraId="42D153B9" w14:textId="6F0B03DC" w:rsidR="00553430" w:rsidRDefault="00212577">
      <w:pPr>
        <w:pStyle w:val="P68B1DB1-Normal32"/>
        <w:keepNext/>
        <w:tabs>
          <w:tab w:val="left" w:pos="850"/>
        </w:tabs>
        <w:spacing w:before="360" w:line="240" w:lineRule="auto"/>
        <w:ind w:left="850" w:hanging="850"/>
        <w:jc w:val="both"/>
        <w:outlineLvl w:val="0"/>
        <w:rPr>
          <w:bCs/>
          <w:noProof/>
        </w:rPr>
      </w:pPr>
      <w:r>
        <w:rPr>
          <w:noProof/>
        </w:rPr>
        <w:t xml:space="preserve">    I. ÉLÉMENT 2.3: TRANSITION NUMÉRIQUE DE LA SOCIÉTÉ ET DE L'ADMINISTRATION PUBLIQUE</w:t>
      </w:r>
    </w:p>
    <w:p w14:paraId="7385B15A" w14:textId="77777777" w:rsidR="00553430" w:rsidRDefault="00212577">
      <w:pPr>
        <w:pStyle w:val="P68B1DB1-Normal33"/>
        <w:spacing w:after="100" w:line="240" w:lineRule="auto"/>
        <w:jc w:val="both"/>
        <w:rPr>
          <w:noProof/>
        </w:rPr>
      </w:pPr>
      <w:r>
        <w:rPr>
          <w:noProof/>
        </w:rPr>
        <w:t>La Croatie se classe 20e</w:t>
      </w:r>
      <w:r>
        <w:rPr>
          <w:noProof/>
          <w:vertAlign w:val="superscript"/>
        </w:rPr>
        <w:t xml:space="preserve"> en</w:t>
      </w:r>
      <w:r>
        <w:rPr>
          <w:noProof/>
        </w:rPr>
        <w:t xml:space="preserve"> 2020 dans l’indice relatif à l’économie et à la société numériques (DESI), avec une marge importante d’amélioration de l’accessibilité en ligne des services publics. La faible connectivité numérique de la Croatie entrave également la poursuite du développ</w:t>
      </w:r>
      <w:r>
        <w:rPr>
          <w:noProof/>
        </w:rPr>
        <w:t xml:space="preserve">ement de l’économie numérique du pays et contribue à la fracture numérique entre les zones urbaines et rurales. </w:t>
      </w:r>
    </w:p>
    <w:p w14:paraId="6AF1BF08" w14:textId="77777777" w:rsidR="00553430" w:rsidRDefault="00212577">
      <w:pPr>
        <w:pStyle w:val="P68B1DB1-Normal33"/>
        <w:spacing w:after="100" w:line="240" w:lineRule="auto"/>
        <w:jc w:val="both"/>
        <w:rPr>
          <w:noProof/>
        </w:rPr>
      </w:pPr>
      <w:r>
        <w:rPr>
          <w:noProof/>
        </w:rPr>
        <w:t>L’objectif de ce volet est de soutenir la transition numérique de l’économie et de la société croates. Il comprend des réformes et des investis</w:t>
      </w:r>
      <w:r>
        <w:rPr>
          <w:noProof/>
        </w:rPr>
        <w:t xml:space="preserve">sements visant à numériser l’administration publique, à accroître la fourniture de services publics en ligne et à fournir un accès aux réseaux de connectivité gigabit dans les zones touchées par la défaillance du marché, y compris les zones rurales. </w:t>
      </w:r>
    </w:p>
    <w:p w14:paraId="573A8121" w14:textId="77777777" w:rsidR="00553430" w:rsidRDefault="00212577">
      <w:pPr>
        <w:pStyle w:val="P68B1DB1-Normal34"/>
        <w:spacing w:after="100" w:line="240" w:lineRule="auto"/>
        <w:jc w:val="both"/>
        <w:rPr>
          <w:rFonts w:ascii="Times New Roman" w:eastAsia="Times New Roman," w:hAnsi="Times New Roman" w:cs="Times New Roman"/>
          <w:i/>
          <w:iCs/>
          <w:noProof/>
        </w:rPr>
      </w:pPr>
      <w:r>
        <w:rPr>
          <w:rFonts w:ascii="Times New Roman" w:eastAsia="Calibri" w:hAnsi="Times New Roman" w:cs="Times New Roman"/>
          <w:noProof/>
        </w:rPr>
        <w:t>Ce vo</w:t>
      </w:r>
      <w:r>
        <w:rPr>
          <w:rFonts w:ascii="Times New Roman" w:eastAsia="Calibri" w:hAnsi="Times New Roman" w:cs="Times New Roman"/>
          <w:noProof/>
        </w:rPr>
        <w:t>let contribue à donner suite aux recommandations par pays sur la nécessité de «consolider</w:t>
      </w:r>
      <w:r>
        <w:rPr>
          <w:rFonts w:ascii="Times New Roman" w:eastAsia="Calibri" w:hAnsi="Times New Roman" w:cs="Times New Roman"/>
          <w:i/>
          <w:noProof/>
        </w:rPr>
        <w:t xml:space="preserve"> les avantages sociaux et d’améliorer leur capacité à réduire la pauvreté»</w:t>
      </w:r>
      <w:r>
        <w:rPr>
          <w:rFonts w:ascii="Times New Roman" w:eastAsia="Calibri" w:hAnsi="Times New Roman" w:cs="Times New Roman"/>
          <w:noProof/>
        </w:rPr>
        <w:t>(recommandation par pays no 2, 2019), «accroître</w:t>
      </w:r>
      <w:r>
        <w:rPr>
          <w:rFonts w:ascii="Times New Roman" w:eastAsia="Times New Roman," w:hAnsi="Times New Roman" w:cs="Times New Roman"/>
          <w:i/>
          <w:noProof/>
        </w:rPr>
        <w:t xml:space="preserve"> l’accès aux infrastructures et services numé</w:t>
      </w:r>
      <w:r>
        <w:rPr>
          <w:rFonts w:ascii="Times New Roman" w:eastAsia="Times New Roman," w:hAnsi="Times New Roman" w:cs="Times New Roman"/>
          <w:i/>
          <w:noProof/>
        </w:rPr>
        <w:t>riques»</w:t>
      </w:r>
      <w:r>
        <w:rPr>
          <w:rFonts w:ascii="Times New Roman" w:eastAsia="Times New Roman," w:hAnsi="Times New Roman" w:cs="Times New Roman"/>
          <w:noProof/>
        </w:rPr>
        <w:t xml:space="preserve"> (recommandation par pays no 2, 2020) et </w:t>
      </w:r>
      <w:r>
        <w:rPr>
          <w:rFonts w:ascii="Times New Roman" w:eastAsia="Times New Roman," w:hAnsi="Times New Roman" w:cs="Times New Roman"/>
          <w:i/>
          <w:noProof/>
        </w:rPr>
        <w:t>«axer les investissements sur la transition écologique et numérique, en particulier sur le haut débit à haut débit»</w:t>
      </w:r>
      <w:r>
        <w:rPr>
          <w:rFonts w:ascii="Times New Roman" w:eastAsia="Times New Roman," w:hAnsi="Times New Roman" w:cs="Times New Roman"/>
          <w:noProof/>
        </w:rPr>
        <w:t xml:space="preserve"> (recommandation par pays no 3, 2020).</w:t>
      </w:r>
    </w:p>
    <w:p w14:paraId="7A78A620" w14:textId="77777777" w:rsidR="00553430" w:rsidRDefault="00212577">
      <w:pPr>
        <w:pStyle w:val="P68B1DB1-Normal119"/>
        <w:spacing w:before="40" w:after="0"/>
        <w:jc w:val="both"/>
        <w:rPr>
          <w:noProof/>
        </w:rPr>
      </w:pPr>
      <w:r>
        <w:rPr>
          <w:noProof/>
        </w:rPr>
        <w:t>Le volet comprend quatre réformes et vingt investissem</w:t>
      </w:r>
      <w:r>
        <w:rPr>
          <w:noProof/>
        </w:rPr>
        <w:t>ents.</w:t>
      </w:r>
    </w:p>
    <w:p w14:paraId="018A2359" w14:textId="77777777" w:rsidR="00553430" w:rsidRDefault="00553430">
      <w:pPr>
        <w:spacing w:line="240" w:lineRule="auto"/>
        <w:jc w:val="both"/>
        <w:rPr>
          <w:rFonts w:ascii="Times New Roman" w:eastAsia="Calibri" w:hAnsi="Times New Roman" w:cs="Times New Roman"/>
          <w:noProof/>
          <w:sz w:val="24"/>
          <w:szCs w:val="24"/>
        </w:rPr>
      </w:pPr>
    </w:p>
    <w:p w14:paraId="2B7ABB6A" w14:textId="77777777" w:rsidR="00553430" w:rsidRDefault="00212577">
      <w:pPr>
        <w:pStyle w:val="P68B1DB1-Normal57"/>
        <w:keepNext/>
        <w:spacing w:before="40" w:after="0" w:line="360" w:lineRule="auto"/>
        <w:ind w:left="425"/>
        <w:jc w:val="both"/>
        <w:outlineLvl w:val="1"/>
        <w:rPr>
          <w:noProof/>
        </w:rPr>
      </w:pPr>
      <w:r>
        <w:rPr>
          <w:noProof/>
        </w:rPr>
        <w:t xml:space="preserve">I.1. </w:t>
      </w:r>
      <w:r>
        <w:rPr>
          <w:noProof/>
        </w:rPr>
        <w:tab/>
        <w:t>Description des réformes et des investissements pour le soutien financier non remboursable</w:t>
      </w:r>
    </w:p>
    <w:p w14:paraId="1E74A030" w14:textId="77777777" w:rsidR="00553430" w:rsidRDefault="00212577">
      <w:pPr>
        <w:pStyle w:val="P68B1DB1-Normal42"/>
        <w:spacing w:line="240" w:lineRule="auto"/>
        <w:jc w:val="both"/>
        <w:rPr>
          <w:noProof/>
        </w:rPr>
      </w:pPr>
      <w:r>
        <w:rPr>
          <w:noProof/>
        </w:rPr>
        <w:t>Réforme C2.3 R1 - Stratégie numérique pour la Croatie et renforcement de la coopération et de la coordination interinstitutionnelles pour une transition</w:t>
      </w:r>
      <w:r>
        <w:rPr>
          <w:noProof/>
        </w:rPr>
        <w:t xml:space="preserve"> numérique réussie de la société et de l’économie</w:t>
      </w:r>
    </w:p>
    <w:p w14:paraId="7B3205C6" w14:textId="77777777" w:rsidR="00553430" w:rsidRDefault="00212577">
      <w:pPr>
        <w:pStyle w:val="P68B1DB1-Normal33"/>
        <w:spacing w:after="100" w:line="240" w:lineRule="auto"/>
        <w:jc w:val="both"/>
        <w:rPr>
          <w:noProof/>
        </w:rPr>
      </w:pPr>
      <w:r>
        <w:rPr>
          <w:noProof/>
        </w:rPr>
        <w:t>L’objectif de cette réforme est d’orienter la transformation numérique de la société et de l’économie croates pour la prochaine décennie. Il fournit un cadre stratégique, la «stratégie numérique de la Croat</w:t>
      </w:r>
      <w:r>
        <w:rPr>
          <w:noProof/>
        </w:rPr>
        <w:t xml:space="preserve">ie à l’horizon 2030», fixant le cadre des investissements dans la transition numérique et définissant des objectifs stratégiques dans les domaines suivants: (i) la transition numérique de l’économie, (ii) la numérisation de l’administration publique et de </w:t>
      </w:r>
      <w:r>
        <w:rPr>
          <w:noProof/>
        </w:rPr>
        <w:t>la justice, (iii) la connectivité numérique/le développement des réseaux de communications électroniques à haut débit et (iv) le développement des compétences numériques et des emplois numériques.</w:t>
      </w:r>
    </w:p>
    <w:p w14:paraId="49146531" w14:textId="77777777" w:rsidR="00553430" w:rsidRDefault="00212577">
      <w:pPr>
        <w:pStyle w:val="P68B1DB1-Normal33"/>
        <w:spacing w:after="100" w:line="240" w:lineRule="auto"/>
        <w:jc w:val="both"/>
        <w:rPr>
          <w:noProof/>
        </w:rPr>
      </w:pPr>
      <w:r>
        <w:rPr>
          <w:noProof/>
        </w:rPr>
        <w:t>La réforme met également en place un mécanisme visant à coo</w:t>
      </w:r>
      <w:r>
        <w:rPr>
          <w:noProof/>
        </w:rPr>
        <w:t>rdonner la préparation et la mise en œuvre de projets soutenant la transformation numérique de la société et de l’économie aux niveaux national, régional et local, avec des lignes directrices pour une hiérarchisation claire des priorités et des critères d’</w:t>
      </w:r>
      <w:r>
        <w:rPr>
          <w:noProof/>
        </w:rPr>
        <w:t>évaluation des investissements.</w:t>
      </w:r>
    </w:p>
    <w:p w14:paraId="2E7AEC62" w14:textId="77777777" w:rsidR="00553430" w:rsidRDefault="00212577">
      <w:pPr>
        <w:pStyle w:val="P68B1DB1-Normal42"/>
        <w:spacing w:line="240" w:lineRule="auto"/>
        <w:ind w:left="851"/>
        <w:jc w:val="both"/>
        <w:rPr>
          <w:noProof/>
        </w:rPr>
      </w:pPr>
      <w:r>
        <w:rPr>
          <w:noProof/>
        </w:rPr>
        <w:t>Réforme C2.3 R2 - Améliorer l'interopérabilité des systèmes d'information</w:t>
      </w:r>
    </w:p>
    <w:p w14:paraId="3CCB2E70" w14:textId="77777777" w:rsidR="00553430" w:rsidRDefault="00212577">
      <w:pPr>
        <w:pStyle w:val="P68B1DB1-Normal33"/>
        <w:spacing w:after="100" w:line="240" w:lineRule="auto"/>
        <w:jc w:val="both"/>
        <w:rPr>
          <w:noProof/>
        </w:rPr>
      </w:pPr>
      <w:r>
        <w:rPr>
          <w:noProof/>
        </w:rPr>
        <w:t xml:space="preserve">L’objectif de cette réforme est de soutenir la fourniture de services publics numériques et de faciliter l’interaction entre les citoyens/entreprises </w:t>
      </w:r>
      <w:r>
        <w:rPr>
          <w:noProof/>
        </w:rPr>
        <w:t>et l’administration publique. La réforme vise également à introduire une analyse avancée des données dans l’administration nationale, en vue de soutenir la prise de décision fondée sur les données à tous les niveaux de l’administration.</w:t>
      </w:r>
    </w:p>
    <w:p w14:paraId="59C1596D" w14:textId="77777777" w:rsidR="00553430" w:rsidRDefault="00212577">
      <w:pPr>
        <w:pStyle w:val="P68B1DB1-Normal33"/>
        <w:spacing w:after="100" w:line="240" w:lineRule="auto"/>
        <w:jc w:val="both"/>
        <w:rPr>
          <w:noProof/>
        </w:rPr>
      </w:pPr>
      <w:r>
        <w:rPr>
          <w:noProof/>
        </w:rPr>
        <w:t>Alors que les autor</w:t>
      </w:r>
      <w:r>
        <w:rPr>
          <w:noProof/>
        </w:rPr>
        <w:t>ités publiques croates utilisent actuellement des centaines de registres et de bases de données différents, la réforme devrait créer les conditions préalables à la création d’un registre central (système central interopérable) interconnectant les registres</w:t>
      </w:r>
      <w:r>
        <w:rPr>
          <w:noProof/>
        </w:rPr>
        <w:t xml:space="preserve"> centraux (investissement C2.3.R2.I1), ainsi qu’à la création d’une base de données centrale permettant l’utilisation d’analyses de données avancées pour les autorités compétentes (investissement C2.3.R2.I2). </w:t>
      </w:r>
    </w:p>
    <w:p w14:paraId="69908329" w14:textId="77777777" w:rsidR="00553430" w:rsidRDefault="00212577">
      <w:pPr>
        <w:pStyle w:val="P68B1DB1-Normal33"/>
        <w:spacing w:after="100" w:line="240" w:lineRule="auto"/>
        <w:jc w:val="both"/>
        <w:rPr>
          <w:noProof/>
        </w:rPr>
      </w:pPr>
      <w:r>
        <w:rPr>
          <w:noProof/>
        </w:rPr>
        <w:t>La réforme devrait apporter des changements sy</w:t>
      </w:r>
      <w:r>
        <w:rPr>
          <w:noProof/>
        </w:rPr>
        <w:t xml:space="preserve">stémiques, vers le développement de systèmes interopérables au niveau national et vers une prise de décision fondée sur les données. Il devrait également améliorer la fourniture en ligne de services publics de qualité aux entreprises et aux citoyens. </w:t>
      </w:r>
    </w:p>
    <w:p w14:paraId="6804B08E" w14:textId="77777777" w:rsidR="00553430" w:rsidRDefault="00212577">
      <w:pPr>
        <w:pStyle w:val="P68B1DB1-Normal33"/>
        <w:spacing w:after="100" w:line="240" w:lineRule="auto"/>
        <w:jc w:val="both"/>
        <w:rPr>
          <w:noProof/>
        </w:rPr>
      </w:pPr>
      <w:r>
        <w:rPr>
          <w:noProof/>
        </w:rPr>
        <w:t>La m</w:t>
      </w:r>
      <w:r>
        <w:rPr>
          <w:noProof/>
        </w:rPr>
        <w:t>esure définit une structure organisationnelle et de gestion pour la gestion du système central d’interopérabilité ainsi que le catalogue des services en ligne à connecter au système central d’interopérabilité. Elle développe également l’écosystème de colle</w:t>
      </w:r>
      <w:r>
        <w:rPr>
          <w:noProof/>
        </w:rPr>
        <w:t>cte, de traitement, d’analyse, d’affichage et de partage des données, en vue d’introduire l’analyse des données dans l’administration nationale en tant que nouvelle manière de travailler à tous les niveaux de la prise de décision.</w:t>
      </w:r>
    </w:p>
    <w:p w14:paraId="16F630AC" w14:textId="77777777" w:rsidR="00553430" w:rsidRDefault="00212577">
      <w:pPr>
        <w:pStyle w:val="P68B1DB1-Normal33"/>
        <w:spacing w:line="240" w:lineRule="auto"/>
        <w:jc w:val="both"/>
        <w:rPr>
          <w:noProof/>
        </w:rPr>
      </w:pPr>
      <w:r>
        <w:rPr>
          <w:noProof/>
        </w:rPr>
        <w:t>Cette réforme est achevée</w:t>
      </w:r>
      <w:r>
        <w:rPr>
          <w:noProof/>
        </w:rPr>
        <w:t xml:space="preserve"> au plus tard le 31 décembre 2024.</w:t>
      </w:r>
    </w:p>
    <w:p w14:paraId="7DB5FE56" w14:textId="77777777" w:rsidR="00553430" w:rsidRDefault="00212577">
      <w:pPr>
        <w:pStyle w:val="P68B1DB1-Normal42"/>
        <w:spacing w:line="240" w:lineRule="auto"/>
        <w:ind w:left="851"/>
        <w:jc w:val="both"/>
        <w:rPr>
          <w:noProof/>
        </w:rPr>
      </w:pPr>
      <w:r>
        <w:rPr>
          <w:noProof/>
        </w:rPr>
        <w:t>Investissement C2.3 R2-I1 - Mise en place d'un système central d'interopérabilité</w:t>
      </w:r>
    </w:p>
    <w:p w14:paraId="49EB30DD" w14:textId="77777777" w:rsidR="00553430" w:rsidRDefault="00212577">
      <w:pPr>
        <w:pStyle w:val="P68B1DB1-Normal33"/>
        <w:spacing w:line="240" w:lineRule="auto"/>
        <w:jc w:val="both"/>
        <w:rPr>
          <w:iCs/>
          <w:noProof/>
        </w:rPr>
      </w:pPr>
      <w:r>
        <w:rPr>
          <w:noProof/>
        </w:rPr>
        <w:t>L’objectif de cet investissement est de remédier à la fragmentation actuelle des registres, conformément au cadre d’interopérabilité europé</w:t>
      </w:r>
      <w:r>
        <w:rPr>
          <w:noProof/>
        </w:rPr>
        <w:t xml:space="preserve">en (FEI). </w:t>
      </w:r>
    </w:p>
    <w:p w14:paraId="5EBE5F6E" w14:textId="77777777" w:rsidR="00553430" w:rsidRDefault="00212577">
      <w:pPr>
        <w:pStyle w:val="P68B1DB1-Normal33"/>
        <w:spacing w:line="240" w:lineRule="auto"/>
        <w:jc w:val="both"/>
        <w:rPr>
          <w:iCs/>
          <w:noProof/>
        </w:rPr>
      </w:pPr>
      <w:r>
        <w:rPr>
          <w:noProof/>
        </w:rPr>
        <w:t>La mesure consiste à mettre en place le système central d'interopérabilité. </w:t>
      </w:r>
    </w:p>
    <w:p w14:paraId="485FF44C" w14:textId="77777777" w:rsidR="00553430" w:rsidRDefault="00212577">
      <w:pPr>
        <w:pStyle w:val="P68B1DB1-Normal42"/>
        <w:spacing w:line="240" w:lineRule="auto"/>
        <w:ind w:left="851"/>
        <w:jc w:val="both"/>
        <w:rPr>
          <w:noProof/>
        </w:rPr>
      </w:pPr>
      <w:r>
        <w:rPr>
          <w:noProof/>
        </w:rPr>
        <w:t>Investissement C2.3 R2-I2 - Mise en place d'un référentiel central de données et d'un système d'analyse métier</w:t>
      </w:r>
    </w:p>
    <w:p w14:paraId="242BF2AF" w14:textId="77777777" w:rsidR="00553430" w:rsidRDefault="00212577">
      <w:pPr>
        <w:pStyle w:val="P68B1DB1-Normal33"/>
        <w:spacing w:after="100" w:line="240" w:lineRule="auto"/>
        <w:jc w:val="both"/>
        <w:rPr>
          <w:noProof/>
        </w:rPr>
      </w:pPr>
      <w:r>
        <w:rPr>
          <w:noProof/>
        </w:rPr>
        <w:t>L’objectif de cet investissement est de construire un ent</w:t>
      </w:r>
      <w:r>
        <w:rPr>
          <w:noProof/>
        </w:rPr>
        <w:t>repôt central de données (DWH) pour les autorités gouvernementales, qui devrait améliorer le système de gestion des données, en facilitant la collecte de données dans des formats normalisés, le traitement, l’analyse et le partage des données entre les auto</w:t>
      </w:r>
      <w:r>
        <w:rPr>
          <w:noProof/>
        </w:rPr>
        <w:t>rités publiques (telles que l’État et les collectivités locales). La plateforme permet l’analyse des données en temps réel et produit des outils avancés d’analyse des données (tels que des indicateurs opérationnels prédéfinis, des tableaux de bord et des r</w:t>
      </w:r>
      <w:r>
        <w:rPr>
          <w:noProof/>
        </w:rPr>
        <w:t>apports quotidiens), qui devraient améliorer considérablement la prise de décision fondée sur les données à tous les niveaux de l’administration nationale.</w:t>
      </w:r>
    </w:p>
    <w:p w14:paraId="4509ECB4" w14:textId="77777777" w:rsidR="00553430" w:rsidRDefault="00212577">
      <w:pPr>
        <w:pStyle w:val="P68B1DB1-Normal33"/>
        <w:spacing w:after="100" w:line="240" w:lineRule="auto"/>
        <w:jc w:val="both"/>
        <w:rPr>
          <w:noProof/>
        </w:rPr>
      </w:pPr>
      <w:r>
        <w:rPr>
          <w:noProof/>
        </w:rPr>
        <w:t>Une partie de l’entrepôt de données est également accessible aux citoyens et aux entreprises, afin d</w:t>
      </w:r>
      <w:r>
        <w:rPr>
          <w:noProof/>
        </w:rPr>
        <w:t xml:space="preserve">e permettre au secteur privé de construire et de développer des services à valeur ajoutée sur la base des données et des outils d’analyse mis à leur disposition. </w:t>
      </w:r>
    </w:p>
    <w:p w14:paraId="28CA9A05" w14:textId="77777777" w:rsidR="00553430" w:rsidRDefault="00212577">
      <w:pPr>
        <w:pStyle w:val="P68B1DB1-Normal33"/>
        <w:spacing w:line="240" w:lineRule="auto"/>
        <w:jc w:val="both"/>
        <w:rPr>
          <w:noProof/>
        </w:rPr>
      </w:pPr>
      <w:r>
        <w:rPr>
          <w:noProof/>
        </w:rPr>
        <w:t>Cet investissement est achevé au plus tard le 31 décembre 2024.</w:t>
      </w:r>
    </w:p>
    <w:p w14:paraId="7F83897B" w14:textId="77777777" w:rsidR="00553430" w:rsidRDefault="00212577">
      <w:pPr>
        <w:pStyle w:val="P68B1DB1-Normal42"/>
        <w:spacing w:line="240" w:lineRule="auto"/>
        <w:ind w:left="851"/>
        <w:jc w:val="both"/>
        <w:rPr>
          <w:iCs/>
          <w:noProof/>
        </w:rPr>
      </w:pPr>
      <w:r>
        <w:rPr>
          <w:noProof/>
        </w:rPr>
        <w:t>Investissement C2.3 R3-I1 - M</w:t>
      </w:r>
      <w:r>
        <w:rPr>
          <w:noProof/>
        </w:rPr>
        <w:t>odernisation du Centre de services partagés</w:t>
      </w:r>
    </w:p>
    <w:p w14:paraId="743E2173" w14:textId="77777777" w:rsidR="00553430" w:rsidRDefault="00212577">
      <w:pPr>
        <w:pStyle w:val="P68B1DB1-Normal33"/>
        <w:spacing w:line="240" w:lineRule="auto"/>
        <w:jc w:val="both"/>
        <w:rPr>
          <w:noProof/>
        </w:rPr>
      </w:pPr>
      <w:r>
        <w:rPr>
          <w:noProof/>
        </w:rPr>
        <w:t>L’objectif de cet investissement est d’accroître la capacité de l’informatique en nuage de l’État (Centre de services partagés, ci-après le «CDU»).</w:t>
      </w:r>
    </w:p>
    <w:p w14:paraId="0E963D07" w14:textId="77777777" w:rsidR="00553430" w:rsidRDefault="00212577">
      <w:pPr>
        <w:pStyle w:val="P68B1DB1-Normal33"/>
        <w:spacing w:line="240" w:lineRule="auto"/>
        <w:jc w:val="both"/>
        <w:rPr>
          <w:noProof/>
        </w:rPr>
      </w:pPr>
      <w:r>
        <w:rPr>
          <w:noProof/>
        </w:rPr>
        <w:t>La mesure consiste à moderniser le nuage d'État et à augmenter l</w:t>
      </w:r>
      <w:r>
        <w:rPr>
          <w:noProof/>
        </w:rPr>
        <w:t>e nombre de ses utilisateurs.</w:t>
      </w:r>
    </w:p>
    <w:p w14:paraId="34AFFFF3" w14:textId="77777777" w:rsidR="00553430" w:rsidRDefault="00212577">
      <w:pPr>
        <w:pStyle w:val="P68B1DB1-Normal42"/>
        <w:spacing w:line="240" w:lineRule="auto"/>
        <w:ind w:left="851"/>
        <w:jc w:val="both"/>
        <w:rPr>
          <w:noProof/>
        </w:rPr>
      </w:pPr>
      <w:r>
        <w:rPr>
          <w:noProof/>
        </w:rPr>
        <w:t>Investissement C2.3 R3-I2 - Renforcement de la capacité de la police à lutter contre la cybercriminalité</w:t>
      </w:r>
    </w:p>
    <w:p w14:paraId="5EFACEEA" w14:textId="77777777" w:rsidR="00553430" w:rsidRDefault="00212577">
      <w:pPr>
        <w:pStyle w:val="P68B1DB1-Normal33"/>
        <w:spacing w:line="240" w:lineRule="auto"/>
        <w:jc w:val="both"/>
        <w:rPr>
          <w:iCs/>
          <w:noProof/>
        </w:rPr>
      </w:pPr>
      <w:r>
        <w:rPr>
          <w:noProof/>
        </w:rPr>
        <w:t>L'objectif de l'investissement est de renforcer la capacité du ministère de l'Intérieur à lutter contre la cybercriminali</w:t>
      </w:r>
      <w:r>
        <w:rPr>
          <w:noProof/>
        </w:rPr>
        <w:t xml:space="preserve">té. </w:t>
      </w:r>
    </w:p>
    <w:p w14:paraId="56E0C557" w14:textId="77777777" w:rsidR="00553430" w:rsidRDefault="00212577">
      <w:pPr>
        <w:pStyle w:val="P68B1DB1-Normal33"/>
        <w:spacing w:line="240" w:lineRule="auto"/>
        <w:jc w:val="both"/>
        <w:rPr>
          <w:iCs/>
          <w:noProof/>
        </w:rPr>
      </w:pPr>
      <w:r>
        <w:rPr>
          <w:noProof/>
        </w:rPr>
        <w:t>L’investissement comprend l’achat d’équipements spécialisés destinés à la police pour l’analyse des preuves numériques, la formation spécialisée des policiers pour détecter et combattre les cyberattaques et la mise en œuvre d’une campagne de préventio</w:t>
      </w:r>
      <w:r>
        <w:rPr>
          <w:noProof/>
        </w:rPr>
        <w:t xml:space="preserve">n publique ciblant les entreprises et les citoyens afin de sensibiliser à la cybercriminalité. </w:t>
      </w:r>
    </w:p>
    <w:p w14:paraId="07FF8EC0" w14:textId="77777777" w:rsidR="00553430" w:rsidRDefault="00212577">
      <w:pPr>
        <w:pStyle w:val="P68B1DB1-Normal33"/>
        <w:spacing w:line="240" w:lineRule="auto"/>
        <w:jc w:val="both"/>
        <w:rPr>
          <w:noProof/>
        </w:rPr>
      </w:pPr>
      <w:r>
        <w:rPr>
          <w:noProof/>
        </w:rPr>
        <w:t>Cet investissement est achevé au plus tard le 31 décembre 2024.</w:t>
      </w:r>
    </w:p>
    <w:p w14:paraId="7213FDB1" w14:textId="77777777" w:rsidR="00553430" w:rsidRDefault="00212577">
      <w:pPr>
        <w:pStyle w:val="P68B1DB1-Normal42"/>
        <w:spacing w:line="240" w:lineRule="auto"/>
        <w:ind w:left="851"/>
        <w:jc w:val="both"/>
        <w:rPr>
          <w:noProof/>
        </w:rPr>
      </w:pPr>
      <w:r>
        <w:rPr>
          <w:noProof/>
        </w:rPr>
        <w:t>Investissement C2.3 R3-I3 - Mise en place d’un guichet unique pour tous les services d’assistanc</w:t>
      </w:r>
      <w:r>
        <w:rPr>
          <w:noProof/>
        </w:rPr>
        <w:t>e publique en ligne</w:t>
      </w:r>
    </w:p>
    <w:p w14:paraId="03F85402" w14:textId="77777777" w:rsidR="00553430" w:rsidRDefault="00212577">
      <w:pPr>
        <w:pStyle w:val="P68B1DB1-Normal33"/>
        <w:spacing w:line="240" w:lineRule="auto"/>
        <w:jc w:val="both"/>
        <w:rPr>
          <w:iCs/>
          <w:noProof/>
        </w:rPr>
      </w:pPr>
      <w:r>
        <w:rPr>
          <w:noProof/>
        </w:rPr>
        <w:t>L’objectif de l’investissement est de créer un guichet unique (JKC) qui harmonise et centralise le système de service d’assistance de tous les services en ligne des administrations publiques. Le guichet unique devrait fournir un nouveau</w:t>
      </w:r>
      <w:r>
        <w:rPr>
          <w:noProof/>
        </w:rPr>
        <w:t xml:space="preserve"> service amélioré permettant aux citoyens et aux entreprises de communiquer avec les administrations publiques et aux utilisateurs de trouver facilement les informations demandées. Le guichet unique comporte également des fonctionnalités permettant aux uti</w:t>
      </w:r>
      <w:r>
        <w:rPr>
          <w:noProof/>
        </w:rPr>
        <w:t xml:space="preserve">lisateurs d’envoyer un retour d’information, d’évaluer la qualité de l’interaction avec les fonctionnaires et de post-évaluation, ce qui devrait transformer l’interaction entre l’administration publique croate et ses utilisateurs. </w:t>
      </w:r>
    </w:p>
    <w:p w14:paraId="68BB88FF" w14:textId="77777777" w:rsidR="00553430" w:rsidRDefault="00212577">
      <w:pPr>
        <w:pStyle w:val="P68B1DB1-Normal33"/>
        <w:spacing w:line="240" w:lineRule="auto"/>
        <w:jc w:val="both"/>
        <w:rPr>
          <w:noProof/>
        </w:rPr>
      </w:pPr>
      <w:r>
        <w:rPr>
          <w:noProof/>
        </w:rPr>
        <w:t>Cet investissement est a</w:t>
      </w:r>
      <w:r>
        <w:rPr>
          <w:noProof/>
        </w:rPr>
        <w:t>chevé au plus tard le 31 décembre 2023.</w:t>
      </w:r>
    </w:p>
    <w:p w14:paraId="7D838848" w14:textId="77777777" w:rsidR="00553430" w:rsidRDefault="00553430">
      <w:pPr>
        <w:spacing w:line="240" w:lineRule="auto"/>
        <w:jc w:val="both"/>
        <w:rPr>
          <w:rFonts w:ascii="Times New Roman" w:eastAsia="Calibri" w:hAnsi="Times New Roman" w:cs="Times New Roman"/>
          <w:noProof/>
          <w:sz w:val="24"/>
          <w:szCs w:val="24"/>
        </w:rPr>
      </w:pPr>
    </w:p>
    <w:p w14:paraId="3A1036B5" w14:textId="77777777" w:rsidR="00553430" w:rsidRDefault="00212577">
      <w:pPr>
        <w:pStyle w:val="P68B1DB1-Normal42"/>
        <w:spacing w:line="240" w:lineRule="auto"/>
        <w:ind w:left="851"/>
        <w:jc w:val="both"/>
        <w:rPr>
          <w:noProof/>
        </w:rPr>
      </w:pPr>
      <w:r>
        <w:rPr>
          <w:noProof/>
        </w:rPr>
        <w:t>Investissement C2.3 R3-I4 - Consolidation des systèmes d'infrastructure d'information sanitaire CEZIH</w:t>
      </w:r>
    </w:p>
    <w:p w14:paraId="1B0F7DAC" w14:textId="77777777" w:rsidR="00553430" w:rsidRDefault="00212577">
      <w:pPr>
        <w:pStyle w:val="P68B1DB1-Normal33"/>
        <w:spacing w:after="100" w:line="240" w:lineRule="auto"/>
        <w:jc w:val="both"/>
        <w:rPr>
          <w:noProof/>
        </w:rPr>
      </w:pPr>
      <w:r>
        <w:rPr>
          <w:noProof/>
        </w:rPr>
        <w:t xml:space="preserve">L’objectif de l’investissement est de moderniser le système central d’information sur la santé de la République </w:t>
      </w:r>
      <w:r>
        <w:rPr>
          <w:noProof/>
        </w:rPr>
        <w:t>de Croatie (CEZIH), qui est utilisé par tous les acteurs du système de santé (tels que les hôpitaux, le personnel médical, les écoles de médecine, les établissements de santé publique, les pharmacies et les laboratoires).</w:t>
      </w:r>
    </w:p>
    <w:p w14:paraId="3C54E0A3" w14:textId="77777777" w:rsidR="00553430" w:rsidRDefault="00212577">
      <w:pPr>
        <w:pStyle w:val="P68B1DB1-Normal33"/>
        <w:spacing w:after="100" w:line="240" w:lineRule="auto"/>
        <w:jc w:val="both"/>
        <w:rPr>
          <w:noProof/>
        </w:rPr>
      </w:pPr>
      <w:r>
        <w:rPr>
          <w:noProof/>
        </w:rPr>
        <w:t>L’investissement consiste en parti</w:t>
      </w:r>
      <w:r>
        <w:rPr>
          <w:noProof/>
        </w:rPr>
        <w:t>culier à migrer le système vers le nuage d’État (centre de services partagés) et à mettre en place des solutions de reprise après sinistre, afin d’assurer la continuité des activités et de fournir un mode de fonctionnement continu, fiable et sûr du système</w:t>
      </w:r>
      <w:r>
        <w:rPr>
          <w:noProof/>
        </w:rPr>
        <w:t xml:space="preserve"> central d’information sanitaire. </w:t>
      </w:r>
    </w:p>
    <w:p w14:paraId="1F3AAD0D" w14:textId="77777777" w:rsidR="00553430" w:rsidRDefault="00212577">
      <w:pPr>
        <w:pStyle w:val="P68B1DB1-Normal33"/>
        <w:spacing w:line="240" w:lineRule="auto"/>
        <w:jc w:val="both"/>
        <w:rPr>
          <w:noProof/>
        </w:rPr>
      </w:pPr>
      <w:r>
        <w:rPr>
          <w:noProof/>
        </w:rPr>
        <w:t>Cet investissement est achevé au plus tard le 30 juin 2024.</w:t>
      </w:r>
    </w:p>
    <w:p w14:paraId="290D8B6A" w14:textId="77777777" w:rsidR="00553430" w:rsidRDefault="00212577">
      <w:pPr>
        <w:pStyle w:val="P68B1DB1-Normal42"/>
        <w:spacing w:line="240" w:lineRule="auto"/>
        <w:ind w:left="851"/>
        <w:jc w:val="both"/>
        <w:rPr>
          <w:noProof/>
        </w:rPr>
      </w:pPr>
      <w:r>
        <w:rPr>
          <w:noProof/>
        </w:rPr>
        <w:t>Investissement C2.3 R3-I5 - Projet de déploiement de la carte d'identité numérique</w:t>
      </w:r>
    </w:p>
    <w:p w14:paraId="07AA241F" w14:textId="77777777" w:rsidR="00553430" w:rsidRDefault="00212577">
      <w:pPr>
        <w:pStyle w:val="P68B1DB1-Normal33"/>
        <w:spacing w:line="240" w:lineRule="auto"/>
        <w:jc w:val="both"/>
        <w:rPr>
          <w:noProof/>
        </w:rPr>
      </w:pPr>
      <w:r>
        <w:rPr>
          <w:noProof/>
        </w:rPr>
        <w:t>L’objectif de l’investissement est de promouvoir l’utilisation de signatures é</w:t>
      </w:r>
      <w:r>
        <w:rPr>
          <w:noProof/>
        </w:rPr>
        <w:t>lectroniques dans l’interaction des citoyens avec l’administration publique. La mesure devrait permettre aux utilisateurs d’e-ID de signer des documents sur des plateformes mobiles grâce à l’utilisation de l’application mobile Certilia.</w:t>
      </w:r>
    </w:p>
    <w:p w14:paraId="25387F19" w14:textId="77777777" w:rsidR="00553430" w:rsidRDefault="00212577">
      <w:pPr>
        <w:pStyle w:val="P68B1DB1-Normal33"/>
        <w:spacing w:line="240" w:lineRule="auto"/>
        <w:jc w:val="both"/>
        <w:rPr>
          <w:iCs/>
          <w:noProof/>
        </w:rPr>
      </w:pPr>
      <w:r>
        <w:rPr>
          <w:noProof/>
        </w:rPr>
        <w:t>Elle met en place u</w:t>
      </w:r>
      <w:r>
        <w:rPr>
          <w:noProof/>
        </w:rPr>
        <w:t>n système de gestion de l’identité numérique (IDP) et un système de signature mobile pour délivrer des certificats à distance pour une signature électronique qualifiée à distance. La délivrance d’un tel certificat est une condition préalable à la signature</w:t>
      </w:r>
      <w:r>
        <w:rPr>
          <w:noProof/>
        </w:rPr>
        <w:t xml:space="preserve"> électronique de documents sur des plateformes mobiles ou dans des applications de signature mobile.</w:t>
      </w:r>
    </w:p>
    <w:p w14:paraId="0370A0A7" w14:textId="77777777" w:rsidR="00553430" w:rsidRDefault="00212577">
      <w:pPr>
        <w:pStyle w:val="P68B1DB1-Normal33"/>
        <w:spacing w:line="240" w:lineRule="auto"/>
        <w:jc w:val="both"/>
        <w:rPr>
          <w:noProof/>
        </w:rPr>
      </w:pPr>
      <w:r>
        <w:rPr>
          <w:noProof/>
        </w:rPr>
        <w:t>Cet investissement est achevé au plus tard le 31 décembre 2024.</w:t>
      </w:r>
    </w:p>
    <w:p w14:paraId="12CFCD7C" w14:textId="77777777" w:rsidR="00553430" w:rsidRDefault="00212577">
      <w:pPr>
        <w:pStyle w:val="P68B1DB1-Normal42"/>
        <w:spacing w:line="240" w:lineRule="auto"/>
        <w:ind w:left="851"/>
        <w:jc w:val="both"/>
        <w:rPr>
          <w:noProof/>
        </w:rPr>
      </w:pPr>
      <w:r>
        <w:rPr>
          <w:noProof/>
        </w:rPr>
        <w:t>Investissement C2.3 R3-I6 - Investissement dans le réseau d'infrastructures d'information d</w:t>
      </w:r>
      <w:r>
        <w:rPr>
          <w:noProof/>
        </w:rPr>
        <w:t>e l'État</w:t>
      </w:r>
    </w:p>
    <w:p w14:paraId="490AC4F8" w14:textId="77777777" w:rsidR="00553430" w:rsidRDefault="00212577">
      <w:pPr>
        <w:pStyle w:val="P68B1DB1-Normal33"/>
        <w:spacing w:after="100" w:line="240" w:lineRule="auto"/>
        <w:jc w:val="both"/>
        <w:rPr>
          <w:noProof/>
        </w:rPr>
      </w:pPr>
      <w:r>
        <w:rPr>
          <w:noProof/>
        </w:rPr>
        <w:t xml:space="preserve">L’objectif de cet investissement est de moderniser et d’étendre la capacité du réseau d’infrastructures d’information de l’État (réseau DII). </w:t>
      </w:r>
    </w:p>
    <w:p w14:paraId="3D333D67" w14:textId="77777777" w:rsidR="00553430" w:rsidRDefault="00212577">
      <w:pPr>
        <w:pStyle w:val="P68B1DB1-Normal33"/>
        <w:spacing w:after="100" w:line="240" w:lineRule="auto"/>
        <w:jc w:val="both"/>
        <w:rPr>
          <w:noProof/>
        </w:rPr>
      </w:pPr>
      <w:r>
        <w:rPr>
          <w:noProof/>
        </w:rPr>
        <w:t xml:space="preserve">La mesure consiste en la mise à niveau du réseau DII et la connexion de nouveaux utilisateurs au réseau </w:t>
      </w:r>
      <w:r>
        <w:rPr>
          <w:noProof/>
        </w:rPr>
        <w:t>DII.</w:t>
      </w:r>
    </w:p>
    <w:p w14:paraId="71C7740D" w14:textId="77777777" w:rsidR="00553430" w:rsidRDefault="00212577">
      <w:pPr>
        <w:pStyle w:val="P68B1DB1-Normal42"/>
        <w:spacing w:line="240" w:lineRule="auto"/>
        <w:ind w:left="851"/>
        <w:jc w:val="both"/>
        <w:rPr>
          <w:noProof/>
        </w:rPr>
      </w:pPr>
      <w:r>
        <w:rPr>
          <w:noProof/>
        </w:rPr>
        <w:t>Investissement C2.3 R3-I7 - Amélioration du système d'aménagement du territoire, de construction et des biens de l'État par la numérisation</w:t>
      </w:r>
    </w:p>
    <w:p w14:paraId="0BBC1C8C" w14:textId="5A0120ED" w:rsidR="00553430" w:rsidRDefault="00212577">
      <w:pPr>
        <w:pStyle w:val="P68B1DB1-Normal33"/>
        <w:spacing w:after="100" w:line="240" w:lineRule="auto"/>
        <w:jc w:val="both"/>
        <w:rPr>
          <w:noProof/>
        </w:rPr>
      </w:pPr>
      <w:r>
        <w:rPr>
          <w:noProof/>
        </w:rPr>
        <w:t>L’objectif de cet investissement est de transformer le système d’information sur les plans d’aménagement du ter</w:t>
      </w:r>
      <w:r>
        <w:rPr>
          <w:noProof/>
        </w:rPr>
        <w:t xml:space="preserve">ritoire (ISPU) en un système d’information intégré pour l’aménagement du territoire et de permettre la numérisation des procédures liées à la préparation et à la mise en œuvre de projets individuels. </w:t>
      </w:r>
    </w:p>
    <w:p w14:paraId="4A9FEA38" w14:textId="77777777" w:rsidR="00553430" w:rsidRDefault="00212577">
      <w:pPr>
        <w:pStyle w:val="P68B1DB1-Normal33"/>
        <w:spacing w:after="100" w:line="240" w:lineRule="auto"/>
        <w:jc w:val="both"/>
        <w:rPr>
          <w:noProof/>
        </w:rPr>
      </w:pPr>
      <w:r>
        <w:rPr>
          <w:noProof/>
        </w:rPr>
        <w:t>La</w:t>
      </w:r>
      <w:r>
        <w:rPr>
          <w:noProof/>
        </w:rPr>
        <w:t xml:space="preserve"> mesure consiste en la création de plans d’aménagement du territoire de nouvelle génération et la mise à niveau de l’ISPU.</w:t>
      </w:r>
    </w:p>
    <w:p w14:paraId="73E94B7E" w14:textId="77777777" w:rsidR="00553430" w:rsidRDefault="00212577">
      <w:pPr>
        <w:pStyle w:val="P68B1DB1-Normal42"/>
        <w:spacing w:line="240" w:lineRule="auto"/>
        <w:ind w:left="851"/>
        <w:jc w:val="both"/>
        <w:rPr>
          <w:noProof/>
        </w:rPr>
      </w:pPr>
      <w:r>
        <w:rPr>
          <w:noProof/>
        </w:rPr>
        <w:t>Investissement C2.3 R3-I8 - Création d'une plateforme mobile numérique</w:t>
      </w:r>
    </w:p>
    <w:p w14:paraId="58022937" w14:textId="77777777" w:rsidR="00553430" w:rsidRDefault="00212577">
      <w:pPr>
        <w:pStyle w:val="P68B1DB1-Normal33"/>
        <w:spacing w:after="100" w:line="240" w:lineRule="auto"/>
        <w:jc w:val="both"/>
        <w:rPr>
          <w:noProof/>
        </w:rPr>
      </w:pPr>
      <w:r>
        <w:rPr>
          <w:noProof/>
        </w:rPr>
        <w:t>L’objectif de cet investissement est de créer une plateforme d</w:t>
      </w:r>
      <w:r>
        <w:rPr>
          <w:noProof/>
        </w:rPr>
        <w:t>e service public numérique mobile afin de permettre aux citoyens d’utiliser facilement les services publics en ligne sur leurs smartphones. Les «services eCitizens» existants ont été développés pour les ordinateurs personnels et ne sont actuellement pas ad</w:t>
      </w:r>
      <w:r>
        <w:rPr>
          <w:noProof/>
        </w:rPr>
        <w:t>aptés aux appareils mobiles, d’où la nécessité d’une plateforme adaptée aux applications mobiles.</w:t>
      </w:r>
    </w:p>
    <w:p w14:paraId="65F41A57" w14:textId="77777777" w:rsidR="00553430" w:rsidRDefault="00212577">
      <w:pPr>
        <w:pStyle w:val="P68B1DB1-Normal33"/>
        <w:spacing w:after="100" w:line="240" w:lineRule="auto"/>
        <w:jc w:val="both"/>
        <w:rPr>
          <w:noProof/>
        </w:rPr>
      </w:pPr>
      <w:r>
        <w:rPr>
          <w:noProof/>
        </w:rPr>
        <w:t>Cet investissement, qui s’appuie sur des technologies et des normes de pointe, permettra de mettre en place une plateforme offrant un mode normalisé d’offre d</w:t>
      </w:r>
      <w:r>
        <w:rPr>
          <w:noProof/>
        </w:rPr>
        <w:t xml:space="preserve">e services publics sur les plateformes mobiles (comme la demande de preuve d’acte de naissance, la demande de preuve de résidence, l’enregistrement d’un changement d’adresse; immatriculation d'un véhicule à moteur). Il connecte tous les registres et bases </w:t>
      </w:r>
      <w:r>
        <w:rPr>
          <w:noProof/>
        </w:rPr>
        <w:t>de données connexes au bus central d’échange de données (GSB). L’investissement permettra également d’adapter le système national d’authentification d’identification (NIAS) aux dernières tendances en matière d’authentification pour les plateformes mobiles,</w:t>
      </w:r>
      <w:r>
        <w:rPr>
          <w:noProof/>
        </w:rPr>
        <w:t xml:space="preserve"> en mettant en œuvre des méthodes d’application biométriques modernes.</w:t>
      </w:r>
    </w:p>
    <w:p w14:paraId="60A36301" w14:textId="77777777" w:rsidR="00553430" w:rsidRDefault="00212577">
      <w:pPr>
        <w:pStyle w:val="P68B1DB1-Normal33"/>
        <w:spacing w:line="240" w:lineRule="auto"/>
        <w:jc w:val="both"/>
        <w:rPr>
          <w:noProof/>
        </w:rPr>
      </w:pPr>
      <w:r>
        <w:rPr>
          <w:noProof/>
        </w:rPr>
        <w:t>Cet investissement est achevé au plus tard le 31 décembre 2024.</w:t>
      </w:r>
    </w:p>
    <w:p w14:paraId="771A10AD" w14:textId="77777777" w:rsidR="00553430" w:rsidRDefault="00553430">
      <w:pPr>
        <w:spacing w:line="240" w:lineRule="auto"/>
        <w:jc w:val="both"/>
        <w:rPr>
          <w:rFonts w:ascii="Times New Roman" w:eastAsia="Calibri" w:hAnsi="Times New Roman" w:cs="Times New Roman"/>
          <w:noProof/>
          <w:sz w:val="24"/>
          <w:szCs w:val="24"/>
        </w:rPr>
      </w:pPr>
    </w:p>
    <w:p w14:paraId="3DFEAB98" w14:textId="77777777" w:rsidR="00553430" w:rsidRDefault="00212577">
      <w:pPr>
        <w:pStyle w:val="P68B1DB1-Normal42"/>
        <w:spacing w:line="240" w:lineRule="auto"/>
        <w:ind w:left="851"/>
        <w:jc w:val="both"/>
        <w:rPr>
          <w:noProof/>
        </w:rPr>
      </w:pPr>
      <w:r>
        <w:rPr>
          <w:noProof/>
        </w:rPr>
        <w:t>Investissement C2.3 R3-I9 - Mise en place d’une nouvelle plateforme pour le bulletin électronique des marchés publics de</w:t>
      </w:r>
      <w:r>
        <w:rPr>
          <w:noProof/>
        </w:rPr>
        <w:t xml:space="preserve"> la République de Croatie</w:t>
      </w:r>
    </w:p>
    <w:p w14:paraId="6E09ABAD" w14:textId="77777777" w:rsidR="00553430" w:rsidRDefault="00212577">
      <w:pPr>
        <w:pStyle w:val="P68B1DB1-Normal33"/>
        <w:spacing w:after="100" w:line="240" w:lineRule="auto"/>
        <w:jc w:val="both"/>
        <w:rPr>
          <w:noProof/>
        </w:rPr>
      </w:pPr>
      <w:r>
        <w:rPr>
          <w:noProof/>
        </w:rPr>
        <w:t>L’objectif de cet investissement est de mettre en place une nouvelle plateforme informatique pour le système de passation électronique des marchés publics, en vue de soutenir la numérisation de la procédure de passation des marché</w:t>
      </w:r>
      <w:r>
        <w:rPr>
          <w:noProof/>
        </w:rPr>
        <w:t>s publics et de mettre en œuvre les nouveaux formulaires types pour la publication d’avis dans le domaine des marchés publics établis dans le règlement d’exécution (UE) 2019/1780 de la Commission (formulaires électroniques).</w:t>
      </w:r>
    </w:p>
    <w:p w14:paraId="040BF44D" w14:textId="77777777" w:rsidR="00553430" w:rsidRDefault="00212577">
      <w:pPr>
        <w:pStyle w:val="P68B1DB1-Normal33"/>
        <w:spacing w:after="100" w:line="240" w:lineRule="auto"/>
        <w:jc w:val="both"/>
        <w:rPr>
          <w:noProof/>
        </w:rPr>
      </w:pPr>
      <w:r>
        <w:rPr>
          <w:noProof/>
        </w:rPr>
        <w:t>L’investissement modernisera la</w:t>
      </w:r>
      <w:r>
        <w:rPr>
          <w:noProof/>
        </w:rPr>
        <w:t xml:space="preserve"> plateforme informatique de la publicité électronique croate pour les marchés publics (EOJN), qui repose actuellement sur une technologie obsolète et ne soutient pas correctement la conduite efficace des procédures de passation de marchés publics. En parti</w:t>
      </w:r>
      <w:r>
        <w:rPr>
          <w:noProof/>
        </w:rPr>
        <w:t>culier, la mesure permettra de relier toutes les procédures de passation de marchés (du plan de passation de marchés, en passant par la conduite de la procédure, aux données sur les paiements fondés sur des contrats conclus) et introduira des recours en li</w:t>
      </w:r>
      <w:r>
        <w:rPr>
          <w:noProof/>
        </w:rPr>
        <w:t>gne (appels électroniques) comme obligatoires et la possibilité de payer des frais en ligne. L’investissement établit également un cadre permettant de suivre le respect de certains critères et objectifs minimaux obligatoires (tels que les marchés publics s</w:t>
      </w:r>
      <w:r>
        <w:rPr>
          <w:noProof/>
        </w:rPr>
        <w:t>tratégiques, écologiques ou innovants).</w:t>
      </w:r>
    </w:p>
    <w:p w14:paraId="59A7E98A" w14:textId="77777777" w:rsidR="00553430" w:rsidRDefault="00212577">
      <w:pPr>
        <w:pStyle w:val="P68B1DB1-Normal33"/>
        <w:spacing w:line="240" w:lineRule="auto"/>
        <w:jc w:val="both"/>
        <w:rPr>
          <w:noProof/>
        </w:rPr>
      </w:pPr>
      <w:r>
        <w:rPr>
          <w:noProof/>
        </w:rPr>
        <w:t>Cet investissement est achevé au plus tard le 31 décembre 2023.</w:t>
      </w:r>
    </w:p>
    <w:p w14:paraId="19B73C7C" w14:textId="77777777" w:rsidR="00553430" w:rsidRDefault="00212577">
      <w:pPr>
        <w:pStyle w:val="P68B1DB1-Normal42"/>
        <w:spacing w:line="240" w:lineRule="auto"/>
        <w:ind w:left="851"/>
        <w:jc w:val="both"/>
        <w:rPr>
          <w:noProof/>
        </w:rPr>
      </w:pPr>
      <w:r>
        <w:rPr>
          <w:noProof/>
        </w:rPr>
        <w:t>Investissement C2.3 R3-I10 - Numérisation du CES (eHZZ)</w:t>
      </w:r>
    </w:p>
    <w:p w14:paraId="2598235C" w14:textId="77777777" w:rsidR="00553430" w:rsidRDefault="00212577">
      <w:pPr>
        <w:pStyle w:val="P68B1DB1-Normal33"/>
        <w:spacing w:after="100" w:line="240" w:lineRule="auto"/>
        <w:jc w:val="both"/>
        <w:rPr>
          <w:noProof/>
        </w:rPr>
      </w:pPr>
      <w:r>
        <w:rPr>
          <w:noProof/>
        </w:rPr>
        <w:t>L’objectif de cet investissement est de numériser le service croate de l’emploi (CES – HZZ).</w:t>
      </w:r>
    </w:p>
    <w:p w14:paraId="589150BE" w14:textId="77777777" w:rsidR="00553430" w:rsidRDefault="00212577">
      <w:pPr>
        <w:pStyle w:val="P68B1DB1-Normal33"/>
        <w:spacing w:after="100" w:line="240" w:lineRule="auto"/>
        <w:jc w:val="both"/>
        <w:rPr>
          <w:noProof/>
        </w:rPr>
      </w:pPr>
      <w:r>
        <w:rPr>
          <w:noProof/>
        </w:rPr>
        <w:t xml:space="preserve">La </w:t>
      </w:r>
      <w:r>
        <w:rPr>
          <w:noProof/>
        </w:rPr>
        <w:t xml:space="preserve">mesure consiste à mettre en service le système de gestion de l’identité numérique et le système numérique de gestion des ressources humaines du CES, et à moderniser la numérisation du CES. </w:t>
      </w:r>
    </w:p>
    <w:p w14:paraId="59D37E6F" w14:textId="77777777" w:rsidR="00553430" w:rsidRDefault="00212577">
      <w:pPr>
        <w:pStyle w:val="P68B1DB1-Normal42"/>
        <w:spacing w:line="240" w:lineRule="auto"/>
        <w:ind w:left="851"/>
        <w:jc w:val="both"/>
        <w:rPr>
          <w:noProof/>
        </w:rPr>
      </w:pPr>
      <w:r>
        <w:rPr>
          <w:noProof/>
        </w:rPr>
        <w:t>Investissement C2.3 R3-I11 - Soutien aux TIC pour la modernisation</w:t>
      </w:r>
      <w:r>
        <w:rPr>
          <w:noProof/>
        </w:rPr>
        <w:t xml:space="preserve"> du HZMO (eHZMO)</w:t>
      </w:r>
    </w:p>
    <w:p w14:paraId="21A65A5E" w14:textId="77777777" w:rsidR="00553430" w:rsidRDefault="00212577">
      <w:pPr>
        <w:pStyle w:val="P68B1DB1-Normal33"/>
        <w:spacing w:after="100" w:line="240" w:lineRule="auto"/>
        <w:jc w:val="both"/>
        <w:rPr>
          <w:noProof/>
        </w:rPr>
      </w:pPr>
      <w:r>
        <w:rPr>
          <w:noProof/>
        </w:rPr>
        <w:t xml:space="preserve">L’objectif de cet investissement est de moderniser le système informatique de l’Institut croate d’assurance retraite (HZMO) et de numériser ses principaux processus opérationnels. </w:t>
      </w:r>
    </w:p>
    <w:p w14:paraId="05E58D29" w14:textId="77777777" w:rsidR="00553430" w:rsidRDefault="00212577">
      <w:pPr>
        <w:pStyle w:val="P68B1DB1-Normal33"/>
        <w:spacing w:after="100" w:line="240" w:lineRule="auto"/>
        <w:jc w:val="both"/>
        <w:rPr>
          <w:noProof/>
        </w:rPr>
      </w:pPr>
      <w:r>
        <w:rPr>
          <w:noProof/>
        </w:rPr>
        <w:t>La mesure consiste en la mise à niveau du système informat</w:t>
      </w:r>
      <w:r>
        <w:rPr>
          <w:noProof/>
        </w:rPr>
        <w:t>ique de HZMO.</w:t>
      </w:r>
    </w:p>
    <w:p w14:paraId="52651C89" w14:textId="77777777" w:rsidR="00553430" w:rsidRDefault="00212577">
      <w:pPr>
        <w:pStyle w:val="P68B1DB1-Normal42"/>
        <w:spacing w:line="240" w:lineRule="auto"/>
        <w:ind w:left="851"/>
        <w:jc w:val="both"/>
        <w:rPr>
          <w:noProof/>
        </w:rPr>
      </w:pPr>
      <w:r>
        <w:rPr>
          <w:noProof/>
        </w:rPr>
        <w:t>Investissement C2.3 R3-I12 – Numérisation des archives HZMO (eArhiva)</w:t>
      </w:r>
    </w:p>
    <w:p w14:paraId="0C0487EB" w14:textId="77777777" w:rsidR="00553430" w:rsidRDefault="00212577">
      <w:pPr>
        <w:pStyle w:val="P68B1DB1-Normal33"/>
        <w:spacing w:after="100" w:line="240" w:lineRule="auto"/>
        <w:jc w:val="both"/>
        <w:rPr>
          <w:noProof/>
        </w:rPr>
      </w:pPr>
      <w:r>
        <w:rPr>
          <w:noProof/>
        </w:rPr>
        <w:t xml:space="preserve">L’objectif de cet investissement est de numériser les archives de l’Institut croate d’assurance retraite (HZMO) et d’améliorer la performance globale des travaux de l’HZMO </w:t>
      </w:r>
      <w:r>
        <w:rPr>
          <w:noProof/>
        </w:rPr>
        <w:t xml:space="preserve">ainsi que le rapport coût-efficacité des archives. </w:t>
      </w:r>
    </w:p>
    <w:p w14:paraId="24DEF52D" w14:textId="77777777" w:rsidR="00553430" w:rsidRDefault="00212577">
      <w:pPr>
        <w:pStyle w:val="P68B1DB1-Normal33"/>
        <w:spacing w:after="100" w:line="240" w:lineRule="auto"/>
        <w:jc w:val="both"/>
        <w:rPr>
          <w:noProof/>
        </w:rPr>
      </w:pPr>
      <w:r>
        <w:rPr>
          <w:noProof/>
        </w:rPr>
        <w:t>La mesure consiste à rendre les archives numériques (système de gestion des archives numériques) opérationnelles, ainsi qu’à numériser et à indexer numériquement les pages des archives nationales.</w:t>
      </w:r>
    </w:p>
    <w:p w14:paraId="187078AC" w14:textId="77777777" w:rsidR="00553430" w:rsidRDefault="00212577">
      <w:pPr>
        <w:pStyle w:val="P68B1DB1-Normal42"/>
        <w:spacing w:line="240" w:lineRule="auto"/>
        <w:ind w:left="851"/>
        <w:jc w:val="both"/>
        <w:rPr>
          <w:noProof/>
        </w:rPr>
      </w:pPr>
      <w:r>
        <w:rPr>
          <w:noProof/>
        </w:rPr>
        <w:t>Investi</w:t>
      </w:r>
      <w:r>
        <w:rPr>
          <w:noProof/>
        </w:rPr>
        <w:t>ssement C2.3 R3-I13 - Transformation numérique de l'administration fiscale</w:t>
      </w:r>
    </w:p>
    <w:p w14:paraId="2DD2103D" w14:textId="77777777" w:rsidR="00553430" w:rsidRDefault="00212577">
      <w:pPr>
        <w:pStyle w:val="P68B1DB1-Normal33"/>
        <w:spacing w:after="100" w:line="240" w:lineRule="auto"/>
        <w:jc w:val="both"/>
        <w:rPr>
          <w:noProof/>
        </w:rPr>
      </w:pPr>
      <w:r>
        <w:rPr>
          <w:noProof/>
        </w:rPr>
        <w:t xml:space="preserve">L’objectif de cet investissement est de moderniser le système d’information de l’administration fiscale et d’accroître l’efficacité de l’administration fiscale. </w:t>
      </w:r>
    </w:p>
    <w:p w14:paraId="6EC5BF03" w14:textId="77777777" w:rsidR="00553430" w:rsidRDefault="00212577">
      <w:pPr>
        <w:pStyle w:val="P68B1DB1-Normal33"/>
        <w:spacing w:after="100" w:line="240" w:lineRule="auto"/>
        <w:jc w:val="both"/>
        <w:rPr>
          <w:noProof/>
        </w:rPr>
      </w:pPr>
      <w:r>
        <w:rPr>
          <w:noProof/>
        </w:rPr>
        <w:t xml:space="preserve">La mesure consiste </w:t>
      </w:r>
      <w:r>
        <w:rPr>
          <w:noProof/>
        </w:rPr>
        <w:t>à mettre en ligne le système d’information de l’administration fiscale modernisé et à le rendre accessible.</w:t>
      </w:r>
    </w:p>
    <w:p w14:paraId="333DC18A" w14:textId="77777777" w:rsidR="00553430" w:rsidRDefault="00212577">
      <w:pPr>
        <w:pStyle w:val="P68B1DB1-Normal42"/>
        <w:spacing w:line="240" w:lineRule="auto"/>
        <w:ind w:left="851"/>
        <w:jc w:val="both"/>
        <w:rPr>
          <w:noProof/>
        </w:rPr>
      </w:pPr>
      <w:r>
        <w:rPr>
          <w:noProof/>
        </w:rPr>
        <w:t>Investissement C2.3 R3-I14 - Mise en œuvre du système de paiement non monétaire dans l’économie au moyen de factures électroniques avec des archives</w:t>
      </w:r>
      <w:r>
        <w:rPr>
          <w:noProof/>
        </w:rPr>
        <w:t xml:space="preserve"> électroniques intégrées et une comptabilité fiscale active</w:t>
      </w:r>
    </w:p>
    <w:p w14:paraId="633690E4" w14:textId="77777777" w:rsidR="00553430" w:rsidRDefault="00212577">
      <w:pPr>
        <w:pStyle w:val="P68B1DB1-Normal33"/>
        <w:spacing w:after="100" w:line="240" w:lineRule="auto"/>
        <w:jc w:val="both"/>
        <w:rPr>
          <w:noProof/>
        </w:rPr>
      </w:pPr>
      <w:r>
        <w:rPr>
          <w:noProof/>
        </w:rPr>
        <w:t xml:space="preserve">L’objectif de cet investissement est de mettre en place un système de comptabilité fiscale en ligne dans le but de réduire la charge administrative pesant sur les contribuables. </w:t>
      </w:r>
    </w:p>
    <w:p w14:paraId="3F6158CA" w14:textId="77777777" w:rsidR="00553430" w:rsidRDefault="00212577">
      <w:pPr>
        <w:pStyle w:val="P68B1DB1-Normal33"/>
        <w:spacing w:after="100" w:line="240" w:lineRule="auto"/>
        <w:jc w:val="both"/>
        <w:rPr>
          <w:noProof/>
        </w:rPr>
      </w:pPr>
      <w:r>
        <w:rPr>
          <w:noProof/>
        </w:rPr>
        <w:t xml:space="preserve">L’investissement </w:t>
      </w:r>
      <w:r>
        <w:rPr>
          <w:noProof/>
        </w:rPr>
        <w:t>met en place un nouveau système informatique pour l’enregistrement des factures électroniques (factures électroniques) émises par les autorités publiques pour les paiements autres qu’en espèces dans le système d’information de l’administration fiscale. L’i</w:t>
      </w:r>
      <w:r>
        <w:rPr>
          <w:noProof/>
        </w:rPr>
        <w:t xml:space="preserve">nvestissement doit également mettre en place un système avancé de comptabilité en ligne en matière de TVA, </w:t>
      </w:r>
    </w:p>
    <w:p w14:paraId="14980EAF" w14:textId="77777777" w:rsidR="00553430" w:rsidRDefault="00212577">
      <w:pPr>
        <w:pStyle w:val="P68B1DB1-Normal33"/>
        <w:spacing w:after="100" w:line="240" w:lineRule="auto"/>
        <w:jc w:val="both"/>
        <w:rPr>
          <w:noProof/>
        </w:rPr>
      </w:pPr>
      <w:r>
        <w:rPr>
          <w:noProof/>
        </w:rPr>
        <w:t>L’investissement devrait contribuer à la simplification des déclarations fiscales en réduisant le nombre de formulaires requis et en favorisant le r</w:t>
      </w:r>
      <w:r>
        <w:rPr>
          <w:noProof/>
        </w:rPr>
        <w:t xml:space="preserve">espect des obligations fiscales. </w:t>
      </w:r>
    </w:p>
    <w:p w14:paraId="28780620" w14:textId="77777777" w:rsidR="00553430" w:rsidRDefault="00212577">
      <w:pPr>
        <w:pStyle w:val="P68B1DB1-Normal33"/>
        <w:spacing w:after="100" w:line="240" w:lineRule="auto"/>
        <w:jc w:val="both"/>
        <w:rPr>
          <w:noProof/>
        </w:rPr>
      </w:pPr>
      <w:r>
        <w:rPr>
          <w:noProof/>
        </w:rPr>
        <w:t xml:space="preserve">L’investissement est achevé au plus tard le 31 décembre 2024. </w:t>
      </w:r>
    </w:p>
    <w:p w14:paraId="1F8FB618" w14:textId="77777777" w:rsidR="00553430" w:rsidRDefault="00212577">
      <w:pPr>
        <w:pStyle w:val="P68B1DB1-Normal42"/>
        <w:spacing w:line="240" w:lineRule="auto"/>
        <w:ind w:left="851"/>
        <w:jc w:val="both"/>
        <w:rPr>
          <w:noProof/>
        </w:rPr>
      </w:pPr>
      <w:r>
        <w:rPr>
          <w:noProof/>
        </w:rPr>
        <w:t xml:space="preserve">Investissement C2.3 R3-I15 - Mise en place de solutions d'applications touristiques </w:t>
      </w:r>
    </w:p>
    <w:p w14:paraId="67498099" w14:textId="77777777" w:rsidR="00553430" w:rsidRDefault="00212577">
      <w:pPr>
        <w:pStyle w:val="P68B1DB1-Normal33"/>
        <w:spacing w:after="100" w:line="240" w:lineRule="auto"/>
        <w:jc w:val="both"/>
        <w:rPr>
          <w:noProof/>
        </w:rPr>
      </w:pPr>
      <w:r>
        <w:rPr>
          <w:noProof/>
        </w:rPr>
        <w:t>L'objectif de cet investissement est de développer de nouveaux outils info</w:t>
      </w:r>
      <w:r>
        <w:rPr>
          <w:noProof/>
        </w:rPr>
        <w:t xml:space="preserve">rmatiques pour aider à gérer efficacement le développement du tourisme et soutenir la durabilité du secteur. </w:t>
      </w:r>
    </w:p>
    <w:p w14:paraId="09D74B2C" w14:textId="50814E99" w:rsidR="00553430" w:rsidRDefault="00212577">
      <w:pPr>
        <w:pStyle w:val="P68B1DB1-Normal33"/>
        <w:spacing w:after="100" w:line="240" w:lineRule="auto"/>
        <w:jc w:val="both"/>
        <w:rPr>
          <w:noProof/>
        </w:rPr>
      </w:pPr>
      <w:r>
        <w:rPr>
          <w:noProof/>
        </w:rPr>
        <w:t>La mesure consiste à fournir quatre outils informatiques.</w:t>
      </w:r>
    </w:p>
    <w:p w14:paraId="236B8571" w14:textId="77777777" w:rsidR="00553430" w:rsidRDefault="00212577">
      <w:pPr>
        <w:pStyle w:val="P68B1DB1-Normal42"/>
        <w:spacing w:line="240" w:lineRule="auto"/>
        <w:ind w:left="851"/>
        <w:jc w:val="both"/>
        <w:rPr>
          <w:noProof/>
        </w:rPr>
      </w:pPr>
      <w:r>
        <w:rPr>
          <w:noProof/>
        </w:rPr>
        <w:t>Investissement C2.3 R3-I16 - Numérisation des processus dans le sport et les loisirs aux</w:t>
      </w:r>
      <w:r>
        <w:rPr>
          <w:noProof/>
        </w:rPr>
        <w:t xml:space="preserve"> niveaux local et régional</w:t>
      </w:r>
    </w:p>
    <w:p w14:paraId="6EEB0B34" w14:textId="089CD72A" w:rsidR="00553430" w:rsidRDefault="00212577">
      <w:pPr>
        <w:pStyle w:val="P68B1DB1-Normal33"/>
        <w:spacing w:after="100" w:line="240" w:lineRule="auto"/>
        <w:jc w:val="both"/>
        <w:rPr>
          <w:noProof/>
        </w:rPr>
      </w:pPr>
      <w:r>
        <w:rPr>
          <w:noProof/>
        </w:rPr>
        <w:t xml:space="preserve">L’objectif de cet investissement est de mettre à niveau le système d’information dans le sport (ISS) et de faciliter l’accès au système pour toutes les parties prenantes concernées. </w:t>
      </w:r>
    </w:p>
    <w:p w14:paraId="4A19AAD9" w14:textId="77777777" w:rsidR="00553430" w:rsidRDefault="00212577">
      <w:pPr>
        <w:pStyle w:val="P68B1DB1-Normal33"/>
        <w:spacing w:after="100" w:line="240" w:lineRule="auto"/>
        <w:jc w:val="both"/>
        <w:rPr>
          <w:noProof/>
        </w:rPr>
      </w:pPr>
      <w:r>
        <w:rPr>
          <w:noProof/>
        </w:rPr>
        <w:t>La mesure consiste en l'intégration de trois n</w:t>
      </w:r>
      <w:r>
        <w:rPr>
          <w:noProof/>
        </w:rPr>
        <w:t>ouveaux modules d'application dans l'ISS modernisée.</w:t>
      </w:r>
    </w:p>
    <w:p w14:paraId="55BC2278" w14:textId="77777777" w:rsidR="00553430" w:rsidRDefault="00212577">
      <w:pPr>
        <w:pStyle w:val="P68B1DB1-Normal42"/>
        <w:spacing w:before="240" w:after="100" w:line="240" w:lineRule="auto"/>
        <w:ind w:left="851"/>
        <w:jc w:val="both"/>
        <w:rPr>
          <w:noProof/>
        </w:rPr>
      </w:pPr>
      <w:r>
        <w:rPr>
          <w:noProof/>
        </w:rPr>
        <w:t>Investissement C2.3 R3-I18 — Contributions volontaires à l’entreprise commune EuroHPC pour la gigausine d’IA ou une infrastructure d’IA équivalente</w:t>
      </w:r>
    </w:p>
    <w:p w14:paraId="2D83350E" w14:textId="0C3FF452" w:rsidR="00553430" w:rsidRDefault="00212577">
      <w:pPr>
        <w:pStyle w:val="P68B1DB1-Normal33"/>
        <w:spacing w:after="100" w:line="240" w:lineRule="auto"/>
        <w:jc w:val="both"/>
        <w:rPr>
          <w:noProof/>
        </w:rPr>
      </w:pPr>
      <w:r>
        <w:rPr>
          <w:noProof/>
        </w:rPr>
        <w:t>Cette mesure vise à soutenir la création par la Croatie</w:t>
      </w:r>
      <w:r>
        <w:rPr>
          <w:noProof/>
        </w:rPr>
        <w:t xml:space="preserve"> de gigafactories d’intelligence artificielle et de leurs services, ainsi que l’accès à celles-ci. La mesure consiste en une contribution volontaire de 39 000 000,00 EUR à l’entreprise commune EuroHPC. La contribution soutient une Gigafactory d’IA ou une i</w:t>
      </w:r>
      <w:r>
        <w:rPr>
          <w:noProof/>
        </w:rPr>
        <w:t>nfrastructure d’IA et des technologies quantiques équivalentes à établir dans l’Union.</w:t>
      </w:r>
    </w:p>
    <w:p w14:paraId="1D971D4D" w14:textId="77777777" w:rsidR="00553430" w:rsidRDefault="00212577">
      <w:pPr>
        <w:pStyle w:val="P68B1DB1-Normal42"/>
        <w:spacing w:line="240" w:lineRule="auto"/>
        <w:ind w:left="851"/>
        <w:jc w:val="both"/>
        <w:rPr>
          <w:noProof/>
        </w:rPr>
      </w:pPr>
      <w:r>
        <w:rPr>
          <w:noProof/>
        </w:rPr>
        <w:t>Réforme C2.3 R4 - Renforcer la connectivité en tant que pierre angulaire de la transition numérique de la société et de l’économie</w:t>
      </w:r>
    </w:p>
    <w:p w14:paraId="494BC3D3" w14:textId="77777777" w:rsidR="00553430" w:rsidRDefault="00212577">
      <w:pPr>
        <w:pStyle w:val="P68B1DB1-Normal33"/>
        <w:spacing w:after="100" w:line="240" w:lineRule="auto"/>
        <w:jc w:val="both"/>
        <w:rPr>
          <w:noProof/>
        </w:rPr>
      </w:pPr>
      <w:r>
        <w:rPr>
          <w:noProof/>
        </w:rPr>
        <w:t>L’objectif de cette réforme est d’ouvr</w:t>
      </w:r>
      <w:r>
        <w:rPr>
          <w:noProof/>
        </w:rPr>
        <w:t>ir la voie à la disponibilité de réseaux de communications électroniques fournissant une connectivité gigabit aux ménages et aux moteurs socio-économiques, conformément aux objectifs de la société européenne du gigabit.</w:t>
      </w:r>
    </w:p>
    <w:p w14:paraId="7AA45FF9" w14:textId="77777777" w:rsidR="00553430" w:rsidRDefault="00212577">
      <w:pPr>
        <w:pStyle w:val="P68B1DB1-Normal33"/>
        <w:spacing w:after="100" w:line="240" w:lineRule="auto"/>
        <w:jc w:val="both"/>
        <w:rPr>
          <w:noProof/>
        </w:rPr>
      </w:pPr>
      <w:r>
        <w:rPr>
          <w:noProof/>
        </w:rPr>
        <w:t>Cette réforme vise à garantir la mis</w:t>
      </w:r>
      <w:r>
        <w:rPr>
          <w:noProof/>
        </w:rPr>
        <w:t>e en œuvre complète et en temps utile du cadre réglementaire et stratégique dans le domaine des communications électroniques, par l’adoption de la loi sur les communications électroniques, conformément aux dispositions de la directive (UE) 2018/1972 établi</w:t>
      </w:r>
      <w:r>
        <w:rPr>
          <w:noProof/>
        </w:rPr>
        <w:t xml:space="preserve">ssant le code des communications électroniques européen, et la mise en œuvre des objectifs du plan national en matière de haut débit en Croatie pour la période 2021-2027. </w:t>
      </w:r>
    </w:p>
    <w:p w14:paraId="0F02C9FF" w14:textId="77777777" w:rsidR="00553430" w:rsidRDefault="00212577">
      <w:pPr>
        <w:pStyle w:val="P68B1DB1-Normal33"/>
        <w:spacing w:after="100" w:line="240" w:lineRule="auto"/>
        <w:jc w:val="both"/>
        <w:rPr>
          <w:noProof/>
        </w:rPr>
      </w:pPr>
      <w:r>
        <w:rPr>
          <w:noProof/>
        </w:rPr>
        <w:t xml:space="preserve">La réforme devrait recenser et éliminer la charge administrative et les obstacles réglementaires liés à la construction de réseaux de connectivité gigabit, y compris les réseaux 5G, afin d’encourager les investissements dans le déploiement des réseaux 5G. </w:t>
      </w:r>
    </w:p>
    <w:p w14:paraId="790BFCE5" w14:textId="77777777" w:rsidR="00553430" w:rsidRDefault="00212577">
      <w:pPr>
        <w:pStyle w:val="P68B1DB1-Normal33"/>
        <w:spacing w:after="100" w:line="240" w:lineRule="auto"/>
        <w:jc w:val="both"/>
        <w:rPr>
          <w:noProof/>
        </w:rPr>
      </w:pPr>
      <w:r>
        <w:rPr>
          <w:noProof/>
        </w:rPr>
        <w:t xml:space="preserve">Cette réforme complète les investissements dans la connectivité numérique au moyen de connexions à haut débit dans les réseaux fixes et les réseaux sans fil et mobiles avancés, y compris par l’utilisation des technologies 5G. </w:t>
      </w:r>
    </w:p>
    <w:p w14:paraId="5BF1E569" w14:textId="77777777" w:rsidR="00553430" w:rsidRDefault="00212577">
      <w:pPr>
        <w:pStyle w:val="P68B1DB1-Normal33"/>
        <w:spacing w:after="100" w:line="240" w:lineRule="auto"/>
        <w:jc w:val="both"/>
        <w:rPr>
          <w:noProof/>
        </w:rPr>
      </w:pPr>
      <w:r>
        <w:rPr>
          <w:noProof/>
        </w:rPr>
        <w:t>Cet investissement doit être</w:t>
      </w:r>
      <w:r>
        <w:rPr>
          <w:noProof/>
        </w:rPr>
        <w:t xml:space="preserve"> achevé au plus tard le 30 juin 2026.</w:t>
      </w:r>
    </w:p>
    <w:p w14:paraId="412188FA" w14:textId="77777777" w:rsidR="00553430" w:rsidRDefault="00212577">
      <w:pPr>
        <w:pStyle w:val="P68B1DB1-Normal42"/>
        <w:spacing w:after="100" w:line="240" w:lineRule="auto"/>
        <w:ind w:left="720"/>
        <w:jc w:val="both"/>
        <w:rPr>
          <w:noProof/>
        </w:rPr>
      </w:pPr>
      <w:r>
        <w:rPr>
          <w:noProof/>
        </w:rPr>
        <w:t xml:space="preserve">Investissement C2.3 R4-I1 - Mise en œuvre de projets au titre du programme-cadre national pour le développement des infrastructures à haut débit </w:t>
      </w:r>
    </w:p>
    <w:p w14:paraId="55FDF437" w14:textId="1109D448" w:rsidR="00553430" w:rsidRDefault="00212577">
      <w:pPr>
        <w:pStyle w:val="P68B1DB1-Normal33"/>
        <w:spacing w:after="100" w:line="240" w:lineRule="auto"/>
        <w:jc w:val="both"/>
        <w:rPr>
          <w:noProof/>
        </w:rPr>
      </w:pPr>
      <w:r>
        <w:rPr>
          <w:noProof/>
        </w:rPr>
        <w:t>L’objectif de cet investissement est d’accroître la couverture nationale</w:t>
      </w:r>
      <w:r>
        <w:rPr>
          <w:noProof/>
        </w:rPr>
        <w:t xml:space="preserve"> en haut débit avec une connectivité en gigabit dans les zones où l’intérêt commercial est insuffisant, conformément au programme-cadre national pour le développement de l’infrastructure d’accès à haut débit.</w:t>
      </w:r>
    </w:p>
    <w:p w14:paraId="0A8ED00E" w14:textId="77777777" w:rsidR="00553430" w:rsidRDefault="00212577">
      <w:pPr>
        <w:pStyle w:val="P68B1DB1-Normal33"/>
        <w:spacing w:after="200" w:line="276" w:lineRule="auto"/>
        <w:jc w:val="both"/>
        <w:rPr>
          <w:noProof/>
        </w:rPr>
      </w:pPr>
      <w:r>
        <w:rPr>
          <w:noProof/>
        </w:rPr>
        <w:t xml:space="preserve">La mesure consiste à signer des conventions de </w:t>
      </w:r>
      <w:r>
        <w:rPr>
          <w:noProof/>
        </w:rPr>
        <w:t>subvention pour la mise en œuvre des projets au titre du cadre national pour le développement de l’infrastructure d’accès à large bande (ONP) et à fournir un accès à large bande aux ménages dans les zones NGA blanches.</w:t>
      </w:r>
    </w:p>
    <w:p w14:paraId="23D0560C" w14:textId="77777777" w:rsidR="00553430" w:rsidRDefault="00212577">
      <w:pPr>
        <w:pStyle w:val="P68B1DB1-Normal42"/>
        <w:spacing w:line="240" w:lineRule="auto"/>
        <w:ind w:left="851"/>
        <w:jc w:val="both"/>
        <w:rPr>
          <w:noProof/>
        </w:rPr>
      </w:pPr>
      <w:r>
        <w:rPr>
          <w:noProof/>
        </w:rPr>
        <w:t>Investissement C2.3 R4-I2 - Construct</w:t>
      </w:r>
      <w:r>
        <w:rPr>
          <w:noProof/>
        </w:rPr>
        <w:t>ion d'infrastructures de communications électroniques passives</w:t>
      </w:r>
    </w:p>
    <w:p w14:paraId="0A81BD3D" w14:textId="77777777" w:rsidR="00553430" w:rsidRDefault="00212577">
      <w:pPr>
        <w:pStyle w:val="P68B1DB1-Normal33"/>
        <w:spacing w:after="100" w:line="240" w:lineRule="auto"/>
        <w:jc w:val="both"/>
        <w:rPr>
          <w:noProof/>
        </w:rPr>
      </w:pPr>
      <w:r>
        <w:rPr>
          <w:noProof/>
        </w:rPr>
        <w:t>L’objectif de cet investissement est d’accroître la disponibilité des réseaux gigabit dans les zones rurales et à faible densité de population où la construction de ces réseaux ne présente aucu</w:t>
      </w:r>
      <w:r>
        <w:rPr>
          <w:noProof/>
        </w:rPr>
        <w:t>n intérêt commercial.</w:t>
      </w:r>
    </w:p>
    <w:p w14:paraId="2E458D73" w14:textId="77777777" w:rsidR="00553430" w:rsidRDefault="00212577">
      <w:pPr>
        <w:pStyle w:val="P68B1DB1-Normal33"/>
        <w:spacing w:after="100" w:line="240" w:lineRule="auto"/>
        <w:jc w:val="both"/>
        <w:rPr>
          <w:noProof/>
        </w:rPr>
      </w:pPr>
      <w:r>
        <w:rPr>
          <w:noProof/>
        </w:rPr>
        <w:t>La mesure consiste à signer une convention de subvention pour la construction d’infrastructures de communications électroniques passives et à fournir un accès à la 5G aux zones rurales et à faible densité de population.</w:t>
      </w:r>
    </w:p>
    <w:p w14:paraId="3D5048C6" w14:textId="77777777" w:rsidR="00553430" w:rsidRDefault="00553430">
      <w:pPr>
        <w:spacing w:after="100" w:line="298" w:lineRule="exact"/>
        <w:jc w:val="both"/>
        <w:rPr>
          <w:rFonts w:eastAsia="Calibri"/>
          <w:noProof/>
          <w:szCs w:val="24"/>
        </w:rPr>
      </w:pPr>
    </w:p>
    <w:p w14:paraId="4C049F28" w14:textId="77777777" w:rsidR="00553430" w:rsidRDefault="00553430">
      <w:pPr>
        <w:rPr>
          <w:noProof/>
        </w:rPr>
        <w:sectPr w:rsidR="00553430" w:rsidSect="00FA29B2">
          <w:headerReference w:type="even" r:id="rId171"/>
          <w:headerReference w:type="default" r:id="rId172"/>
          <w:footerReference w:type="even" r:id="rId173"/>
          <w:footerReference w:type="default" r:id="rId174"/>
          <w:headerReference w:type="first" r:id="rId175"/>
          <w:footerReference w:type="first" r:id="rId176"/>
          <w:pgSz w:w="11906" w:h="16838"/>
          <w:pgMar w:top="1134" w:right="1134" w:bottom="1134" w:left="1134" w:header="567" w:footer="567" w:gutter="0"/>
          <w:cols w:space="708"/>
          <w:docGrid w:linePitch="360"/>
        </w:sectPr>
      </w:pPr>
    </w:p>
    <w:p w14:paraId="685AA974" w14:textId="77777777" w:rsidR="00553430" w:rsidRDefault="00212577">
      <w:pPr>
        <w:pStyle w:val="P68B1DB1-Normal57"/>
        <w:keepNext/>
        <w:tabs>
          <w:tab w:val="num" w:pos="850"/>
        </w:tabs>
        <w:spacing w:before="40" w:after="240"/>
        <w:ind w:left="851"/>
        <w:jc w:val="both"/>
        <w:outlineLvl w:val="1"/>
        <w:rPr>
          <w:noProof/>
        </w:rPr>
      </w:pPr>
      <w:r>
        <w:rPr>
          <w:noProof/>
        </w:rPr>
        <w:t xml:space="preserve">I.2. </w:t>
      </w:r>
      <w:r>
        <w:rPr>
          <w:noProof/>
        </w:rPr>
        <w:tab/>
        <w:t>Étapes, cibles, indicateurs et calendrier pour le suivi et la mise en œuvre du soutien financier non remboursable</w:t>
      </w:r>
    </w:p>
    <w:tbl>
      <w:tblPr>
        <w:tblW w:w="15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68"/>
        <w:gridCol w:w="1274"/>
        <w:gridCol w:w="1193"/>
        <w:gridCol w:w="1793"/>
        <w:gridCol w:w="2056"/>
        <w:gridCol w:w="1067"/>
        <w:gridCol w:w="916"/>
        <w:gridCol w:w="1134"/>
        <w:gridCol w:w="967"/>
        <w:gridCol w:w="707"/>
        <w:gridCol w:w="4092"/>
      </w:tblGrid>
      <w:tr w:rsidR="00553430" w14:paraId="62D6C693" w14:textId="77777777">
        <w:trPr>
          <w:trHeight w:val="300"/>
          <w:tblHeader/>
          <w:jc w:val="center"/>
        </w:trPr>
        <w:tc>
          <w:tcPr>
            <w:tcW w:w="768" w:type="dxa"/>
            <w:vMerge w:val="restart"/>
            <w:shd w:val="clear" w:color="auto" w:fill="BDD7EE"/>
            <w:vAlign w:val="center"/>
            <w:hideMark/>
          </w:tcPr>
          <w:p w14:paraId="7923C4DE" w14:textId="77777777" w:rsidR="00553430" w:rsidRDefault="00212577">
            <w:pPr>
              <w:pStyle w:val="P68B1DB1-Normal58"/>
              <w:spacing w:after="0" w:line="276" w:lineRule="auto"/>
              <w:jc w:val="center"/>
              <w:rPr>
                <w:bCs/>
                <w:noProof/>
              </w:rPr>
            </w:pPr>
            <w:r>
              <w:rPr>
                <w:noProof/>
              </w:rPr>
              <w:t>Numéro</w:t>
            </w:r>
          </w:p>
        </w:tc>
        <w:tc>
          <w:tcPr>
            <w:tcW w:w="1274" w:type="dxa"/>
            <w:vMerge w:val="restart"/>
            <w:shd w:val="clear" w:color="auto" w:fill="BDD7EE"/>
            <w:vAlign w:val="center"/>
            <w:hideMark/>
          </w:tcPr>
          <w:p w14:paraId="6C4470E8" w14:textId="77777777" w:rsidR="00553430" w:rsidRDefault="00212577">
            <w:pPr>
              <w:pStyle w:val="P68B1DB1-Normal58"/>
              <w:spacing w:after="0" w:line="276" w:lineRule="auto"/>
              <w:jc w:val="center"/>
              <w:rPr>
                <w:noProof/>
              </w:rPr>
            </w:pPr>
            <w:r>
              <w:rPr>
                <w:noProof/>
              </w:rPr>
              <w:t>Mesure</w:t>
            </w:r>
          </w:p>
        </w:tc>
        <w:tc>
          <w:tcPr>
            <w:tcW w:w="1193" w:type="dxa"/>
            <w:vMerge w:val="restart"/>
            <w:shd w:val="clear" w:color="auto" w:fill="BDD7EE"/>
            <w:vAlign w:val="center"/>
            <w:hideMark/>
          </w:tcPr>
          <w:p w14:paraId="18AC62A7" w14:textId="77777777" w:rsidR="00553430" w:rsidRDefault="00212577">
            <w:pPr>
              <w:pStyle w:val="P68B1DB1-Normal58"/>
              <w:spacing w:after="0" w:line="276" w:lineRule="auto"/>
              <w:jc w:val="center"/>
              <w:rPr>
                <w:noProof/>
              </w:rPr>
            </w:pPr>
            <w:r>
              <w:rPr>
                <w:noProof/>
              </w:rPr>
              <w:t>Étape/cible</w:t>
            </w:r>
          </w:p>
        </w:tc>
        <w:tc>
          <w:tcPr>
            <w:tcW w:w="1793" w:type="dxa"/>
            <w:vMerge w:val="restart"/>
            <w:shd w:val="clear" w:color="auto" w:fill="BDD7EE"/>
            <w:vAlign w:val="center"/>
            <w:hideMark/>
          </w:tcPr>
          <w:p w14:paraId="28516993" w14:textId="77777777" w:rsidR="00553430" w:rsidRDefault="00212577">
            <w:pPr>
              <w:pStyle w:val="P68B1DB1-Normal58"/>
              <w:spacing w:after="0" w:line="276" w:lineRule="auto"/>
              <w:jc w:val="center"/>
              <w:rPr>
                <w:noProof/>
              </w:rPr>
            </w:pPr>
            <w:r>
              <w:rPr>
                <w:noProof/>
              </w:rPr>
              <w:t>Nom</w:t>
            </w:r>
          </w:p>
        </w:tc>
        <w:tc>
          <w:tcPr>
            <w:tcW w:w="2056" w:type="dxa"/>
            <w:vMerge w:val="restart"/>
            <w:shd w:val="clear" w:color="auto" w:fill="BDD7EE"/>
            <w:vAlign w:val="center"/>
            <w:hideMark/>
          </w:tcPr>
          <w:p w14:paraId="564BFC20" w14:textId="77777777" w:rsidR="00553430" w:rsidRDefault="00212577">
            <w:pPr>
              <w:pStyle w:val="P68B1DB1-Normal58"/>
              <w:spacing w:after="0" w:line="276" w:lineRule="auto"/>
              <w:jc w:val="center"/>
              <w:rPr>
                <w:noProof/>
              </w:rPr>
            </w:pPr>
            <w:r>
              <w:rPr>
                <w:noProof/>
              </w:rPr>
              <w:t xml:space="preserve">Indicateurs qualitatifs </w:t>
            </w:r>
            <w:r>
              <w:rPr>
                <w:noProof/>
              </w:rPr>
              <w:br/>
              <w:t>(pour les jalons)</w:t>
            </w:r>
          </w:p>
        </w:tc>
        <w:tc>
          <w:tcPr>
            <w:tcW w:w="3117" w:type="dxa"/>
            <w:gridSpan w:val="3"/>
            <w:shd w:val="clear" w:color="auto" w:fill="BDD7EE"/>
            <w:vAlign w:val="center"/>
            <w:hideMark/>
          </w:tcPr>
          <w:p w14:paraId="3C143BA8" w14:textId="77777777" w:rsidR="00553430" w:rsidRDefault="00212577">
            <w:pPr>
              <w:pStyle w:val="P68B1DB1-Normal58"/>
              <w:spacing w:after="0" w:line="276" w:lineRule="auto"/>
              <w:jc w:val="center"/>
              <w:rPr>
                <w:noProof/>
              </w:rPr>
            </w:pPr>
            <w:r>
              <w:rPr>
                <w:noProof/>
              </w:rPr>
              <w:t xml:space="preserve">Indicateurs quantitatifs </w:t>
            </w:r>
            <w:r>
              <w:rPr>
                <w:noProof/>
              </w:rPr>
              <w:br/>
              <w:t>(pour les objectifs)</w:t>
            </w:r>
          </w:p>
        </w:tc>
        <w:tc>
          <w:tcPr>
            <w:tcW w:w="1674" w:type="dxa"/>
            <w:gridSpan w:val="2"/>
            <w:shd w:val="clear" w:color="auto" w:fill="BDD7EE"/>
            <w:vAlign w:val="center"/>
            <w:hideMark/>
          </w:tcPr>
          <w:p w14:paraId="6F416250" w14:textId="77777777" w:rsidR="00553430" w:rsidRDefault="00212577">
            <w:pPr>
              <w:pStyle w:val="P68B1DB1-Normal58"/>
              <w:spacing w:after="0" w:line="276" w:lineRule="auto"/>
              <w:jc w:val="center"/>
              <w:rPr>
                <w:noProof/>
              </w:rPr>
            </w:pPr>
            <w:r>
              <w:rPr>
                <w:noProof/>
              </w:rPr>
              <w:t>Temps</w:t>
            </w:r>
          </w:p>
        </w:tc>
        <w:tc>
          <w:tcPr>
            <w:tcW w:w="4092" w:type="dxa"/>
            <w:vMerge w:val="restart"/>
            <w:shd w:val="clear" w:color="auto" w:fill="BDD7EE"/>
            <w:vAlign w:val="center"/>
            <w:hideMark/>
          </w:tcPr>
          <w:p w14:paraId="3A657F70" w14:textId="77777777" w:rsidR="00553430" w:rsidRDefault="00212577">
            <w:pPr>
              <w:pStyle w:val="P68B1DB1-Normal58"/>
              <w:spacing w:after="0" w:line="276" w:lineRule="auto"/>
              <w:jc w:val="center"/>
              <w:rPr>
                <w:noProof/>
              </w:rPr>
            </w:pPr>
            <w:r>
              <w:rPr>
                <w:noProof/>
              </w:rPr>
              <w:t>Description de chaque jalon et cible</w:t>
            </w:r>
          </w:p>
        </w:tc>
      </w:tr>
      <w:tr w:rsidR="00553430" w14:paraId="49A36FEE" w14:textId="77777777">
        <w:trPr>
          <w:trHeight w:val="300"/>
          <w:tblHeader/>
          <w:jc w:val="center"/>
        </w:trPr>
        <w:tc>
          <w:tcPr>
            <w:tcW w:w="768" w:type="dxa"/>
            <w:vMerge/>
            <w:hideMark/>
          </w:tcPr>
          <w:p w14:paraId="648CDBE7"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274" w:type="dxa"/>
            <w:vMerge/>
            <w:hideMark/>
          </w:tcPr>
          <w:p w14:paraId="0ADD1958"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193" w:type="dxa"/>
            <w:vMerge/>
            <w:hideMark/>
          </w:tcPr>
          <w:p w14:paraId="5F21F213"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793" w:type="dxa"/>
            <w:vMerge/>
            <w:hideMark/>
          </w:tcPr>
          <w:p w14:paraId="3450AA14" w14:textId="77777777" w:rsidR="00553430" w:rsidRDefault="00553430">
            <w:pPr>
              <w:spacing w:after="0" w:line="276" w:lineRule="auto"/>
              <w:rPr>
                <w:rFonts w:ascii="Times New Roman" w:eastAsia="Times New Roman" w:hAnsi="Times New Roman" w:cs="Times New Roman"/>
                <w:b/>
                <w:noProof/>
                <w:sz w:val="20"/>
                <w:szCs w:val="20"/>
              </w:rPr>
            </w:pPr>
          </w:p>
        </w:tc>
        <w:tc>
          <w:tcPr>
            <w:tcW w:w="0" w:type="auto"/>
            <w:vMerge/>
            <w:hideMark/>
          </w:tcPr>
          <w:p w14:paraId="15999FAE" w14:textId="77777777" w:rsidR="00553430" w:rsidRDefault="00553430">
            <w:pPr>
              <w:spacing w:after="0" w:line="276" w:lineRule="auto"/>
              <w:rPr>
                <w:rFonts w:ascii="Times New Roman" w:eastAsia="Times New Roman" w:hAnsi="Times New Roman" w:cs="Times New Roman"/>
                <w:b/>
                <w:noProof/>
                <w:sz w:val="20"/>
                <w:szCs w:val="20"/>
              </w:rPr>
            </w:pPr>
          </w:p>
        </w:tc>
        <w:tc>
          <w:tcPr>
            <w:tcW w:w="1067" w:type="dxa"/>
            <w:shd w:val="clear" w:color="auto" w:fill="BDD7EE"/>
            <w:hideMark/>
          </w:tcPr>
          <w:p w14:paraId="418F8497" w14:textId="77777777" w:rsidR="00553430" w:rsidRDefault="00212577">
            <w:pPr>
              <w:pStyle w:val="P68B1DB1-Normal58"/>
              <w:spacing w:after="0" w:line="276" w:lineRule="auto"/>
              <w:jc w:val="center"/>
              <w:rPr>
                <w:noProof/>
              </w:rPr>
            </w:pPr>
            <w:r>
              <w:rPr>
                <w:noProof/>
              </w:rPr>
              <w:t>Unité</w:t>
            </w:r>
          </w:p>
        </w:tc>
        <w:tc>
          <w:tcPr>
            <w:tcW w:w="916" w:type="dxa"/>
            <w:shd w:val="clear" w:color="auto" w:fill="BDD7EE"/>
            <w:hideMark/>
          </w:tcPr>
          <w:p w14:paraId="39DE7F67" w14:textId="77777777" w:rsidR="00553430" w:rsidRDefault="00212577">
            <w:pPr>
              <w:pStyle w:val="P68B1DB1-Normal58"/>
              <w:spacing w:after="0" w:line="276" w:lineRule="auto"/>
              <w:jc w:val="center"/>
              <w:rPr>
                <w:noProof/>
              </w:rPr>
            </w:pPr>
            <w:r>
              <w:rPr>
                <w:noProof/>
              </w:rPr>
              <w:t>Données de référence</w:t>
            </w:r>
          </w:p>
        </w:tc>
        <w:tc>
          <w:tcPr>
            <w:tcW w:w="1134" w:type="dxa"/>
            <w:shd w:val="clear" w:color="auto" w:fill="BDD7EE"/>
            <w:hideMark/>
          </w:tcPr>
          <w:p w14:paraId="27CA777F" w14:textId="77777777" w:rsidR="00553430" w:rsidRDefault="00212577">
            <w:pPr>
              <w:pStyle w:val="P68B1DB1-Normal58"/>
              <w:spacing w:after="0" w:line="276" w:lineRule="auto"/>
              <w:jc w:val="center"/>
              <w:rPr>
                <w:noProof/>
              </w:rPr>
            </w:pPr>
            <w:r>
              <w:rPr>
                <w:noProof/>
              </w:rPr>
              <w:t>Objectif</w:t>
            </w:r>
          </w:p>
        </w:tc>
        <w:tc>
          <w:tcPr>
            <w:tcW w:w="967" w:type="dxa"/>
            <w:shd w:val="clear" w:color="auto" w:fill="BDD7EE"/>
            <w:hideMark/>
          </w:tcPr>
          <w:p w14:paraId="1D571E41" w14:textId="77777777" w:rsidR="00553430" w:rsidRDefault="00212577">
            <w:pPr>
              <w:pStyle w:val="P68B1DB1-Normal58"/>
              <w:spacing w:after="0" w:line="276" w:lineRule="auto"/>
              <w:jc w:val="center"/>
              <w:rPr>
                <w:noProof/>
              </w:rPr>
            </w:pPr>
            <w:r>
              <w:rPr>
                <w:noProof/>
              </w:rPr>
              <w:t>Trimestre</w:t>
            </w:r>
          </w:p>
        </w:tc>
        <w:tc>
          <w:tcPr>
            <w:tcW w:w="707" w:type="dxa"/>
            <w:shd w:val="clear" w:color="auto" w:fill="BDD7EE"/>
            <w:hideMark/>
          </w:tcPr>
          <w:p w14:paraId="3230524B" w14:textId="77777777" w:rsidR="00553430" w:rsidRDefault="00212577">
            <w:pPr>
              <w:pStyle w:val="P68B1DB1-Normal58"/>
              <w:spacing w:after="0" w:line="276" w:lineRule="auto"/>
              <w:jc w:val="center"/>
              <w:rPr>
                <w:noProof/>
              </w:rPr>
            </w:pPr>
            <w:r>
              <w:rPr>
                <w:noProof/>
              </w:rPr>
              <w:t>Année</w:t>
            </w:r>
          </w:p>
        </w:tc>
        <w:tc>
          <w:tcPr>
            <w:tcW w:w="4092" w:type="dxa"/>
            <w:vMerge/>
            <w:hideMark/>
          </w:tcPr>
          <w:p w14:paraId="02D1E74F"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6039CC2E"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E09DA14" w14:textId="77777777" w:rsidR="00553430" w:rsidRDefault="00212577">
            <w:pPr>
              <w:pStyle w:val="P68B1DB1-Normal66"/>
              <w:spacing w:after="0" w:line="276" w:lineRule="auto"/>
              <w:jc w:val="center"/>
              <w:rPr>
                <w:noProof/>
              </w:rPr>
            </w:pPr>
            <w:r>
              <w:rPr>
                <w:noProof/>
              </w:rPr>
              <w:t>176</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7AFFE8DC" w14:textId="77777777" w:rsidR="00553430" w:rsidRDefault="00212577">
            <w:pPr>
              <w:pStyle w:val="P68B1DB1-Normal66"/>
              <w:spacing w:after="200" w:line="276" w:lineRule="auto"/>
              <w:jc w:val="center"/>
              <w:rPr>
                <w:noProof/>
              </w:rPr>
            </w:pPr>
            <w:r>
              <w:rPr>
                <w:noProof/>
              </w:rPr>
              <w:t>C2.3. R1</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46953795"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65822C1D" w14:textId="77777777" w:rsidR="00553430" w:rsidRDefault="00212577">
            <w:pPr>
              <w:pStyle w:val="P68B1DB1-Normal66"/>
              <w:spacing w:after="200" w:line="276" w:lineRule="auto"/>
              <w:rPr>
                <w:noProof/>
              </w:rPr>
            </w:pPr>
            <w:r>
              <w:rPr>
                <w:noProof/>
              </w:rPr>
              <w:t xml:space="preserve"> Stratégie numérique pour la Croatie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4DE33E55" w14:textId="77777777" w:rsidR="00553430" w:rsidRDefault="00212577">
            <w:pPr>
              <w:pStyle w:val="P68B1DB1-Normal66"/>
              <w:spacing w:after="200" w:line="276" w:lineRule="auto"/>
              <w:rPr>
                <w:noProof/>
              </w:rPr>
            </w:pPr>
            <w:r>
              <w:rPr>
                <w:noProof/>
              </w:rPr>
              <w:t xml:space="preserve">Entrée en vigueur de la stratégie numérique pour la </w:t>
            </w:r>
            <w:r>
              <w:rPr>
                <w:noProof/>
              </w:rPr>
              <w:t>Croatie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21DB2F01" w14:textId="77777777" w:rsidR="00553430" w:rsidRDefault="00212577">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70A6F0F5" w14:textId="77777777" w:rsidR="00553430" w:rsidRDefault="00212577">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F76DEAA" w14:textId="77777777" w:rsidR="00553430" w:rsidRDefault="00212577">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E48FCBF" w14:textId="77777777" w:rsidR="00553430" w:rsidRDefault="00212577">
            <w:pPr>
              <w:pStyle w:val="P68B1DB1-Normal66"/>
              <w:spacing w:after="200" w:line="276" w:lineRule="auto"/>
              <w:jc w:val="center"/>
              <w:rPr>
                <w:noProof/>
              </w:rPr>
            </w:pPr>
            <w:r>
              <w:rPr>
                <w:noProof/>
              </w:rPr>
              <w:t>T4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7114EED2" w14:textId="77777777" w:rsidR="00553430" w:rsidRDefault="00212577">
            <w:pPr>
              <w:pStyle w:val="P68B1DB1-Normal66"/>
              <w:spacing w:after="200" w:line="276" w:lineRule="auto"/>
              <w:jc w:val="center"/>
              <w:rPr>
                <w:noProof/>
              </w:rPr>
            </w:pPr>
            <w:r>
              <w:rPr>
                <w:noProof/>
              </w:rPr>
              <w:t>2022</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B1ADA69" w14:textId="77777777" w:rsidR="00553430" w:rsidRDefault="00212577">
            <w:pPr>
              <w:pStyle w:val="P68B1DB1-Normal66"/>
              <w:spacing w:after="200" w:line="276" w:lineRule="auto"/>
              <w:rPr>
                <w:noProof/>
              </w:rPr>
            </w:pPr>
            <w:r>
              <w:rPr>
                <w:noProof/>
              </w:rPr>
              <w:t>La «stratégie numérique pour la Croatie à l’horizon 2030» définit clairement les objectifs et priorités stratégiques qui serviront de base à la définition d’actions dans les domaines suivants: la numérisation de l’administration publi</w:t>
            </w:r>
            <w:r>
              <w:rPr>
                <w:noProof/>
              </w:rPr>
              <w:t>que et du système judiciaire; le développement de réseaux de communications électroniques à haut débit; développer les compétences numériques et les emplois numériques.</w:t>
            </w:r>
          </w:p>
        </w:tc>
      </w:tr>
      <w:tr w:rsidR="00553430" w14:paraId="4D32A560"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45AD8FA" w14:textId="77777777" w:rsidR="00553430" w:rsidRDefault="00212577">
            <w:pPr>
              <w:pStyle w:val="P68B1DB1-Normal66"/>
              <w:spacing w:after="200" w:line="276" w:lineRule="auto"/>
              <w:jc w:val="center"/>
              <w:rPr>
                <w:noProof/>
              </w:rPr>
            </w:pPr>
            <w:r>
              <w:rPr>
                <w:noProof/>
              </w:rPr>
              <w:t>177</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4C42C79C" w14:textId="77777777" w:rsidR="00553430" w:rsidRDefault="00212577">
            <w:pPr>
              <w:pStyle w:val="P68B1DB1-Normal66"/>
              <w:spacing w:after="200" w:line="276" w:lineRule="auto"/>
              <w:jc w:val="center"/>
              <w:rPr>
                <w:noProof/>
              </w:rPr>
            </w:pPr>
            <w:r>
              <w:rPr>
                <w:noProof/>
              </w:rPr>
              <w:t>C2.3. R2</w:t>
            </w:r>
            <w:r>
              <w:rPr>
                <w:noProof/>
              </w:rPr>
              <w:br/>
              <w:t>C2.3. R2.I2</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38F08EE1"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7FA61418" w14:textId="77777777" w:rsidR="00553430" w:rsidRDefault="00212577">
            <w:pPr>
              <w:pStyle w:val="P68B1DB1-Normal66"/>
              <w:spacing w:after="200" w:line="276" w:lineRule="auto"/>
              <w:rPr>
                <w:noProof/>
              </w:rPr>
            </w:pPr>
            <w:r>
              <w:rPr>
                <w:noProof/>
              </w:rPr>
              <w:t xml:space="preserve">Mise en place des plates-formes pour le système central d'interopérabilité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215DCC10" w14:textId="77777777" w:rsidR="00553430" w:rsidRDefault="00212577">
            <w:pPr>
              <w:pStyle w:val="P68B1DB1-Normal66"/>
              <w:spacing w:after="200" w:line="276" w:lineRule="auto"/>
              <w:rPr>
                <w:noProof/>
              </w:rPr>
            </w:pPr>
            <w:r>
              <w:rPr>
                <w:noProof/>
              </w:rPr>
              <w:t>Rapport du Bureau central pour le développement de la société numérique (SDURDD) indiquant que les plateformes sont opérationnelles et testées pour une utilisation</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266A58A8" w14:textId="77777777" w:rsidR="00553430" w:rsidRDefault="00212577">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58D7EC83" w14:textId="77777777" w:rsidR="00553430" w:rsidRDefault="00212577">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E99425E" w14:textId="77777777" w:rsidR="00553430" w:rsidRDefault="00212577">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0893F5C1" w14:textId="77777777" w:rsidR="00553430" w:rsidRDefault="00212577">
            <w:pPr>
              <w:pStyle w:val="P68B1DB1-Normal66"/>
              <w:spacing w:after="200" w:line="276" w:lineRule="auto"/>
              <w:jc w:val="center"/>
              <w:rPr>
                <w:noProof/>
              </w:rPr>
            </w:pPr>
            <w:r>
              <w:rPr>
                <w:noProof/>
              </w:rPr>
              <w:t>T4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2F47AC47" w14:textId="77777777" w:rsidR="00553430" w:rsidRDefault="00212577">
            <w:pPr>
              <w:pStyle w:val="P68B1DB1-Normal66"/>
              <w:spacing w:after="200" w:line="276" w:lineRule="auto"/>
              <w:jc w:val="center"/>
              <w:rPr>
                <w:noProof/>
              </w:rPr>
            </w:pPr>
            <w:r>
              <w:rPr>
                <w:noProof/>
              </w:rPr>
              <w:t>2022</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6BA8FE5A" w14:textId="77777777" w:rsidR="00553430" w:rsidRDefault="00212577">
            <w:pPr>
              <w:pStyle w:val="P68B1DB1-Normal66"/>
              <w:spacing w:after="200" w:line="276" w:lineRule="auto"/>
              <w:rPr>
                <w:noProof/>
              </w:rPr>
            </w:pPr>
            <w:r>
              <w:rPr>
                <w:noProof/>
              </w:rPr>
              <w:t>Le</w:t>
            </w:r>
            <w:r>
              <w:rPr>
                <w:noProof/>
              </w:rPr>
              <w:t xml:space="preserve"> portail national central d’interopérabilité fournit un catalogue de tous les services disponibles et l’entrepôt de données (DWH) est opérationnel.</w:t>
            </w:r>
          </w:p>
        </w:tc>
      </w:tr>
      <w:tr w:rsidR="00553430" w14:paraId="7757A845"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AFF3642" w14:textId="77777777" w:rsidR="00553430" w:rsidRDefault="00212577">
            <w:pPr>
              <w:pStyle w:val="P68B1DB1-Normal66"/>
              <w:spacing w:after="200" w:line="276" w:lineRule="auto"/>
              <w:jc w:val="center"/>
              <w:rPr>
                <w:noProof/>
              </w:rPr>
            </w:pPr>
            <w:r>
              <w:rPr>
                <w:noProof/>
              </w:rPr>
              <w:t>178</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1BD14869" w14:textId="77777777" w:rsidR="00553430" w:rsidRDefault="00212577">
            <w:pPr>
              <w:pStyle w:val="P68B1DB1-Normal66"/>
              <w:spacing w:after="200" w:line="276" w:lineRule="auto"/>
              <w:jc w:val="center"/>
              <w:rPr>
                <w:noProof/>
              </w:rPr>
            </w:pPr>
            <w:r>
              <w:rPr>
                <w:noProof/>
              </w:rPr>
              <w:t>C2.3. R2-I1</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46D3B418"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42B0CF4A" w14:textId="77777777" w:rsidR="00553430" w:rsidRDefault="00212577">
            <w:pPr>
              <w:pStyle w:val="P68B1DB1-Normal66"/>
              <w:spacing w:after="200" w:line="276" w:lineRule="auto"/>
              <w:rPr>
                <w:noProof/>
              </w:rPr>
            </w:pPr>
            <w:r>
              <w:rPr>
                <w:noProof/>
              </w:rPr>
              <w:t>Mise en place</w:t>
            </w:r>
            <w:r>
              <w:rPr>
                <w:b/>
                <w:noProof/>
              </w:rPr>
              <w:t xml:space="preserve"> </w:t>
            </w:r>
            <w:r>
              <w:rPr>
                <w:noProof/>
              </w:rPr>
              <w:t xml:space="preserve">du système central d'interopérabilité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140D2A2B" w14:textId="77777777" w:rsidR="00553430" w:rsidRDefault="00212577">
            <w:pPr>
              <w:pStyle w:val="P68B1DB1-Normal66"/>
              <w:spacing w:after="200" w:line="276" w:lineRule="auto"/>
              <w:rPr>
                <w:noProof/>
              </w:rPr>
            </w:pPr>
            <w:r>
              <w:rPr>
                <w:noProof/>
              </w:rPr>
              <w:t xml:space="preserve">Rapport du Bureau central pour le </w:t>
            </w:r>
            <w:r>
              <w:rPr>
                <w:noProof/>
              </w:rPr>
              <w:t>développement de la société numérique (SDURDD) indiquant que le système est opérationnel et testé en vue de son utilisation</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581776C1" w14:textId="77777777" w:rsidR="00553430" w:rsidRDefault="00212577">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1733C0BA" w14:textId="77777777" w:rsidR="00553430" w:rsidRDefault="00212577">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77567A7" w14:textId="77777777" w:rsidR="00553430" w:rsidRDefault="00212577">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2E164178" w14:textId="77777777" w:rsidR="00553430" w:rsidRDefault="00212577">
            <w:pPr>
              <w:pStyle w:val="P68B1DB1-Normal66"/>
              <w:spacing w:after="200" w:line="276" w:lineRule="auto"/>
              <w:jc w:val="center"/>
              <w:rPr>
                <w:noProof/>
                <w:color w:val="000000" w:themeColor="text1"/>
              </w:rPr>
            </w:pPr>
            <w:r>
              <w:rPr>
                <w:noProof/>
              </w:rPr>
              <w:t>T3</w:t>
            </w:r>
          </w:p>
          <w:p w14:paraId="26DA5D3B" w14:textId="77777777" w:rsidR="00553430" w:rsidRDefault="00212577">
            <w:pPr>
              <w:pStyle w:val="P68B1DB1-Normal70"/>
              <w:tabs>
                <w:tab w:val="left" w:pos="740"/>
              </w:tabs>
              <w:rPr>
                <w:noProof/>
              </w:rPr>
            </w:pPr>
            <w:r>
              <w:rPr>
                <w:noProof/>
              </w:rPr>
              <w:tab/>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22376299" w14:textId="77777777" w:rsidR="00553430" w:rsidRDefault="00212577">
            <w:pPr>
              <w:pStyle w:val="P68B1DB1-Normal66"/>
              <w:spacing w:after="200" w:line="276" w:lineRule="auto"/>
              <w:jc w:val="center"/>
              <w:rPr>
                <w:noProof/>
              </w:rPr>
            </w:pPr>
            <w:r>
              <w:rPr>
                <w:noProof/>
              </w:rPr>
              <w:t>2024</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1CE49F8" w14:textId="77777777" w:rsidR="00553430" w:rsidRDefault="00212577">
            <w:pPr>
              <w:pStyle w:val="P68B1DB1-Normal66"/>
              <w:spacing w:after="200" w:line="276" w:lineRule="auto"/>
              <w:rPr>
                <w:noProof/>
              </w:rPr>
            </w:pPr>
            <w:r>
              <w:rPr>
                <w:noProof/>
              </w:rPr>
              <w:t>Le système central interopérable, qui assure l'interopérabilité des registres, est en ligne et accessible. Elle:</w:t>
            </w:r>
          </w:p>
          <w:p w14:paraId="21F88663" w14:textId="77777777" w:rsidR="00553430" w:rsidRDefault="00212577">
            <w:pPr>
              <w:pStyle w:val="P68B1DB1-ListParagraph78"/>
              <w:numPr>
                <w:ilvl w:val="0"/>
                <w:numId w:val="59"/>
              </w:numPr>
              <w:spacing w:after="0" w:line="240" w:lineRule="auto"/>
              <w:ind w:left="414" w:hanging="284"/>
              <w:rPr>
                <w:noProof/>
              </w:rPr>
            </w:pPr>
            <w:r>
              <w:rPr>
                <w:noProof/>
              </w:rPr>
              <w:t>gar</w:t>
            </w:r>
            <w:r>
              <w:rPr>
                <w:noProof/>
              </w:rPr>
              <w:t xml:space="preserve">antir la mise à disposition en ligne de </w:t>
            </w:r>
            <w:r>
              <w:rPr>
                <w:noProof/>
                <w:u w:val="single"/>
              </w:rPr>
              <w:t>19</w:t>
            </w:r>
            <w:r>
              <w:rPr>
                <w:noProof/>
              </w:rPr>
              <w:t xml:space="preserve"> procédures administratives énumérées à l’annexe II du règlement sur le portail numérique unique aux utilisateurs transfrontaliers de l’UE;</w:t>
            </w:r>
          </w:p>
          <w:p w14:paraId="56484EE4" w14:textId="77777777" w:rsidR="00553430" w:rsidRDefault="00212577">
            <w:pPr>
              <w:pStyle w:val="P68B1DB1-ListParagraph78"/>
              <w:numPr>
                <w:ilvl w:val="0"/>
                <w:numId w:val="59"/>
              </w:numPr>
              <w:spacing w:after="0" w:line="240" w:lineRule="auto"/>
              <w:ind w:left="414" w:hanging="340"/>
              <w:rPr>
                <w:noProof/>
              </w:rPr>
            </w:pPr>
            <w:r>
              <w:rPr>
                <w:noProof/>
              </w:rPr>
              <w:t>inclure le portail national central;</w:t>
            </w:r>
          </w:p>
          <w:p w14:paraId="2F07733F" w14:textId="3BE7B8D8" w:rsidR="00553430" w:rsidRDefault="00212577">
            <w:pPr>
              <w:pStyle w:val="P68B1DB1-ListParagraph78"/>
              <w:numPr>
                <w:ilvl w:val="0"/>
                <w:numId w:val="59"/>
              </w:numPr>
              <w:spacing w:after="0" w:line="240" w:lineRule="auto"/>
              <w:ind w:left="414" w:hanging="340"/>
              <w:rPr>
                <w:noProof/>
              </w:rPr>
            </w:pPr>
            <w:r>
              <w:rPr>
                <w:noProof/>
              </w:rPr>
              <w:t>intégrer et interconnecter au moins h</w:t>
            </w:r>
            <w:r>
              <w:rPr>
                <w:noProof/>
              </w:rPr>
              <w:t>uit registres publics centraux supplémentaires existants dans le système;</w:t>
            </w:r>
          </w:p>
          <w:p w14:paraId="4BDCF960" w14:textId="77777777" w:rsidR="00553430" w:rsidRDefault="00212577">
            <w:pPr>
              <w:pStyle w:val="P68B1DB1-ListParagraph78"/>
              <w:numPr>
                <w:ilvl w:val="0"/>
                <w:numId w:val="59"/>
              </w:numPr>
              <w:spacing w:after="0" w:line="240" w:lineRule="auto"/>
              <w:ind w:left="414" w:hanging="340"/>
              <w:rPr>
                <w:noProof/>
              </w:rPr>
            </w:pPr>
            <w:r>
              <w:rPr>
                <w:noProof/>
              </w:rPr>
              <w:t>veiller à ce que les informations figurant dans les différents registres soient regroupées en un seul endroit et mises à la disposition des administrations publiques, des citoyens et</w:t>
            </w:r>
            <w:r>
              <w:rPr>
                <w:noProof/>
              </w:rPr>
              <w:t xml:space="preserve"> des entreprises.</w:t>
            </w:r>
          </w:p>
        </w:tc>
      </w:tr>
      <w:tr w:rsidR="00553430" w14:paraId="7C2BE105"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8DF5B72" w14:textId="77777777" w:rsidR="00553430" w:rsidRDefault="00212577">
            <w:pPr>
              <w:pStyle w:val="P68B1DB1-Normal66"/>
              <w:spacing w:after="200" w:line="276" w:lineRule="auto"/>
              <w:jc w:val="center"/>
              <w:rPr>
                <w:noProof/>
              </w:rPr>
            </w:pPr>
            <w:r>
              <w:rPr>
                <w:noProof/>
              </w:rPr>
              <w:t>179</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2BC41256" w14:textId="77777777" w:rsidR="00553430" w:rsidRDefault="00212577">
            <w:pPr>
              <w:pStyle w:val="P68B1DB1-Normal66"/>
              <w:spacing w:after="200" w:line="276" w:lineRule="auto"/>
              <w:jc w:val="center"/>
              <w:rPr>
                <w:noProof/>
              </w:rPr>
            </w:pPr>
            <w:r>
              <w:rPr>
                <w:noProof/>
              </w:rPr>
              <w:t>C2.3. R3-I1</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1C0032B4" w14:textId="77777777" w:rsidR="00553430" w:rsidRDefault="00212577">
            <w:pPr>
              <w:pStyle w:val="P68B1DB1-Normal66"/>
              <w:spacing w:after="200" w:line="276" w:lineRule="auto"/>
              <w:jc w:val="center"/>
              <w:rPr>
                <w:noProof/>
              </w:rPr>
            </w:pPr>
            <w:r>
              <w:rPr>
                <w:noProof/>
              </w:rPr>
              <w:t>T</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4EA5E57A" w14:textId="77777777" w:rsidR="00553430" w:rsidRDefault="00212577">
            <w:pPr>
              <w:pStyle w:val="P68B1DB1-Normal66"/>
              <w:spacing w:after="200" w:line="276" w:lineRule="auto"/>
              <w:rPr>
                <w:noProof/>
              </w:rPr>
            </w:pPr>
            <w:r>
              <w:rPr>
                <w:noProof/>
              </w:rPr>
              <w:t xml:space="preserve">Mise à niveau du State Cloud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4D615B1A" w14:textId="1646E53C" w:rsidR="00553430" w:rsidRDefault="00212577">
            <w:pPr>
              <w:pStyle w:val="P68B1DB1-Normal66"/>
              <w:spacing w:after="200" w:line="276" w:lineRule="auto"/>
              <w:rPr>
                <w:noProof/>
              </w:rPr>
            </w:pPr>
            <w:r>
              <w:rPr>
                <w:noProof/>
              </w:rPr>
              <w:t xml:space="preserve">Rapport du Bureau central pour le développement de la société numérique (SDURDD) </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2AF0CFDC" w14:textId="77777777" w:rsidR="00553430" w:rsidRDefault="00212577">
            <w:pPr>
              <w:pStyle w:val="P68B1DB1-Normal66"/>
              <w:spacing w:after="200" w:line="276" w:lineRule="auto"/>
              <w:jc w:val="center"/>
              <w:rPr>
                <w:noProof/>
              </w:rPr>
            </w:pPr>
            <w:r>
              <w:rPr>
                <w:noProof/>
              </w:rPr>
              <w:t>Numéro</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7362F579" w14:textId="77777777" w:rsidR="00553430" w:rsidRDefault="00212577">
            <w:pPr>
              <w:pStyle w:val="P68B1DB1-Normal66"/>
              <w:spacing w:after="200" w:line="276"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67018E5" w14:textId="77777777" w:rsidR="00553430" w:rsidRDefault="00212577">
            <w:pPr>
              <w:pStyle w:val="P68B1DB1-Normal66"/>
              <w:spacing w:after="200" w:line="276" w:lineRule="auto"/>
              <w:jc w:val="center"/>
              <w:rPr>
                <w:noProof/>
              </w:rPr>
            </w:pPr>
            <w:r>
              <w:rPr>
                <w:noProof/>
              </w:rPr>
              <w:t>6</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0577DF70" w14:textId="77777777" w:rsidR="00553430" w:rsidRDefault="00212577">
            <w:pPr>
              <w:pStyle w:val="P68B1DB1-Normal66"/>
              <w:spacing w:after="200" w:line="276" w:lineRule="auto"/>
              <w:jc w:val="center"/>
              <w:rPr>
                <w:noProof/>
              </w:rPr>
            </w:pPr>
            <w:r>
              <w:rPr>
                <w:noProof/>
              </w:rPr>
              <w:t>T4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62C381C9" w14:textId="77777777" w:rsidR="00553430" w:rsidRDefault="00212577">
            <w:pPr>
              <w:pStyle w:val="P68B1DB1-Normal66"/>
              <w:spacing w:after="200" w:line="276" w:lineRule="auto"/>
              <w:jc w:val="center"/>
              <w:rPr>
                <w:noProof/>
              </w:rPr>
            </w:pPr>
            <w:r>
              <w:rPr>
                <w:noProof/>
              </w:rPr>
              <w:t>2022</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0156DB68" w14:textId="77777777" w:rsidR="00553430" w:rsidRDefault="00212577">
            <w:pPr>
              <w:pStyle w:val="P68B1DB1-Normal66"/>
              <w:spacing w:after="200" w:line="276" w:lineRule="auto"/>
              <w:rPr>
                <w:noProof/>
              </w:rPr>
            </w:pPr>
            <w:r>
              <w:rPr>
                <w:noProof/>
              </w:rPr>
              <w:t xml:space="preserve">6 nouvelles fonctionnalités sont opérationnelles pour une utilisation dans le nuage </w:t>
            </w:r>
            <w:r>
              <w:rPr>
                <w:noProof/>
              </w:rPr>
              <w:t>d’État (CDU) et accessibles aux utilisateurs:</w:t>
            </w:r>
            <w:r>
              <w:rPr>
                <w:noProof/>
              </w:rPr>
              <w:br/>
              <w:t xml:space="preserve">Une plate-forme pour le développement, la mise en œuvre et le test d'applications pour les utilisateurs, </w:t>
            </w:r>
            <w:r>
              <w:rPr>
                <w:noProof/>
              </w:rPr>
              <w:br/>
              <w:t xml:space="preserve">-une plateforme de soutien aux TIC, </w:t>
            </w:r>
            <w:r>
              <w:rPr>
                <w:noProof/>
              </w:rPr>
              <w:br/>
              <w:t>-un système central de surveillance de la sécurité de l’information</w:t>
            </w:r>
            <w:r>
              <w:rPr>
                <w:noProof/>
              </w:rPr>
              <w:t xml:space="preserve"> pour la gestion d’éventuels événements de sécurité, </w:t>
            </w:r>
            <w:r>
              <w:rPr>
                <w:noProof/>
              </w:rPr>
              <w:br/>
              <w:t xml:space="preserve">-Une plate-forme d'authentification biométrique, </w:t>
            </w:r>
            <w:r>
              <w:rPr>
                <w:noProof/>
              </w:rPr>
              <w:br/>
              <w:t xml:space="preserve">-Une plateforme pour gérer le contenu numérique des sites web, </w:t>
            </w:r>
            <w:r>
              <w:rPr>
                <w:noProof/>
              </w:rPr>
              <w:br/>
              <w:t>Une plate-forme pour le développement de technologies de chaîne de blocs pour le cloud d</w:t>
            </w:r>
            <w:r>
              <w:rPr>
                <w:noProof/>
              </w:rPr>
              <w:t>e l'État.</w:t>
            </w:r>
          </w:p>
        </w:tc>
      </w:tr>
      <w:tr w:rsidR="00553430" w14:paraId="3BDAF1C6"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A647E85" w14:textId="77777777" w:rsidR="00553430" w:rsidRDefault="00212577">
            <w:pPr>
              <w:pStyle w:val="P68B1DB1-Normal66"/>
              <w:spacing w:after="200" w:line="276" w:lineRule="auto"/>
              <w:jc w:val="center"/>
              <w:rPr>
                <w:noProof/>
              </w:rPr>
            </w:pPr>
            <w:r>
              <w:rPr>
                <w:noProof/>
              </w:rPr>
              <w:t>180</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3C568384" w14:textId="77777777" w:rsidR="00553430" w:rsidRDefault="00212577">
            <w:pPr>
              <w:pStyle w:val="P68B1DB1-Normal66"/>
              <w:spacing w:after="200" w:line="276" w:lineRule="auto"/>
              <w:jc w:val="center"/>
              <w:rPr>
                <w:noProof/>
              </w:rPr>
            </w:pPr>
            <w:r>
              <w:rPr>
                <w:noProof/>
              </w:rPr>
              <w:t>C2.3. R3-I1</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5E003891" w14:textId="77777777" w:rsidR="00553430" w:rsidRDefault="00212577">
            <w:pPr>
              <w:pStyle w:val="P68B1DB1-Normal66"/>
              <w:spacing w:after="200" w:line="276" w:lineRule="auto"/>
              <w:jc w:val="center"/>
              <w:rPr>
                <w:noProof/>
              </w:rPr>
            </w:pPr>
            <w:r>
              <w:rPr>
                <w:noProof/>
              </w:rPr>
              <w:t>T</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4986F5CE" w14:textId="77777777" w:rsidR="00553430" w:rsidRDefault="00212577">
            <w:pPr>
              <w:pStyle w:val="P68B1DB1-Normal66"/>
              <w:spacing w:after="200" w:line="276" w:lineRule="auto"/>
              <w:rPr>
                <w:noProof/>
              </w:rPr>
            </w:pPr>
            <w:r>
              <w:rPr>
                <w:noProof/>
              </w:rPr>
              <w:t>Augmentation du nombre d'utilisateurs dans le Centre de services partagés</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5990C596" w14:textId="77777777" w:rsidR="00553430" w:rsidRDefault="00212577">
            <w:pPr>
              <w:pStyle w:val="P68B1DB1-Normal66"/>
              <w:spacing w:after="200" w:line="276" w:lineRule="auto"/>
              <w:rPr>
                <w:noProof/>
              </w:rPr>
            </w:pPr>
            <w:r>
              <w:rPr>
                <w:noProof/>
              </w:rPr>
              <w:t xml:space="preserve"> </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21F8FEF5" w14:textId="77777777" w:rsidR="00553430" w:rsidRDefault="00212577">
            <w:pPr>
              <w:pStyle w:val="P68B1DB1-Normal66"/>
              <w:spacing w:after="200" w:line="276" w:lineRule="auto"/>
              <w:jc w:val="center"/>
              <w:rPr>
                <w:noProof/>
              </w:rPr>
            </w:pPr>
            <w:r>
              <w:rPr>
                <w:noProof/>
              </w:rPr>
              <w:t>Numéro</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6859D352" w14:textId="77777777" w:rsidR="00553430" w:rsidRDefault="00212577">
            <w:pPr>
              <w:pStyle w:val="P68B1DB1-Normal66"/>
              <w:spacing w:after="200" w:line="276"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90CD438" w14:textId="77777777" w:rsidR="00553430" w:rsidRDefault="00212577">
            <w:pPr>
              <w:pStyle w:val="P68B1DB1-Normal66"/>
              <w:spacing w:after="200" w:line="276" w:lineRule="auto"/>
              <w:jc w:val="center"/>
              <w:rPr>
                <w:noProof/>
              </w:rPr>
            </w:pPr>
            <w:r>
              <w:rPr>
                <w:noProof/>
              </w:rPr>
              <w:t>450</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5C36439B" w14:textId="77777777" w:rsidR="00553430" w:rsidRDefault="00212577">
            <w:pPr>
              <w:pStyle w:val="P68B1DB1-Normal66"/>
              <w:spacing w:after="200" w:line="276" w:lineRule="auto"/>
              <w:jc w:val="center"/>
              <w:rPr>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28CC744A" w14:textId="77777777" w:rsidR="00553430" w:rsidRDefault="00212577">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69612B3" w14:textId="77777777" w:rsidR="00553430" w:rsidRDefault="00212577">
            <w:pPr>
              <w:pStyle w:val="P68B1DB1-Normal66"/>
              <w:spacing w:after="200" w:line="276" w:lineRule="auto"/>
              <w:rPr>
                <w:noProof/>
              </w:rPr>
            </w:pPr>
            <w:r>
              <w:rPr>
                <w:noProof/>
              </w:rPr>
              <w:t>450 nouveaux utilisateurs seront intégrés dans le Centre de services partagés.</w:t>
            </w:r>
          </w:p>
          <w:p w14:paraId="06583260" w14:textId="77777777" w:rsidR="00553430" w:rsidRDefault="00212577">
            <w:pPr>
              <w:pStyle w:val="P68B1DB1-Normal66"/>
              <w:spacing w:after="0" w:line="276" w:lineRule="auto"/>
              <w:rPr>
                <w:noProof/>
              </w:rPr>
            </w:pPr>
            <w:r>
              <w:rPr>
                <w:noProof/>
              </w:rPr>
              <w:t xml:space="preserve">L’intégration de la plateforme du centre de </w:t>
            </w:r>
            <w:r>
              <w:rPr>
                <w:noProof/>
              </w:rPr>
              <w:t>services partagés dans les espaces européens communs de données a commencé, comme l’a confirmé le fournisseur de la technologie pertinente permettant l’intégration, reconnaissant que:</w:t>
            </w:r>
          </w:p>
          <w:p w14:paraId="00913C16" w14:textId="77777777" w:rsidR="00553430" w:rsidRDefault="00212577">
            <w:pPr>
              <w:pStyle w:val="P68B1DB1-ListParagraph78"/>
              <w:numPr>
                <w:ilvl w:val="0"/>
                <w:numId w:val="60"/>
              </w:numPr>
              <w:spacing w:after="0" w:line="276" w:lineRule="auto"/>
              <w:rPr>
                <w:noProof/>
              </w:rPr>
            </w:pPr>
            <w:r>
              <w:rPr>
                <w:noProof/>
              </w:rPr>
              <w:t>le méta-catalogue des données de santé situées dans le lac Data a été te</w:t>
            </w:r>
            <w:r>
              <w:rPr>
                <w:noProof/>
              </w:rPr>
              <w:t>chniquement préparé, et</w:t>
            </w:r>
          </w:p>
          <w:p w14:paraId="5EBAB5BD" w14:textId="77777777" w:rsidR="00553430" w:rsidRDefault="00212577">
            <w:pPr>
              <w:pStyle w:val="P68B1DB1-ListParagraph78"/>
              <w:numPr>
                <w:ilvl w:val="0"/>
                <w:numId w:val="60"/>
              </w:numPr>
              <w:spacing w:after="0" w:line="276" w:lineRule="auto"/>
              <w:rPr>
                <w:noProof/>
              </w:rPr>
            </w:pPr>
            <w:r>
              <w:rPr>
                <w:noProof/>
              </w:rPr>
              <w:t xml:space="preserve"> que la SPE (Secure Processing Environment) a été sécurisée. </w:t>
            </w:r>
          </w:p>
        </w:tc>
      </w:tr>
      <w:tr w:rsidR="00553430" w14:paraId="11105BD9"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5979FD43" w14:textId="77777777" w:rsidR="00553430" w:rsidRDefault="00212577">
            <w:pPr>
              <w:pStyle w:val="P68B1DB1-Normal66"/>
              <w:spacing w:after="200" w:line="276" w:lineRule="auto"/>
              <w:jc w:val="center"/>
              <w:rPr>
                <w:noProof/>
              </w:rPr>
            </w:pPr>
            <w:r>
              <w:rPr>
                <w:noProof/>
              </w:rPr>
              <w:t>181</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37F5E65B" w14:textId="77777777" w:rsidR="00553430" w:rsidRDefault="00212577">
            <w:pPr>
              <w:pStyle w:val="P68B1DB1-Normal66"/>
              <w:spacing w:after="200" w:line="276" w:lineRule="auto"/>
              <w:jc w:val="center"/>
              <w:rPr>
                <w:noProof/>
              </w:rPr>
            </w:pPr>
            <w:r>
              <w:rPr>
                <w:noProof/>
              </w:rPr>
              <w:t>C2.3. R3-I2</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6F9303ED"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760A9740" w14:textId="77777777" w:rsidR="00553430" w:rsidRDefault="00212577">
            <w:pPr>
              <w:pStyle w:val="P68B1DB1-Normal66"/>
              <w:spacing w:after="200" w:line="276" w:lineRule="auto"/>
              <w:rPr>
                <w:noProof/>
              </w:rPr>
            </w:pPr>
            <w:r>
              <w:rPr>
                <w:noProof/>
              </w:rPr>
              <w:t>Projet pilote sur la cybersécurité</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0F5971B5" w14:textId="77777777" w:rsidR="00553430" w:rsidRDefault="00212577">
            <w:pPr>
              <w:pStyle w:val="P68B1DB1-Normal66"/>
              <w:spacing w:after="200" w:line="276" w:lineRule="auto"/>
              <w:rPr>
                <w:noProof/>
              </w:rPr>
            </w:pPr>
            <w:r>
              <w:rPr>
                <w:noProof/>
              </w:rPr>
              <w:t>Rapport du Ministère de l ' intérieur</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756BDF2D" w14:textId="77777777" w:rsidR="00553430" w:rsidRDefault="00212577">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465DCAEA" w14:textId="77777777" w:rsidR="00553430" w:rsidRDefault="00212577">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73E5FBB" w14:textId="77777777" w:rsidR="00553430" w:rsidRDefault="00212577">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4EEB51EA" w14:textId="77777777" w:rsidR="00553430" w:rsidRDefault="00212577">
            <w:pPr>
              <w:pStyle w:val="P68B1DB1-Normal66"/>
              <w:spacing w:after="200" w:line="276" w:lineRule="auto"/>
              <w:jc w:val="center"/>
              <w:rPr>
                <w:noProof/>
              </w:rPr>
            </w:pPr>
            <w:r>
              <w:rPr>
                <w:noProof/>
              </w:rPr>
              <w:t>T4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34B254B3" w14:textId="77777777" w:rsidR="00553430" w:rsidRDefault="00212577">
            <w:pPr>
              <w:pStyle w:val="P68B1DB1-Normal66"/>
              <w:spacing w:after="200" w:line="276" w:lineRule="auto"/>
              <w:jc w:val="center"/>
              <w:rPr>
                <w:noProof/>
              </w:rPr>
            </w:pPr>
            <w:r>
              <w:rPr>
                <w:noProof/>
              </w:rPr>
              <w:t>2023</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386836F0" w14:textId="77777777" w:rsidR="00553430" w:rsidRDefault="00212577">
            <w:pPr>
              <w:pStyle w:val="P68B1DB1-Normal66"/>
              <w:spacing w:after="200" w:line="276" w:lineRule="auto"/>
              <w:rPr>
                <w:noProof/>
              </w:rPr>
            </w:pPr>
            <w:r>
              <w:rPr>
                <w:noProof/>
              </w:rPr>
              <w:t xml:space="preserve">Un projet pilote de test de résistance du système est réalisé – avec simulation des infractions pénales «cyberdépendantes» et «cyberactivées». </w:t>
            </w:r>
            <w:r>
              <w:rPr>
                <w:noProof/>
              </w:rPr>
              <w:br/>
            </w:r>
            <w:r>
              <w:rPr>
                <w:noProof/>
              </w:rPr>
              <w:br/>
              <w:t>Le système est équipé de composants logiciels et matériels spécifiques pour les enquêtes sur la cybercriminalit</w:t>
            </w:r>
            <w:r>
              <w:rPr>
                <w:noProof/>
              </w:rPr>
              <w:t>é, la recherche open source sur l’internet et la criminalistique numérique, ainsi que d’ensembles d’analyse d’enquêtes pour l’analyse des preuves numériques. La mise en œuvre du projet remplit les conditions préalables nécessaires à la mise à niveau des ou</w:t>
            </w:r>
            <w:r>
              <w:rPr>
                <w:noProof/>
              </w:rPr>
              <w:t>tils et systèmes médico-légaux, ainsi que des systèmes de surveillance secrets pour les réseaux et services de communications électroniques, nécessaires pour accroître le niveau de cybersécurité en Croatie et dans l’UE. Une fois l’équipement acquis et plei</w:t>
            </w:r>
            <w:r>
              <w:rPr>
                <w:noProof/>
              </w:rPr>
              <w:t>nement opérationnel, un projet pilote visant à simuler la recherche sur la cybercriminalité sous la forme d’un exercice sur table est réalisé afin d’évaluer la contribution de l’équipement à la réalisation des mesures et des objectifs du projet de cyberapp</w:t>
            </w:r>
            <w:r>
              <w:rPr>
                <w:noProof/>
              </w:rPr>
              <w:t xml:space="preserve">lication. </w:t>
            </w:r>
          </w:p>
        </w:tc>
      </w:tr>
      <w:tr w:rsidR="00553430" w14:paraId="60A39769"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BA05253" w14:textId="77777777" w:rsidR="00553430" w:rsidRDefault="00212577">
            <w:pPr>
              <w:pStyle w:val="P68B1DB1-Normal66"/>
              <w:spacing w:after="200" w:line="276" w:lineRule="auto"/>
              <w:jc w:val="center"/>
              <w:rPr>
                <w:noProof/>
              </w:rPr>
            </w:pPr>
            <w:r>
              <w:rPr>
                <w:noProof/>
              </w:rPr>
              <w:t>182</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1083005D" w14:textId="77777777" w:rsidR="00553430" w:rsidRDefault="00212577">
            <w:pPr>
              <w:pStyle w:val="P68B1DB1-Normal66"/>
              <w:spacing w:after="200" w:line="276" w:lineRule="auto"/>
              <w:jc w:val="center"/>
              <w:rPr>
                <w:noProof/>
              </w:rPr>
            </w:pPr>
            <w:r>
              <w:rPr>
                <w:noProof/>
              </w:rPr>
              <w:t>C2.3. R3-I2</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0CB1AAD5"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16F365F4" w14:textId="77777777" w:rsidR="00553430" w:rsidRDefault="00212577">
            <w:pPr>
              <w:pStyle w:val="P68B1DB1-Normal66"/>
              <w:spacing w:after="200" w:line="276" w:lineRule="auto"/>
              <w:rPr>
                <w:noProof/>
              </w:rPr>
            </w:pPr>
            <w:r>
              <w:rPr>
                <w:noProof/>
              </w:rPr>
              <w:t xml:space="preserve">Campagne de prévention publique en matière de cybersécurité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129AFA70" w14:textId="77777777" w:rsidR="00553430" w:rsidRDefault="00212577">
            <w:pPr>
              <w:pStyle w:val="P68B1DB1-Normal66"/>
              <w:spacing w:after="200" w:line="276" w:lineRule="auto"/>
              <w:rPr>
                <w:noProof/>
              </w:rPr>
            </w:pPr>
            <w:r>
              <w:rPr>
                <w:noProof/>
              </w:rPr>
              <w:t>Rapport du Ministère de l ' intérieur</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5E866863" w14:textId="77777777" w:rsidR="00553430" w:rsidRDefault="00212577">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655F85AA" w14:textId="77777777" w:rsidR="00553430" w:rsidRDefault="00212577">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97B396" w14:textId="77777777" w:rsidR="00553430" w:rsidRDefault="00212577">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02D13965" w14:textId="77777777" w:rsidR="00553430" w:rsidRDefault="00212577">
            <w:pPr>
              <w:pStyle w:val="P68B1DB1-Normal66"/>
              <w:spacing w:after="200" w:line="276" w:lineRule="auto"/>
              <w:jc w:val="center"/>
              <w:rPr>
                <w:noProof/>
              </w:rPr>
            </w:pPr>
            <w:r>
              <w:rPr>
                <w:noProof/>
              </w:rPr>
              <w:t>T1</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2F937823" w14:textId="77777777" w:rsidR="00553430" w:rsidRDefault="00212577">
            <w:pPr>
              <w:pStyle w:val="P68B1DB1-Normal66"/>
              <w:spacing w:after="200" w:line="276" w:lineRule="auto"/>
              <w:jc w:val="center"/>
              <w:rPr>
                <w:noProof/>
              </w:rPr>
            </w:pPr>
            <w:r>
              <w:rPr>
                <w:noProof/>
              </w:rPr>
              <w:t>2024</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774A325" w14:textId="77777777" w:rsidR="00553430" w:rsidRDefault="00212577">
            <w:pPr>
              <w:pStyle w:val="P68B1DB1-Normal66"/>
              <w:spacing w:after="200" w:line="276" w:lineRule="auto"/>
              <w:rPr>
                <w:noProof/>
              </w:rPr>
            </w:pPr>
            <w:r>
              <w:rPr>
                <w:noProof/>
              </w:rPr>
              <w:t xml:space="preserve">Une campagne de prévention publique est menée sur les manifestations de la cybercriminalité et les mesures de </w:t>
            </w:r>
            <w:r>
              <w:rPr>
                <w:noProof/>
              </w:rPr>
              <w:t>prévention, suivie par les indicateurs suivants:</w:t>
            </w:r>
            <w:r>
              <w:rPr>
                <w:noProof/>
              </w:rPr>
              <w:br/>
              <w:t xml:space="preserve">- nombre d’activités de sensibilisation et d’éducation préventives menées par différents groupes cibles sur les mesures de comportement d’autoprotection en ce qui concerne les risques de cybercriminalité </w:t>
            </w:r>
            <w:r>
              <w:rPr>
                <w:noProof/>
              </w:rPr>
              <w:br/>
              <w:t xml:space="preserve">- </w:t>
            </w:r>
            <w:r>
              <w:rPr>
                <w:noProof/>
              </w:rPr>
              <w:t xml:space="preserve">nombre de participants aux activités </w:t>
            </w:r>
            <w:r>
              <w:rPr>
                <w:noProof/>
              </w:rPr>
              <w:br/>
              <w:t xml:space="preserve">- nombre de matériels préventifs distribués </w:t>
            </w:r>
            <w:r>
              <w:rPr>
                <w:noProof/>
              </w:rPr>
              <w:br/>
              <w:t xml:space="preserve">- nombre de publications dans les médias (y compris tous les médias) </w:t>
            </w:r>
            <w:r>
              <w:rPr>
                <w:noProof/>
              </w:rPr>
              <w:br/>
              <w:t xml:space="preserve">- nombre de réponses des groupes cibles sur les médias sociaux </w:t>
            </w:r>
            <w:r>
              <w:rPr>
                <w:noProof/>
              </w:rPr>
              <w:br/>
              <w:t>- nombre et résultats traités des enquê</w:t>
            </w:r>
            <w:r>
              <w:rPr>
                <w:noProof/>
              </w:rPr>
              <w:t xml:space="preserve">tes en ligne réalisées via les réseaux sociaux </w:t>
            </w:r>
            <w:r>
              <w:rPr>
                <w:noProof/>
              </w:rPr>
              <w:br/>
              <w:t>- nombre d'évaluations de groupes cibles effectuées à l'aide de méthodes quantitatives</w:t>
            </w:r>
          </w:p>
        </w:tc>
      </w:tr>
      <w:tr w:rsidR="00553430" w14:paraId="107ECE25"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EF4703B" w14:textId="77777777" w:rsidR="00553430" w:rsidRDefault="00212577">
            <w:pPr>
              <w:pStyle w:val="P68B1DB1-Normal66"/>
              <w:spacing w:after="200" w:line="276" w:lineRule="auto"/>
              <w:jc w:val="center"/>
              <w:rPr>
                <w:noProof/>
              </w:rPr>
            </w:pPr>
            <w:r>
              <w:rPr>
                <w:noProof/>
              </w:rPr>
              <w:t>183</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02828684" w14:textId="77777777" w:rsidR="00553430" w:rsidRDefault="00212577">
            <w:pPr>
              <w:pStyle w:val="P68B1DB1-Normal66"/>
              <w:spacing w:after="200" w:line="276" w:lineRule="auto"/>
              <w:jc w:val="center"/>
              <w:rPr>
                <w:noProof/>
              </w:rPr>
            </w:pPr>
            <w:r>
              <w:rPr>
                <w:noProof/>
              </w:rPr>
              <w:t>C2.3. R3-I3</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646F2BD3"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17F12E80" w14:textId="77777777" w:rsidR="00553430" w:rsidRDefault="00212577">
            <w:pPr>
              <w:pStyle w:val="P68B1DB1-Normal66"/>
              <w:spacing w:after="200" w:line="276" w:lineRule="auto"/>
              <w:rPr>
                <w:noProof/>
              </w:rPr>
            </w:pPr>
            <w:r>
              <w:rPr>
                <w:noProof/>
              </w:rPr>
              <w:t>Mise en place d'un guichet unique</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1A919DBF" w14:textId="77777777" w:rsidR="00553430" w:rsidRDefault="00212577">
            <w:pPr>
              <w:pStyle w:val="P68B1DB1-Normal66"/>
              <w:spacing w:after="200" w:line="276" w:lineRule="auto"/>
              <w:rPr>
                <w:noProof/>
              </w:rPr>
            </w:pPr>
            <w:r>
              <w:rPr>
                <w:noProof/>
              </w:rPr>
              <w:t xml:space="preserve">Rapport du Bureau central pour le développement de la société </w:t>
            </w:r>
            <w:r>
              <w:rPr>
                <w:noProof/>
              </w:rPr>
              <w:t>numérique (SDURDD) indiquant que le guichet unique est mis en place et opérationnel pour une utilisation</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5F5D7988" w14:textId="77777777" w:rsidR="00553430" w:rsidRDefault="00212577">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200C4BBF" w14:textId="77777777" w:rsidR="00553430" w:rsidRDefault="00212577">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2C2A319" w14:textId="77777777" w:rsidR="00553430" w:rsidRDefault="00212577">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4FF7BF36" w14:textId="77777777" w:rsidR="00553430" w:rsidRDefault="00212577">
            <w:pPr>
              <w:pStyle w:val="P68B1DB1-Normal66"/>
              <w:spacing w:after="200" w:line="276" w:lineRule="auto"/>
              <w:jc w:val="center"/>
              <w:rPr>
                <w:noProof/>
              </w:rPr>
            </w:pPr>
            <w:r>
              <w:rPr>
                <w:noProof/>
              </w:rPr>
              <w:t>T4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6E6F5F3E" w14:textId="77777777" w:rsidR="00553430" w:rsidRDefault="00212577">
            <w:pPr>
              <w:pStyle w:val="P68B1DB1-Normal66"/>
              <w:spacing w:after="200" w:line="276" w:lineRule="auto"/>
              <w:jc w:val="center"/>
              <w:rPr>
                <w:noProof/>
              </w:rPr>
            </w:pPr>
            <w:r>
              <w:rPr>
                <w:noProof/>
              </w:rPr>
              <w:t>2023</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1A5CB8E" w14:textId="77777777" w:rsidR="00553430" w:rsidRDefault="00212577">
            <w:pPr>
              <w:pStyle w:val="P68B1DB1-Normal66"/>
              <w:spacing w:after="200" w:line="276" w:lineRule="auto"/>
              <w:rPr>
                <w:noProof/>
              </w:rPr>
            </w:pPr>
            <w:r>
              <w:rPr>
                <w:noProof/>
              </w:rPr>
              <w:t>La plateforme de guichet unique (JKC) fournissant des informations et un so</w:t>
            </w:r>
            <w:r>
              <w:rPr>
                <w:noProof/>
              </w:rPr>
              <w:t xml:space="preserve">utien à la clientèle aux citoyens et aux entreprises dans un emplacement centralisé unique est mise en place et opérationnelle en vue de son utilisation. </w:t>
            </w:r>
          </w:p>
        </w:tc>
      </w:tr>
      <w:tr w:rsidR="00553430" w14:paraId="21B011B2"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BB726D3" w14:textId="77777777" w:rsidR="00553430" w:rsidRDefault="00212577">
            <w:pPr>
              <w:pStyle w:val="P68B1DB1-Normal66"/>
              <w:spacing w:after="200" w:line="276" w:lineRule="auto"/>
              <w:jc w:val="center"/>
              <w:rPr>
                <w:noProof/>
              </w:rPr>
            </w:pPr>
            <w:r>
              <w:rPr>
                <w:noProof/>
              </w:rPr>
              <w:t>184</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6C594E22" w14:textId="77777777" w:rsidR="00553430" w:rsidRDefault="00212577">
            <w:pPr>
              <w:pStyle w:val="P68B1DB1-Normal66"/>
              <w:spacing w:after="200" w:line="276" w:lineRule="auto"/>
              <w:jc w:val="center"/>
              <w:rPr>
                <w:noProof/>
              </w:rPr>
            </w:pPr>
            <w:r>
              <w:rPr>
                <w:noProof/>
              </w:rPr>
              <w:t>C2.3. R3-I4</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39175454"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4F0AFC99" w14:textId="77777777" w:rsidR="00553430" w:rsidRDefault="00212577">
            <w:pPr>
              <w:pStyle w:val="P68B1DB1-Normal66"/>
              <w:spacing w:after="200" w:line="276" w:lineRule="auto"/>
              <w:rPr>
                <w:noProof/>
              </w:rPr>
            </w:pPr>
            <w:r>
              <w:rPr>
                <w:noProof/>
              </w:rPr>
              <w:t>Système informatique CEZIH</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73894A80" w14:textId="77777777" w:rsidR="00553430" w:rsidRDefault="00212577">
            <w:pPr>
              <w:pStyle w:val="P68B1DB1-Normal66"/>
              <w:spacing w:after="200" w:line="276" w:lineRule="auto"/>
              <w:rPr>
                <w:noProof/>
              </w:rPr>
            </w:pPr>
            <w:r>
              <w:rPr>
                <w:noProof/>
              </w:rPr>
              <w:t>Rapport du ministère de la Santé</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74FC174B" w14:textId="77777777" w:rsidR="00553430" w:rsidRDefault="00212577">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06168FC3" w14:textId="77777777" w:rsidR="00553430" w:rsidRDefault="00212577">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A95D487" w14:textId="77777777" w:rsidR="00553430" w:rsidRDefault="00212577">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51070AB8" w14:textId="77777777" w:rsidR="00553430" w:rsidRDefault="00212577">
            <w:pPr>
              <w:pStyle w:val="P68B1DB1-Normal66"/>
              <w:spacing w:after="200" w:line="276" w:lineRule="auto"/>
              <w:jc w:val="center"/>
              <w:rPr>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16332038" w14:textId="77777777" w:rsidR="00553430" w:rsidRDefault="00212577">
            <w:pPr>
              <w:pStyle w:val="P68B1DB1-Normal66"/>
              <w:spacing w:after="200" w:line="276" w:lineRule="auto"/>
              <w:jc w:val="center"/>
              <w:rPr>
                <w:noProof/>
              </w:rPr>
            </w:pPr>
            <w:r>
              <w:rPr>
                <w:noProof/>
              </w:rPr>
              <w:t>2024</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267C2FC" w14:textId="77777777" w:rsidR="00553430" w:rsidRDefault="00212577">
            <w:pPr>
              <w:pStyle w:val="P68B1DB1-Normal66"/>
              <w:spacing w:after="200" w:line="276" w:lineRule="auto"/>
              <w:rPr>
                <w:noProof/>
              </w:rPr>
            </w:pPr>
            <w:r>
              <w:rPr>
                <w:noProof/>
              </w:rPr>
              <w:t xml:space="preserve">Le </w:t>
            </w:r>
            <w:r>
              <w:rPr>
                <w:noProof/>
              </w:rPr>
              <w:t>système central d’information sanitaire de la Croatie est opérationnel pour être utilisé dans le nuage d’État (CDU).</w:t>
            </w:r>
          </w:p>
        </w:tc>
      </w:tr>
      <w:tr w:rsidR="00553430" w14:paraId="2D43EAFA"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AA38C76" w14:textId="77777777" w:rsidR="00553430" w:rsidRDefault="00212577">
            <w:pPr>
              <w:pStyle w:val="P68B1DB1-Normal66"/>
              <w:spacing w:after="200" w:line="276" w:lineRule="auto"/>
              <w:jc w:val="center"/>
              <w:rPr>
                <w:noProof/>
              </w:rPr>
            </w:pPr>
            <w:r>
              <w:rPr>
                <w:noProof/>
              </w:rPr>
              <w:t>185</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6F5090E9" w14:textId="77777777" w:rsidR="00553430" w:rsidRDefault="00212577">
            <w:pPr>
              <w:pStyle w:val="P68B1DB1-Normal66"/>
              <w:spacing w:after="200" w:line="276" w:lineRule="auto"/>
              <w:jc w:val="center"/>
              <w:rPr>
                <w:noProof/>
              </w:rPr>
            </w:pPr>
            <w:r>
              <w:rPr>
                <w:noProof/>
              </w:rPr>
              <w:t>C2.3. R3-I5</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00D43934" w14:textId="77777777" w:rsidR="00553430" w:rsidRDefault="00212577">
            <w:pPr>
              <w:pStyle w:val="P68B1DB1-Normal66"/>
              <w:spacing w:after="200" w:line="276" w:lineRule="auto"/>
              <w:jc w:val="center"/>
              <w:rPr>
                <w:noProof/>
              </w:rPr>
            </w:pPr>
            <w:r>
              <w:rPr>
                <w:noProof/>
              </w:rPr>
              <w:t>T</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68A32B6C" w14:textId="77777777" w:rsidR="00553430" w:rsidRDefault="00212577">
            <w:pPr>
              <w:pStyle w:val="P68B1DB1-Normal66"/>
              <w:spacing w:after="200" w:line="276" w:lineRule="auto"/>
              <w:rPr>
                <w:noProof/>
              </w:rPr>
            </w:pPr>
            <w:r>
              <w:rPr>
                <w:noProof/>
              </w:rPr>
              <w:t>Signature électronique de la carte d’identité numérique</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56C5BC87" w14:textId="77777777" w:rsidR="00553430" w:rsidRDefault="00212577">
            <w:pPr>
              <w:pStyle w:val="P68B1DB1-Normal66"/>
              <w:spacing w:after="200" w:line="276" w:lineRule="auto"/>
              <w:rPr>
                <w:noProof/>
              </w:rPr>
            </w:pPr>
            <w:r>
              <w:rPr>
                <w:noProof/>
              </w:rPr>
              <w:t>Rapport de l’Agence sur la sécurité numérique (AKD)</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7ADE7ABB" w14:textId="77777777" w:rsidR="00553430" w:rsidRDefault="00212577">
            <w:pPr>
              <w:pStyle w:val="P68B1DB1-Normal66"/>
              <w:spacing w:after="200" w:line="276" w:lineRule="auto"/>
              <w:jc w:val="center"/>
              <w:rPr>
                <w:noProof/>
              </w:rPr>
            </w:pPr>
            <w:r>
              <w:rPr>
                <w:noProof/>
              </w:rPr>
              <w:t>Numéro</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44174328" w14:textId="77777777" w:rsidR="00553430" w:rsidRDefault="00212577">
            <w:pPr>
              <w:pStyle w:val="P68B1DB1-Normal66"/>
              <w:spacing w:after="200" w:line="276"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B782CAC" w14:textId="77777777" w:rsidR="00553430" w:rsidRDefault="00212577">
            <w:pPr>
              <w:pStyle w:val="P68B1DB1-Normal66"/>
              <w:spacing w:after="200" w:line="276" w:lineRule="auto"/>
              <w:jc w:val="center"/>
              <w:rPr>
                <w:noProof/>
              </w:rPr>
            </w:pPr>
            <w:r>
              <w:rPr>
                <w:noProof/>
              </w:rPr>
              <w:t>300</w:t>
            </w:r>
            <w:r>
              <w:rPr>
                <w:noProof/>
              </w:rPr>
              <w:t xml:space="preserve"> 000</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5C56A5D6" w14:textId="77777777" w:rsidR="00553430" w:rsidRDefault="00212577">
            <w:pPr>
              <w:pStyle w:val="P68B1DB1-Normal66"/>
              <w:spacing w:after="200" w:line="276" w:lineRule="auto"/>
              <w:jc w:val="center"/>
              <w:rPr>
                <w:noProof/>
              </w:rPr>
            </w:pPr>
            <w:r>
              <w:rPr>
                <w:noProof/>
              </w:rPr>
              <w:t>T4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0324FD67" w14:textId="77777777" w:rsidR="00553430" w:rsidRDefault="00212577">
            <w:pPr>
              <w:pStyle w:val="P68B1DB1-Normal66"/>
              <w:spacing w:after="200" w:line="276" w:lineRule="auto"/>
              <w:jc w:val="center"/>
              <w:rPr>
                <w:noProof/>
              </w:rPr>
            </w:pPr>
            <w:r>
              <w:rPr>
                <w:noProof/>
              </w:rPr>
              <w:t>2024</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3D1A1928" w14:textId="77777777" w:rsidR="00553430" w:rsidRDefault="00212577">
            <w:pPr>
              <w:pStyle w:val="P68B1DB1-Normal66"/>
              <w:spacing w:after="200" w:line="276" w:lineRule="auto"/>
              <w:rPr>
                <w:noProof/>
                <w:color w:val="000000" w:themeColor="text1"/>
              </w:rPr>
            </w:pPr>
            <w:r>
              <w:rPr>
                <w:noProof/>
              </w:rPr>
              <w:t xml:space="preserve">L'application mobile Certilia sera téléchargée 300 000 fois via Google Play Store et App Store. En outre, 100 000 certificats sont délivrés pour la signature électronique qualifiée à distance. L’application mobile Certilia et les identifiants </w:t>
            </w:r>
            <w:r>
              <w:rPr>
                <w:noProof/>
              </w:rPr>
              <w:t>mobiles personnels permettent à au moins 50 000 utilisateurs uniques d’exécuter un processus d’authentification au moins 700 000 fois.</w:t>
            </w:r>
          </w:p>
        </w:tc>
      </w:tr>
      <w:tr w:rsidR="00553430" w14:paraId="4CC801A0"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19A4254" w14:textId="77777777" w:rsidR="00553430" w:rsidRDefault="00212577">
            <w:pPr>
              <w:pStyle w:val="P68B1DB1-Normal66"/>
              <w:spacing w:after="200" w:line="276" w:lineRule="auto"/>
              <w:jc w:val="center"/>
              <w:rPr>
                <w:noProof/>
              </w:rPr>
            </w:pPr>
            <w:r>
              <w:rPr>
                <w:noProof/>
              </w:rPr>
              <w:t>186</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35EF4B43" w14:textId="77777777" w:rsidR="00553430" w:rsidRDefault="00212577">
            <w:pPr>
              <w:pStyle w:val="P68B1DB1-Normal66"/>
              <w:spacing w:after="200" w:line="276" w:lineRule="auto"/>
              <w:jc w:val="center"/>
              <w:rPr>
                <w:noProof/>
              </w:rPr>
            </w:pPr>
            <w:r>
              <w:rPr>
                <w:noProof/>
              </w:rPr>
              <w:t>C2.3. R3-I6</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38270C67"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4D1394B3" w14:textId="77777777" w:rsidR="00553430" w:rsidRDefault="00212577">
            <w:pPr>
              <w:pStyle w:val="P68B1DB1-Normal66"/>
              <w:spacing w:after="200" w:line="276" w:lineRule="auto"/>
              <w:rPr>
                <w:noProof/>
              </w:rPr>
            </w:pPr>
            <w:r>
              <w:rPr>
                <w:noProof/>
              </w:rPr>
              <w:t>Mise à niveau du réseau de l'infrastructure d'information de l'État (DII)</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033C633C" w14:textId="77777777" w:rsidR="00553430" w:rsidRDefault="00212577">
            <w:pPr>
              <w:pStyle w:val="P68B1DB1-Normal70"/>
              <w:spacing w:after="200" w:line="276" w:lineRule="auto"/>
              <w:rPr>
                <w:noProof/>
                <w:color w:val="000000"/>
              </w:rPr>
            </w:pPr>
            <w:r>
              <w:rPr>
                <w:noProof/>
              </w:rPr>
              <w:t xml:space="preserve">Mise à niveau du DII en </w:t>
            </w:r>
            <w:r>
              <w:rPr>
                <w:noProof/>
              </w:rPr>
              <w:t>ligne et accessible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3EB79DDC" w14:textId="77777777" w:rsidR="00553430" w:rsidRDefault="00212577">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252FC915" w14:textId="77777777" w:rsidR="00553430" w:rsidRDefault="00212577">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541F209" w14:textId="77777777" w:rsidR="00553430" w:rsidRDefault="00212577">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3DEF2115" w14:textId="77777777" w:rsidR="00553430" w:rsidRDefault="00212577">
            <w:pPr>
              <w:pStyle w:val="P68B1DB1-Normal66"/>
              <w:spacing w:after="200" w:line="276" w:lineRule="auto"/>
              <w:jc w:val="center"/>
              <w:rPr>
                <w:noProof/>
              </w:rPr>
            </w:pPr>
            <w:r>
              <w:rPr>
                <w:noProof/>
              </w:rPr>
              <w:t>T3</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19D4E5FE" w14:textId="77777777" w:rsidR="00553430" w:rsidRDefault="00212577">
            <w:pPr>
              <w:pStyle w:val="P68B1DB1-Normal66"/>
              <w:spacing w:after="200" w:line="276" w:lineRule="auto"/>
              <w:jc w:val="center"/>
              <w:rPr>
                <w:noProof/>
              </w:rPr>
            </w:pPr>
            <w:r>
              <w:rPr>
                <w:noProof/>
              </w:rPr>
              <w:t>2025</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17880011" w14:textId="77777777" w:rsidR="00553430" w:rsidRDefault="00212577">
            <w:pPr>
              <w:pStyle w:val="P68B1DB1-Normal66"/>
              <w:spacing w:after="200" w:line="276" w:lineRule="auto"/>
              <w:rPr>
                <w:noProof/>
              </w:rPr>
            </w:pPr>
            <w:r>
              <w:rPr>
                <w:noProof/>
              </w:rPr>
              <w:t>Le réseau amélioré d’infrastructures d’information de l’État (DII) est en ligne et accessible pour utilisation.</w:t>
            </w:r>
          </w:p>
          <w:p w14:paraId="577747E4" w14:textId="77777777" w:rsidR="00553430" w:rsidRDefault="00212577">
            <w:pPr>
              <w:pStyle w:val="P68B1DB1-Normal70"/>
              <w:spacing w:after="0" w:line="276" w:lineRule="auto"/>
              <w:rPr>
                <w:noProof/>
              </w:rPr>
            </w:pPr>
            <w:r>
              <w:rPr>
                <w:noProof/>
              </w:rPr>
              <w:t>Le réseau:</w:t>
            </w:r>
          </w:p>
          <w:p w14:paraId="160DED1E" w14:textId="77777777" w:rsidR="00553430" w:rsidRDefault="00212577">
            <w:pPr>
              <w:pStyle w:val="P68B1DB1-Normal70"/>
              <w:numPr>
                <w:ilvl w:val="0"/>
                <w:numId w:val="61"/>
              </w:numPr>
              <w:spacing w:after="0" w:line="276" w:lineRule="auto"/>
              <w:ind w:left="449" w:hanging="425"/>
              <w:rPr>
                <w:noProof/>
              </w:rPr>
            </w:pPr>
            <w:r>
              <w:rPr>
                <w:noProof/>
              </w:rPr>
              <w:t>Garantir</w:t>
            </w:r>
            <w:r>
              <w:rPr>
                <w:b/>
                <w:noProof/>
              </w:rPr>
              <w:t xml:space="preserve"> </w:t>
            </w:r>
            <w:r>
              <w:rPr>
                <w:noProof/>
              </w:rPr>
              <w:t>la possibilité d’un accès à</w:t>
            </w:r>
            <w:r>
              <w:rPr>
                <w:b/>
                <w:noProof/>
              </w:rPr>
              <w:t xml:space="preserve"> </w:t>
            </w:r>
            <w:r>
              <w:rPr>
                <w:noProof/>
              </w:rPr>
              <w:t>haut débit à un réseau à très haute capacité pour toutes les a</w:t>
            </w:r>
            <w:r>
              <w:rPr>
                <w:noProof/>
              </w:rPr>
              <w:t>utorités publiques</w:t>
            </w:r>
          </w:p>
          <w:p w14:paraId="2F4E51F8" w14:textId="3C40AAC6" w:rsidR="00553430" w:rsidRDefault="00212577">
            <w:pPr>
              <w:pStyle w:val="P68B1DB1-Normal70"/>
              <w:numPr>
                <w:ilvl w:val="0"/>
                <w:numId w:val="61"/>
              </w:numPr>
              <w:spacing w:after="0" w:line="276" w:lineRule="auto"/>
              <w:ind w:left="449" w:hanging="425"/>
              <w:rPr>
                <w:noProof/>
              </w:rPr>
            </w:pPr>
            <w:r>
              <w:rPr>
                <w:noProof/>
              </w:rPr>
              <w:t xml:space="preserve">assurer la connectivité continue de toutes les institutions du système au moyen d’un programme qui soutient la surveillance du fonctionnement du réseau par l’observatoire du réseau électronique (NOC); et </w:t>
            </w:r>
          </w:p>
          <w:p w14:paraId="6AAB682A" w14:textId="17E4339E" w:rsidR="00553430" w:rsidRDefault="00212577">
            <w:pPr>
              <w:pStyle w:val="P68B1DB1-Normal70"/>
              <w:numPr>
                <w:ilvl w:val="0"/>
                <w:numId w:val="61"/>
              </w:numPr>
              <w:spacing w:after="0" w:line="276" w:lineRule="auto"/>
              <w:ind w:left="449" w:hanging="425"/>
              <w:rPr>
                <w:noProof/>
              </w:rPr>
            </w:pPr>
            <w:r>
              <w:rPr>
                <w:noProof/>
              </w:rPr>
              <w:t>contiennent un système, disponib</w:t>
            </w:r>
            <w:r>
              <w:rPr>
                <w:noProof/>
              </w:rPr>
              <w:t>le 24 heures par jour et 7 jours par semaine, pour fournir un dépannage technique et une assistance aux utilisateurs.</w:t>
            </w:r>
          </w:p>
        </w:tc>
      </w:tr>
      <w:tr w:rsidR="00553430" w14:paraId="6C377C80"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FF34652" w14:textId="77777777" w:rsidR="00553430" w:rsidRDefault="00212577">
            <w:pPr>
              <w:pStyle w:val="P68B1DB1-Normal66"/>
              <w:spacing w:after="200" w:line="276" w:lineRule="auto"/>
              <w:jc w:val="center"/>
              <w:rPr>
                <w:noProof/>
              </w:rPr>
            </w:pPr>
            <w:r>
              <w:rPr>
                <w:noProof/>
              </w:rPr>
              <w:t>187</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22DD808C" w14:textId="77777777" w:rsidR="00553430" w:rsidRDefault="00212577">
            <w:pPr>
              <w:pStyle w:val="P68B1DB1-Normal66"/>
              <w:spacing w:after="200" w:line="276" w:lineRule="auto"/>
              <w:jc w:val="center"/>
              <w:rPr>
                <w:noProof/>
              </w:rPr>
            </w:pPr>
            <w:r>
              <w:rPr>
                <w:noProof/>
              </w:rPr>
              <w:t>C2.3. R3-I6</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26993CA6" w14:textId="77777777" w:rsidR="00553430" w:rsidRDefault="00212577">
            <w:pPr>
              <w:pStyle w:val="P68B1DB1-Normal66"/>
              <w:spacing w:after="200" w:line="276" w:lineRule="auto"/>
              <w:jc w:val="center"/>
              <w:rPr>
                <w:noProof/>
              </w:rPr>
            </w:pPr>
            <w:r>
              <w:rPr>
                <w:noProof/>
              </w:rPr>
              <w:t>T</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5FB87236" w14:textId="77777777" w:rsidR="00553430" w:rsidRDefault="00212577">
            <w:pPr>
              <w:pStyle w:val="P68B1DB1-Normal66"/>
              <w:spacing w:after="200" w:line="276" w:lineRule="auto"/>
              <w:rPr>
                <w:noProof/>
              </w:rPr>
            </w:pPr>
            <w:r>
              <w:rPr>
                <w:noProof/>
              </w:rPr>
              <w:t>Nouveaux utilisateurs du réseau d'infrastructure d'information de l'État (DII)</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42026D84" w14:textId="77777777" w:rsidR="00553430" w:rsidRDefault="00553430">
            <w:pPr>
              <w:spacing w:after="200" w:line="276" w:lineRule="auto"/>
              <w:rPr>
                <w:rFonts w:ascii="Times New Roman" w:eastAsia="Calibri" w:hAnsi="Times New Roman" w:cs="Times New Roman"/>
                <w:noProof/>
                <w:sz w:val="20"/>
                <w:szCs w:val="20"/>
              </w:rPr>
            </w:pP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72302A01" w14:textId="77777777" w:rsidR="00553430" w:rsidRDefault="00212577">
            <w:pPr>
              <w:pStyle w:val="P68B1DB1-Normal66"/>
              <w:spacing w:after="200" w:line="276" w:lineRule="auto"/>
              <w:jc w:val="center"/>
              <w:rPr>
                <w:noProof/>
              </w:rPr>
            </w:pPr>
            <w:r>
              <w:rPr>
                <w:noProof/>
              </w:rPr>
              <w:t>Numéro</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3CC86C63" w14:textId="77777777" w:rsidR="00553430" w:rsidRDefault="00212577">
            <w:pPr>
              <w:pStyle w:val="P68B1DB1-Normal66"/>
              <w:spacing w:after="200" w:line="276" w:lineRule="auto"/>
              <w:jc w:val="center"/>
              <w:rPr>
                <w:noProof/>
              </w:rPr>
            </w:pPr>
            <w:r>
              <w:rPr>
                <w:noProof/>
              </w:rPr>
              <w:t>36</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FF2EDE6" w14:textId="77777777" w:rsidR="00553430" w:rsidRDefault="00212577">
            <w:pPr>
              <w:pStyle w:val="P68B1DB1-Normal66"/>
              <w:spacing w:after="200" w:line="276" w:lineRule="auto"/>
              <w:jc w:val="center"/>
              <w:rPr>
                <w:noProof/>
              </w:rPr>
            </w:pPr>
            <w:r>
              <w:rPr>
                <w:noProof/>
              </w:rPr>
              <w:t>136</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559D8BE3" w14:textId="77777777" w:rsidR="00553430" w:rsidRDefault="00212577">
            <w:pPr>
              <w:pStyle w:val="P68B1DB1-Normal66"/>
              <w:spacing w:after="200" w:line="276" w:lineRule="auto"/>
              <w:jc w:val="center"/>
              <w:rPr>
                <w:noProof/>
              </w:rPr>
            </w:pPr>
            <w:r>
              <w:rPr>
                <w:noProof/>
              </w:rPr>
              <w:t>T4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180C5CB5" w14:textId="77777777" w:rsidR="00553430" w:rsidRDefault="00212577">
            <w:pPr>
              <w:pStyle w:val="P68B1DB1-Normal66"/>
              <w:spacing w:after="200" w:line="276" w:lineRule="auto"/>
              <w:jc w:val="center"/>
              <w:rPr>
                <w:noProof/>
              </w:rPr>
            </w:pPr>
            <w:r>
              <w:rPr>
                <w:noProof/>
              </w:rPr>
              <w:t>2025</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2D4D4C0B" w14:textId="77777777" w:rsidR="00553430" w:rsidRDefault="00212577">
            <w:pPr>
              <w:pStyle w:val="P68B1DB1-Normal66"/>
              <w:spacing w:after="200" w:line="276" w:lineRule="auto"/>
              <w:rPr>
                <w:noProof/>
                <w:color w:val="000000" w:themeColor="text1"/>
              </w:rPr>
            </w:pPr>
            <w:r>
              <w:rPr>
                <w:noProof/>
              </w:rPr>
              <w:t xml:space="preserve">Au moins 100 </w:t>
            </w:r>
            <w:r>
              <w:rPr>
                <w:noProof/>
              </w:rPr>
              <w:t>nouveaux utilisateurs sont connectés au réseau d'infrastructure d'information de l'État.</w:t>
            </w:r>
          </w:p>
          <w:p w14:paraId="096B15FF" w14:textId="77777777" w:rsidR="00553430" w:rsidRDefault="00212577">
            <w:pPr>
              <w:pStyle w:val="P68B1DB1-Normal66"/>
              <w:spacing w:after="200" w:line="276" w:lineRule="auto"/>
              <w:rPr>
                <w:noProof/>
              </w:rPr>
            </w:pPr>
            <w:r>
              <w:rPr>
                <w:noProof/>
              </w:rPr>
              <w:t xml:space="preserve">Une infrastructure fibre, ainsi que des équipements terminaux, doivent être fournis à chaque site. </w:t>
            </w:r>
          </w:p>
        </w:tc>
      </w:tr>
      <w:tr w:rsidR="00553430" w14:paraId="7492D993"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7B0226D" w14:textId="77777777" w:rsidR="00553430" w:rsidRDefault="00212577">
            <w:pPr>
              <w:pStyle w:val="P68B1DB1-Normal66"/>
              <w:spacing w:after="200" w:line="276" w:lineRule="auto"/>
              <w:jc w:val="center"/>
              <w:rPr>
                <w:noProof/>
              </w:rPr>
            </w:pPr>
            <w:r>
              <w:rPr>
                <w:noProof/>
              </w:rPr>
              <w:t>188</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2B25870A" w14:textId="77777777" w:rsidR="00553430" w:rsidRDefault="00212577">
            <w:pPr>
              <w:pStyle w:val="P68B1DB1-Normal66"/>
              <w:spacing w:after="200" w:line="276" w:lineRule="auto"/>
              <w:jc w:val="center"/>
              <w:rPr>
                <w:noProof/>
              </w:rPr>
            </w:pPr>
            <w:r>
              <w:rPr>
                <w:noProof/>
              </w:rPr>
              <w:t>C2.3. R3-I7</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59BA637F"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5E87E94F" w14:textId="77777777" w:rsidR="00553430" w:rsidRDefault="00212577">
            <w:pPr>
              <w:pStyle w:val="P68B1DB1-Normal66"/>
              <w:spacing w:after="200" w:line="276" w:lineRule="auto"/>
              <w:rPr>
                <w:noProof/>
              </w:rPr>
            </w:pPr>
            <w:r>
              <w:rPr>
                <w:noProof/>
              </w:rPr>
              <w:t xml:space="preserve">Plans d’aménagement du territoire numériques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1F0E644D" w14:textId="77777777" w:rsidR="00553430" w:rsidRDefault="00212577">
            <w:pPr>
              <w:pStyle w:val="P68B1DB1-Normal66"/>
              <w:spacing w:after="200" w:line="276" w:lineRule="auto"/>
              <w:rPr>
                <w:noProof/>
              </w:rPr>
            </w:pPr>
            <w:r>
              <w:rPr>
                <w:noProof/>
              </w:rPr>
              <w:t>Création de plans d’aménagement du territoire numérique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062AA755" w14:textId="77777777" w:rsidR="00553430" w:rsidRDefault="00553430">
            <w:pPr>
              <w:spacing w:after="200" w:line="276" w:lineRule="auto"/>
              <w:rPr>
                <w:rFonts w:ascii="Times New Roman" w:eastAsia="Calibri" w:hAnsi="Times New Roman" w:cs="Times New Roman"/>
                <w:noProof/>
                <w:sz w:val="20"/>
                <w:szCs w:val="20"/>
              </w:rPr>
            </w:pP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2D6214B0" w14:textId="77777777" w:rsidR="00553430" w:rsidRDefault="00553430">
            <w:pPr>
              <w:spacing w:after="200" w:line="276" w:lineRule="auto"/>
              <w:rPr>
                <w:rFonts w:ascii="Times New Roman" w:eastAsia="Calibri" w:hAnsi="Times New Roman" w:cs="Times New Roman"/>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6C06F3E" w14:textId="77777777" w:rsidR="00553430" w:rsidRDefault="00553430">
            <w:pPr>
              <w:spacing w:after="200" w:line="276" w:lineRule="auto"/>
              <w:jc w:val="center"/>
              <w:rPr>
                <w:rFonts w:ascii="Times New Roman" w:eastAsia="Calibri" w:hAnsi="Times New Roman" w:cs="Times New Roman"/>
                <w:noProof/>
                <w:sz w:val="20"/>
                <w:szCs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3F78660E" w14:textId="77777777" w:rsidR="00553430" w:rsidRDefault="00212577">
            <w:pPr>
              <w:pStyle w:val="P68B1DB1-Normal66"/>
              <w:spacing w:after="200" w:line="276" w:lineRule="auto"/>
              <w:jc w:val="center"/>
              <w:rPr>
                <w:noProof/>
              </w:rPr>
            </w:pPr>
            <w:r>
              <w:rPr>
                <w:noProof/>
              </w:rPr>
              <w:t>T4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08EFFA56" w14:textId="77777777" w:rsidR="00553430" w:rsidRDefault="00212577">
            <w:pPr>
              <w:pStyle w:val="P68B1DB1-Normal66"/>
              <w:spacing w:after="200" w:line="276" w:lineRule="auto"/>
              <w:jc w:val="center"/>
              <w:rPr>
                <w:noProof/>
              </w:rPr>
            </w:pPr>
            <w:r>
              <w:rPr>
                <w:noProof/>
              </w:rPr>
              <w:t>2025</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79636126" w14:textId="77777777" w:rsidR="00553430" w:rsidRDefault="00212577">
            <w:pPr>
              <w:pStyle w:val="P68B1DB1-Normal66"/>
              <w:spacing w:after="200" w:line="276" w:lineRule="auto"/>
              <w:rPr>
                <w:noProof/>
              </w:rPr>
            </w:pPr>
            <w:r>
              <w:rPr>
                <w:noProof/>
              </w:rPr>
              <w:t xml:space="preserve">Certificat de remise par le contractant pour l’élaboration et la livraison de 570 plans d’aménagement du territoire de nouvelle génération (plans spatiaux sous forme numérique). </w:t>
            </w:r>
          </w:p>
        </w:tc>
      </w:tr>
      <w:tr w:rsidR="00553430" w14:paraId="6F0CDA72"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0B1D676" w14:textId="77777777" w:rsidR="00553430" w:rsidRDefault="00212577">
            <w:pPr>
              <w:pStyle w:val="P68B1DB1-Normal66"/>
              <w:spacing w:after="200" w:line="276" w:lineRule="auto"/>
              <w:jc w:val="center"/>
              <w:rPr>
                <w:noProof/>
              </w:rPr>
            </w:pPr>
            <w:r>
              <w:rPr>
                <w:noProof/>
              </w:rPr>
              <w:t>189</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017D42AA" w14:textId="77777777" w:rsidR="00553430" w:rsidRDefault="00212577">
            <w:pPr>
              <w:pStyle w:val="P68B1DB1-Normal66"/>
              <w:spacing w:after="200" w:line="276" w:lineRule="auto"/>
              <w:jc w:val="center"/>
              <w:rPr>
                <w:noProof/>
              </w:rPr>
            </w:pPr>
            <w:r>
              <w:rPr>
                <w:noProof/>
              </w:rPr>
              <w:t>C2.3.</w:t>
            </w:r>
            <w:r>
              <w:rPr>
                <w:noProof/>
              </w:rPr>
              <w:t xml:space="preserve"> R3-I7</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3D732669"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05955BE5" w14:textId="77777777" w:rsidR="00553430" w:rsidRDefault="00212577">
            <w:pPr>
              <w:pStyle w:val="P68B1DB1-Normal66"/>
              <w:spacing w:after="200" w:line="276" w:lineRule="auto"/>
              <w:rPr>
                <w:noProof/>
              </w:rPr>
            </w:pPr>
            <w:r>
              <w:rPr>
                <w:noProof/>
              </w:rPr>
              <w:t>Mise à niveau du système d'information sur les plans d'aménagement du territoire</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4DF325A6" w14:textId="5A7DA327" w:rsidR="00553430" w:rsidRDefault="00212577">
            <w:pPr>
              <w:pStyle w:val="P68B1DB1-Normal66"/>
              <w:spacing w:after="200" w:line="276" w:lineRule="auto"/>
              <w:rPr>
                <w:noProof/>
              </w:rPr>
            </w:pPr>
            <w:r>
              <w:rPr>
                <w:noProof/>
              </w:rPr>
              <w:t>Modules électroniques en ligne et accessibles, et images satellitaires acquises</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03F839C2" w14:textId="77777777" w:rsidR="00553430" w:rsidRDefault="00212577">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64CC82E5" w14:textId="77777777" w:rsidR="00553430" w:rsidRDefault="00212577">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4C6669B" w14:textId="77777777" w:rsidR="00553430" w:rsidRDefault="00212577">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A5B12DD" w14:textId="77777777" w:rsidR="00553430" w:rsidRDefault="00212577">
            <w:pPr>
              <w:pStyle w:val="P68B1DB1-Normal66"/>
              <w:spacing w:after="200" w:line="276" w:lineRule="auto"/>
              <w:jc w:val="center"/>
              <w:rPr>
                <w:noProof/>
              </w:rPr>
            </w:pPr>
            <w:r>
              <w:rPr>
                <w:noProof/>
              </w:rPr>
              <w:t>T4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32EF77DC" w14:textId="77777777" w:rsidR="00553430" w:rsidRDefault="00212577">
            <w:pPr>
              <w:pStyle w:val="P68B1DB1-Normal66"/>
              <w:spacing w:after="200" w:line="276" w:lineRule="auto"/>
              <w:jc w:val="center"/>
              <w:rPr>
                <w:noProof/>
              </w:rPr>
            </w:pPr>
            <w:r>
              <w:rPr>
                <w:noProof/>
              </w:rPr>
              <w:t>2025</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27D60904" w14:textId="77777777" w:rsidR="00553430" w:rsidRDefault="00212577">
            <w:pPr>
              <w:pStyle w:val="P68B1DB1-Normal66"/>
              <w:spacing w:after="200" w:line="276" w:lineRule="auto"/>
              <w:rPr>
                <w:noProof/>
              </w:rPr>
            </w:pPr>
            <w:r>
              <w:rPr>
                <w:noProof/>
              </w:rPr>
              <w:t xml:space="preserve">Les modules électroniques, qui numérisent les procédures relatives à </w:t>
            </w:r>
            <w:r>
              <w:rPr>
                <w:noProof/>
              </w:rPr>
              <w:t>l’aménagement du territoire, à la construction et aux biens de l’État dans le cadre du système d’information sur les plans géographiques, sont en ligne et accessibles.</w:t>
            </w:r>
          </w:p>
          <w:p w14:paraId="5924ACFA" w14:textId="77777777" w:rsidR="00553430" w:rsidRDefault="00212577">
            <w:pPr>
              <w:pStyle w:val="P68B1DB1-Normal70"/>
              <w:spacing w:after="200" w:line="276" w:lineRule="auto"/>
              <w:rPr>
                <w:noProof/>
              </w:rPr>
            </w:pPr>
            <w:r>
              <w:rPr>
                <w:noProof/>
              </w:rPr>
              <w:t>Des images satellitaires de la zone à haute résolution de la Croatie seront acquises.</w:t>
            </w:r>
          </w:p>
        </w:tc>
      </w:tr>
      <w:tr w:rsidR="00553430" w14:paraId="11215800"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5B252945" w14:textId="77777777" w:rsidR="00553430" w:rsidRDefault="00212577">
            <w:pPr>
              <w:pStyle w:val="P68B1DB1-Normal66"/>
              <w:spacing w:after="200" w:line="276" w:lineRule="auto"/>
              <w:jc w:val="center"/>
              <w:rPr>
                <w:noProof/>
              </w:rPr>
            </w:pPr>
            <w:r>
              <w:rPr>
                <w:noProof/>
              </w:rPr>
              <w:t>190</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3BAD1E99" w14:textId="77777777" w:rsidR="00553430" w:rsidRDefault="00212577">
            <w:pPr>
              <w:pStyle w:val="P68B1DB1-Normal66"/>
              <w:spacing w:after="200" w:line="276" w:lineRule="auto"/>
              <w:jc w:val="center"/>
              <w:rPr>
                <w:noProof/>
              </w:rPr>
            </w:pPr>
            <w:r>
              <w:rPr>
                <w:noProof/>
              </w:rPr>
              <w:t>C2.3. R3-I8</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7B7BA7F3" w14:textId="77777777" w:rsidR="00553430" w:rsidRDefault="00212577">
            <w:pPr>
              <w:pStyle w:val="P68B1DB1-Normal66"/>
              <w:spacing w:after="200" w:line="276" w:lineRule="auto"/>
              <w:jc w:val="center"/>
              <w:rPr>
                <w:noProof/>
              </w:rPr>
            </w:pPr>
            <w:r>
              <w:rPr>
                <w:noProof/>
              </w:rPr>
              <w:t>T</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51E70359" w14:textId="2284C04C" w:rsidR="00553430" w:rsidRDefault="00212577">
            <w:pPr>
              <w:pStyle w:val="P68B1DB1-Normal66"/>
              <w:spacing w:after="200" w:line="276" w:lineRule="auto"/>
              <w:rPr>
                <w:noProof/>
              </w:rPr>
            </w:pPr>
            <w:r>
              <w:rPr>
                <w:noProof/>
              </w:rPr>
              <w:t xml:space="preserve">Services publics électroniques numériques intégrés à la nouvelle plateforme mobile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267840BB" w14:textId="77777777" w:rsidR="00553430" w:rsidRDefault="00212577">
            <w:pPr>
              <w:pStyle w:val="P68B1DB1-Normal66"/>
              <w:spacing w:after="200" w:line="276" w:lineRule="auto"/>
              <w:rPr>
                <w:noProof/>
              </w:rPr>
            </w:pPr>
            <w:r>
              <w:rPr>
                <w:noProof/>
              </w:rPr>
              <w:t>Rapport de SDURDD selon lequel les 20 eServices sont intégrés et opérationnels pour une utilisation</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6E57FFC7" w14:textId="77777777" w:rsidR="00553430" w:rsidRDefault="00212577">
            <w:pPr>
              <w:pStyle w:val="P68B1DB1-Normal66"/>
              <w:spacing w:after="200" w:line="276" w:lineRule="auto"/>
              <w:jc w:val="center"/>
              <w:rPr>
                <w:noProof/>
              </w:rPr>
            </w:pPr>
            <w:r>
              <w:rPr>
                <w:noProof/>
              </w:rPr>
              <w:t>Numéro</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40FC57D3" w14:textId="77777777" w:rsidR="00553430" w:rsidRDefault="00212577">
            <w:pPr>
              <w:pStyle w:val="P68B1DB1-Normal66"/>
              <w:spacing w:after="200" w:line="276"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BC20E19" w14:textId="77777777" w:rsidR="00553430" w:rsidRDefault="00212577">
            <w:pPr>
              <w:pStyle w:val="P68B1DB1-Normal66"/>
              <w:spacing w:after="200" w:line="276" w:lineRule="auto"/>
              <w:jc w:val="center"/>
              <w:rPr>
                <w:noProof/>
              </w:rPr>
            </w:pPr>
            <w:r>
              <w:rPr>
                <w:noProof/>
              </w:rPr>
              <w:t>20</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4EA3A3C2" w14:textId="77777777" w:rsidR="00553430" w:rsidRDefault="00212577">
            <w:pPr>
              <w:pStyle w:val="P68B1DB1-Normal66"/>
              <w:spacing w:after="200" w:line="276" w:lineRule="auto"/>
              <w:jc w:val="center"/>
              <w:rPr>
                <w:noProof/>
              </w:rPr>
            </w:pPr>
            <w:r>
              <w:rPr>
                <w:noProof/>
              </w:rPr>
              <w:t>T4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76CE18AC" w14:textId="77777777" w:rsidR="00553430" w:rsidRDefault="00212577">
            <w:pPr>
              <w:pStyle w:val="P68B1DB1-Normal66"/>
              <w:spacing w:after="200" w:line="276" w:lineRule="auto"/>
              <w:jc w:val="center"/>
              <w:rPr>
                <w:noProof/>
              </w:rPr>
            </w:pPr>
            <w:r>
              <w:rPr>
                <w:noProof/>
              </w:rPr>
              <w:t>2024</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5B957E76" w14:textId="0B0B699D" w:rsidR="00553430" w:rsidRDefault="00212577">
            <w:pPr>
              <w:pStyle w:val="P68B1DB1-Normal66"/>
              <w:spacing w:after="200" w:line="276" w:lineRule="auto"/>
              <w:rPr>
                <w:noProof/>
              </w:rPr>
            </w:pPr>
            <w:r>
              <w:rPr>
                <w:noProof/>
              </w:rPr>
              <w:t>Au moins 20 services en ligne sont</w:t>
            </w:r>
            <w:r>
              <w:rPr>
                <w:noProof/>
              </w:rPr>
              <w:t xml:space="preserve"> intégrés dans la plateforme mobile et opérationnels en vue de leur utilisation, y compris: 1) demande de certificat d’enregistrement de naissance, 2) demande de preuve de résidence, 3) dossier de statut d’étudiant, 4) demande initiale d’admission dans un </w:t>
            </w:r>
            <w:r>
              <w:rPr>
                <w:noProof/>
              </w:rPr>
              <w:t xml:space="preserve">établissement public d’enseignement supérieur, 5) demande de reconnaissance académique de diplômes, certificats ou autres titres d’études ou de cours, 6) service d’assistance sociale en ligne, 7) demande de carte européenne d’assurance maladie, 8) demande </w:t>
            </w:r>
            <w:r>
              <w:rPr>
                <w:noProof/>
              </w:rPr>
              <w:t>de carte fiscale (PK), 9) enregistrement d’un changement d’adresse, 10) immatriculation d’un véhicule à moteur originaire ou déjà immatriculé dans un État membre, procédures non standard, 11) boîte aux lettres de l’utilisateur, 12) communication électroniq</w:t>
            </w:r>
            <w:r>
              <w:rPr>
                <w:noProof/>
              </w:rPr>
              <w:t>ue avec les tribunaux, 13) mon compte – Regos, 14) demande d’informations sur les pensions des régimes obligatoires, 15) calendrier de paiement des droits obligatoires, 16) assurance des demandes de main-d’œuvre, 17) livret de travail électronique – enregi</w:t>
            </w:r>
            <w:r>
              <w:rPr>
                <w:noProof/>
              </w:rPr>
              <w:t xml:space="preserve">strement électronique du statut d’immatriculation, 18) procédure administrative en ligne, 19) assurance qu’aucune procédure pénale n’est en cours, 20) carte e-Child – Mudrica. </w:t>
            </w:r>
          </w:p>
        </w:tc>
      </w:tr>
      <w:tr w:rsidR="00553430" w14:paraId="7C444B6D"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739B764" w14:textId="77777777" w:rsidR="00553430" w:rsidRDefault="00212577">
            <w:pPr>
              <w:pStyle w:val="P68B1DB1-Normal66"/>
              <w:spacing w:after="200" w:line="276" w:lineRule="auto"/>
              <w:jc w:val="center"/>
              <w:rPr>
                <w:noProof/>
              </w:rPr>
            </w:pPr>
            <w:r>
              <w:rPr>
                <w:noProof/>
              </w:rPr>
              <w:t>191</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0C3D446F" w14:textId="77777777" w:rsidR="00553430" w:rsidRDefault="00212577">
            <w:pPr>
              <w:pStyle w:val="P68B1DB1-Normal66"/>
              <w:spacing w:after="200" w:line="276" w:lineRule="auto"/>
              <w:jc w:val="center"/>
              <w:rPr>
                <w:noProof/>
              </w:rPr>
            </w:pPr>
            <w:r>
              <w:rPr>
                <w:noProof/>
              </w:rPr>
              <w:t>C2.3. R3-I9</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25770648"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6238B539" w14:textId="77777777" w:rsidR="00553430" w:rsidRDefault="00212577">
            <w:pPr>
              <w:pStyle w:val="P68B1DB1-Normal66"/>
              <w:spacing w:after="200" w:line="276" w:lineRule="auto"/>
              <w:rPr>
                <w:noProof/>
              </w:rPr>
            </w:pPr>
            <w:r>
              <w:rPr>
                <w:noProof/>
              </w:rPr>
              <w:t xml:space="preserve">Mise en place d'une nouvelle plateforme de marchés publics </w:t>
            </w:r>
            <w:r>
              <w:rPr>
                <w:noProof/>
              </w:rPr>
              <w:t>et d'une application mobile</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348D26F9" w14:textId="77777777" w:rsidR="00553430" w:rsidRDefault="00212577">
            <w:pPr>
              <w:pStyle w:val="P68B1DB1-Normal66"/>
              <w:spacing w:after="200" w:line="276" w:lineRule="auto"/>
              <w:rPr>
                <w:noProof/>
              </w:rPr>
            </w:pPr>
            <w:r>
              <w:rPr>
                <w:noProof/>
              </w:rPr>
              <w:t>Lancement de la première procédure de passation de marchés publics sur la nouvelle plateforme d’appels d’offres en ligne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261CDB13" w14:textId="77777777" w:rsidR="00553430" w:rsidRDefault="00212577">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3C0D3FB8" w14:textId="77777777" w:rsidR="00553430" w:rsidRDefault="00212577">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3524B2F" w14:textId="77777777" w:rsidR="00553430" w:rsidRDefault="00212577">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671B4601" w14:textId="77777777" w:rsidR="00553430" w:rsidRDefault="00212577">
            <w:pPr>
              <w:pStyle w:val="P68B1DB1-Normal66"/>
              <w:spacing w:after="200" w:line="276" w:lineRule="auto"/>
              <w:jc w:val="center"/>
              <w:rPr>
                <w:noProof/>
              </w:rPr>
            </w:pPr>
            <w:r>
              <w:rPr>
                <w:noProof/>
              </w:rPr>
              <w:t>T3</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1C597ED7" w14:textId="77777777" w:rsidR="00553430" w:rsidRDefault="00212577">
            <w:pPr>
              <w:pStyle w:val="P68B1DB1-Normal66"/>
              <w:spacing w:after="200" w:line="276" w:lineRule="auto"/>
              <w:jc w:val="center"/>
              <w:rPr>
                <w:noProof/>
              </w:rPr>
            </w:pPr>
            <w:r>
              <w:rPr>
                <w:noProof/>
              </w:rPr>
              <w:t>2023</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3063B5DA" w14:textId="77777777" w:rsidR="00553430" w:rsidRDefault="00212577">
            <w:pPr>
              <w:pStyle w:val="P68B1DB1-Normal66"/>
              <w:spacing w:after="200" w:line="276" w:lineRule="auto"/>
              <w:rPr>
                <w:noProof/>
              </w:rPr>
            </w:pPr>
            <w:r>
              <w:rPr>
                <w:noProof/>
              </w:rPr>
              <w:t>La nouvelle plateforme pour la conduite des procédures de passation de marchés publics et l’a</w:t>
            </w:r>
            <w:r>
              <w:rPr>
                <w:noProof/>
              </w:rPr>
              <w:t xml:space="preserve">pplication mobile sont opérationnelles, la procédure de passation de marchés publics étant lancée sur la nouvelle plateforme d’appels d’offres en ligne. </w:t>
            </w:r>
          </w:p>
        </w:tc>
      </w:tr>
      <w:tr w:rsidR="00553430" w14:paraId="4E6F9C04"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30E8FA1" w14:textId="77777777" w:rsidR="00553430" w:rsidRDefault="00212577">
            <w:pPr>
              <w:pStyle w:val="P68B1DB1-Normal66"/>
              <w:spacing w:after="200" w:line="276" w:lineRule="auto"/>
              <w:jc w:val="center"/>
              <w:rPr>
                <w:noProof/>
              </w:rPr>
            </w:pPr>
            <w:r>
              <w:rPr>
                <w:noProof/>
              </w:rPr>
              <w:t>192</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40A8F738" w14:textId="77777777" w:rsidR="00553430" w:rsidRDefault="00212577">
            <w:pPr>
              <w:pStyle w:val="P68B1DB1-Normal66"/>
              <w:spacing w:after="200" w:line="276" w:lineRule="auto"/>
              <w:jc w:val="center"/>
              <w:rPr>
                <w:noProof/>
              </w:rPr>
            </w:pPr>
            <w:r>
              <w:rPr>
                <w:noProof/>
              </w:rPr>
              <w:t>C2.3. R3-I10</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2D20F01E"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63A88165" w14:textId="496B1EB9" w:rsidR="00553430" w:rsidRDefault="00212577">
            <w:pPr>
              <w:pStyle w:val="P68B1DB1-Normal66"/>
              <w:spacing w:after="200" w:line="276" w:lineRule="auto"/>
              <w:rPr>
                <w:noProof/>
              </w:rPr>
            </w:pPr>
            <w:r>
              <w:rPr>
                <w:noProof/>
              </w:rPr>
              <w:t xml:space="preserve">Systèmes de gestion de l’identité numérique et des ressources humaines du CES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5278D901" w14:textId="77777777" w:rsidR="00553430" w:rsidRDefault="00212577">
            <w:pPr>
              <w:pStyle w:val="P68B1DB1-Normal66"/>
              <w:spacing w:after="200" w:line="276" w:lineRule="auto"/>
              <w:rPr>
                <w:noProof/>
              </w:rPr>
            </w:pPr>
            <w:r>
              <w:rPr>
                <w:noProof/>
              </w:rPr>
              <w:t>Rapport du CES/HZZ</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0129E8FD" w14:textId="77777777" w:rsidR="00553430" w:rsidRDefault="00212577">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3FDBDB6C" w14:textId="77777777" w:rsidR="00553430" w:rsidRDefault="00212577">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07D89D6" w14:textId="77777777" w:rsidR="00553430" w:rsidRDefault="00212577">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B1DC69D" w14:textId="77777777" w:rsidR="00553430" w:rsidRDefault="00212577">
            <w:pPr>
              <w:pStyle w:val="P68B1DB1-Normal66"/>
              <w:spacing w:after="200" w:line="276" w:lineRule="auto"/>
              <w:jc w:val="center"/>
              <w:rPr>
                <w:noProof/>
              </w:rPr>
            </w:pPr>
            <w:r>
              <w:rPr>
                <w:noProof/>
              </w:rPr>
              <w:t>T4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60592FDA" w14:textId="77777777" w:rsidR="00553430" w:rsidRDefault="00212577">
            <w:pPr>
              <w:pStyle w:val="P68B1DB1-Normal66"/>
              <w:spacing w:after="200" w:line="276" w:lineRule="auto"/>
              <w:jc w:val="center"/>
              <w:rPr>
                <w:noProof/>
              </w:rPr>
            </w:pPr>
            <w:r>
              <w:rPr>
                <w:noProof/>
              </w:rPr>
              <w:t>2023</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588DAE96" w14:textId="77777777" w:rsidR="00553430" w:rsidRDefault="00212577">
            <w:pPr>
              <w:pStyle w:val="P68B1DB1-Normal66"/>
              <w:spacing w:after="200" w:line="276" w:lineRule="auto"/>
              <w:rPr>
                <w:noProof/>
              </w:rPr>
            </w:pPr>
            <w:r>
              <w:rPr>
                <w:noProof/>
              </w:rPr>
              <w:t xml:space="preserve">Le système de gestion de l’identité numérique et le système numérique de gestion des ressources humaines du CES sont en place et opérationnels. </w:t>
            </w:r>
          </w:p>
        </w:tc>
      </w:tr>
      <w:tr w:rsidR="00553430" w14:paraId="466FAC05"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AC11208" w14:textId="77777777" w:rsidR="00553430" w:rsidRDefault="00212577">
            <w:pPr>
              <w:pStyle w:val="P68B1DB1-Normal66"/>
              <w:spacing w:after="200" w:line="276" w:lineRule="auto"/>
              <w:jc w:val="center"/>
              <w:rPr>
                <w:noProof/>
              </w:rPr>
            </w:pPr>
            <w:r>
              <w:rPr>
                <w:noProof/>
              </w:rPr>
              <w:t>193</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4BDD88CF" w14:textId="77777777" w:rsidR="00553430" w:rsidRDefault="00212577">
            <w:pPr>
              <w:pStyle w:val="P68B1DB1-Normal66"/>
              <w:spacing w:after="200" w:line="276" w:lineRule="auto"/>
              <w:jc w:val="center"/>
              <w:rPr>
                <w:noProof/>
              </w:rPr>
            </w:pPr>
            <w:r>
              <w:rPr>
                <w:noProof/>
              </w:rPr>
              <w:t>C2.3. R3-I10</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0CD6471E"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1372FC2E" w14:textId="77777777" w:rsidR="00553430" w:rsidRDefault="00212577">
            <w:pPr>
              <w:pStyle w:val="P68B1DB1-Normal66"/>
              <w:spacing w:after="200" w:line="276" w:lineRule="auto"/>
              <w:rPr>
                <w:noProof/>
              </w:rPr>
            </w:pPr>
            <w:r>
              <w:rPr>
                <w:noProof/>
              </w:rPr>
              <w:t xml:space="preserve">Mise à niveau de la numérisation du CES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3D411F9E" w14:textId="77777777" w:rsidR="00553430" w:rsidRDefault="00212577">
            <w:pPr>
              <w:pStyle w:val="P68B1DB1-Normal66"/>
              <w:spacing w:after="200" w:line="276" w:lineRule="auto"/>
              <w:rPr>
                <w:noProof/>
              </w:rPr>
            </w:pPr>
            <w:r>
              <w:rPr>
                <w:noProof/>
              </w:rPr>
              <w:t xml:space="preserve">Numérisation des </w:t>
            </w:r>
            <w:r>
              <w:rPr>
                <w:noProof/>
              </w:rPr>
              <w:t>processus opérationnels du CES</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0666BF01" w14:textId="77777777" w:rsidR="00553430" w:rsidRDefault="00212577">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2EBA2B3B" w14:textId="77777777" w:rsidR="00553430" w:rsidRDefault="00212577">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719542B" w14:textId="77777777" w:rsidR="00553430" w:rsidRDefault="00212577">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61BED860" w14:textId="77777777" w:rsidR="00553430" w:rsidRDefault="00212577">
            <w:pPr>
              <w:pStyle w:val="P68B1DB1-Normal66"/>
              <w:spacing w:after="200" w:line="276" w:lineRule="auto"/>
              <w:jc w:val="center"/>
              <w:rPr>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717FC426" w14:textId="77777777" w:rsidR="00553430" w:rsidRDefault="00212577">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D94C783" w14:textId="77777777" w:rsidR="00553430" w:rsidRDefault="00212577">
            <w:pPr>
              <w:pStyle w:val="P68B1DB1-Normal66"/>
              <w:spacing w:after="0" w:line="276" w:lineRule="auto"/>
              <w:rPr>
                <w:noProof/>
              </w:rPr>
            </w:pPr>
            <w:r>
              <w:rPr>
                <w:noProof/>
              </w:rPr>
              <w:t xml:space="preserve">L’automatisation et la numérisation des processus opérationnels du CES, permettant la circulation et le traitement central des documents électroniques, seront livrées par le contractant. Il comprend: </w:t>
            </w:r>
          </w:p>
          <w:p w14:paraId="5FB6C108" w14:textId="77777777" w:rsidR="00553430" w:rsidRDefault="00212577">
            <w:pPr>
              <w:pStyle w:val="P68B1DB1-ListParagraph78"/>
              <w:numPr>
                <w:ilvl w:val="0"/>
                <w:numId w:val="62"/>
              </w:numPr>
              <w:spacing w:after="0" w:line="276" w:lineRule="auto"/>
              <w:ind w:left="291" w:hanging="284"/>
              <w:rPr>
                <w:noProof/>
              </w:rPr>
            </w:pPr>
            <w:r>
              <w:rPr>
                <w:noProof/>
              </w:rPr>
              <w:t>licences l</w:t>
            </w:r>
            <w:r>
              <w:rPr>
                <w:noProof/>
              </w:rPr>
              <w:t>ogicielles pour le système de gestion des incidents et événements de sécurité</w:t>
            </w:r>
          </w:p>
          <w:p w14:paraId="011844F3" w14:textId="77777777" w:rsidR="00553430" w:rsidRDefault="00212577">
            <w:pPr>
              <w:pStyle w:val="P68B1DB1-ListParagraph78"/>
              <w:numPr>
                <w:ilvl w:val="0"/>
                <w:numId w:val="62"/>
              </w:numPr>
              <w:spacing w:after="0" w:line="276" w:lineRule="auto"/>
              <w:ind w:left="291" w:hanging="284"/>
              <w:rPr>
                <w:noProof/>
              </w:rPr>
            </w:pPr>
            <w:r>
              <w:rPr>
                <w:noProof/>
              </w:rPr>
              <w:t xml:space="preserve"> un système d'appui aux processus de base</w:t>
            </w:r>
          </w:p>
          <w:p w14:paraId="1B19C71E" w14:textId="1D627611" w:rsidR="00553430" w:rsidRDefault="00212577">
            <w:pPr>
              <w:pStyle w:val="P68B1DB1-ListParagraph78"/>
              <w:numPr>
                <w:ilvl w:val="0"/>
                <w:numId w:val="62"/>
              </w:numPr>
              <w:spacing w:after="0" w:line="276" w:lineRule="auto"/>
              <w:ind w:left="291" w:hanging="284"/>
              <w:rPr>
                <w:noProof/>
              </w:rPr>
            </w:pPr>
            <w:r>
              <w:rPr>
                <w:noProof/>
              </w:rPr>
              <w:t xml:space="preserve">le système e_Advisor (qui inclut la fonctionnalité de signature numérique et biométrique) </w:t>
            </w:r>
          </w:p>
          <w:p w14:paraId="46F87D27" w14:textId="77777777" w:rsidR="00553430" w:rsidRDefault="00212577">
            <w:pPr>
              <w:pStyle w:val="P68B1DB1-ListParagraph78"/>
              <w:numPr>
                <w:ilvl w:val="0"/>
                <w:numId w:val="62"/>
              </w:numPr>
              <w:spacing w:after="0" w:line="240" w:lineRule="auto"/>
              <w:ind w:left="291" w:hanging="284"/>
              <w:rPr>
                <w:noProof/>
              </w:rPr>
            </w:pPr>
            <w:r>
              <w:rPr>
                <w:noProof/>
              </w:rPr>
              <w:t xml:space="preserve"> les archives numériques, </w:t>
            </w:r>
          </w:p>
          <w:p w14:paraId="45E60970" w14:textId="00092642" w:rsidR="00553430" w:rsidRDefault="00212577">
            <w:pPr>
              <w:pStyle w:val="P68B1DB1-Normal66"/>
              <w:spacing w:after="0" w:line="240" w:lineRule="auto"/>
              <w:rPr>
                <w:noProof/>
              </w:rPr>
            </w:pPr>
            <w:r>
              <w:rPr>
                <w:noProof/>
              </w:rPr>
              <w:t xml:space="preserve">vi) un système de </w:t>
            </w:r>
            <w:r>
              <w:rPr>
                <w:noProof/>
              </w:rPr>
              <w:t>comptabilité</w:t>
            </w:r>
          </w:p>
          <w:p w14:paraId="2504DBC4" w14:textId="77777777" w:rsidR="00553430" w:rsidRDefault="00212577">
            <w:pPr>
              <w:pStyle w:val="P68B1DB1-Normal66"/>
              <w:spacing w:after="0" w:line="240" w:lineRule="auto"/>
              <w:rPr>
                <w:noProof/>
              </w:rPr>
            </w:pPr>
            <w:r>
              <w:rPr>
                <w:noProof/>
              </w:rPr>
              <w:t>vii) un système de gestion de documents numériques.</w:t>
            </w:r>
          </w:p>
        </w:tc>
      </w:tr>
      <w:tr w:rsidR="00553430" w14:paraId="1BAB490D"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5271009" w14:textId="77777777" w:rsidR="00553430" w:rsidRDefault="00212577">
            <w:pPr>
              <w:pStyle w:val="P68B1DB1-Normal66"/>
              <w:spacing w:after="200" w:line="276" w:lineRule="auto"/>
              <w:jc w:val="center"/>
              <w:rPr>
                <w:noProof/>
              </w:rPr>
            </w:pPr>
            <w:r>
              <w:rPr>
                <w:noProof/>
              </w:rPr>
              <w:t>194</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069F0968" w14:textId="77777777" w:rsidR="00553430" w:rsidRDefault="00212577">
            <w:pPr>
              <w:pStyle w:val="P68B1DB1-Normal66"/>
              <w:spacing w:after="200" w:line="276" w:lineRule="auto"/>
              <w:jc w:val="center"/>
              <w:rPr>
                <w:noProof/>
              </w:rPr>
            </w:pPr>
            <w:r>
              <w:rPr>
                <w:noProof/>
              </w:rPr>
              <w:t>C2.3. R3-I11</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1E388FFC"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7AF868AC" w14:textId="77777777" w:rsidR="00553430" w:rsidRDefault="00212577">
            <w:pPr>
              <w:pStyle w:val="P68B1DB1-Normal66"/>
              <w:spacing w:after="200" w:line="276" w:lineRule="auto"/>
              <w:rPr>
                <w:noProof/>
              </w:rPr>
            </w:pPr>
            <w:r>
              <w:rPr>
                <w:noProof/>
              </w:rPr>
              <w:t xml:space="preserve">Mise à niveau du système informatique de l’Institut croate d’assurance retraite (HZMO)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26D47C2E" w14:textId="77777777" w:rsidR="00553430" w:rsidRDefault="00212577">
            <w:pPr>
              <w:pStyle w:val="P68B1DB1-Normal66"/>
              <w:spacing w:after="200" w:line="276" w:lineRule="auto"/>
              <w:rPr>
                <w:noProof/>
              </w:rPr>
            </w:pPr>
            <w:r>
              <w:rPr>
                <w:noProof/>
              </w:rPr>
              <w:t xml:space="preserve">La mise à niveau du système informatique de l’Institut croate d’assurance pension </w:t>
            </w:r>
            <w:r>
              <w:rPr>
                <w:noProof/>
              </w:rPr>
              <w:t>est assurée.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40ACC78E" w14:textId="77777777" w:rsidR="00553430" w:rsidRDefault="00212577">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3F705A11" w14:textId="77777777" w:rsidR="00553430" w:rsidRDefault="00212577">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43C22F4" w14:textId="77777777" w:rsidR="00553430" w:rsidRDefault="00212577">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2215D03F" w14:textId="77777777" w:rsidR="00553430" w:rsidRDefault="00212577">
            <w:pPr>
              <w:pStyle w:val="P68B1DB1-Normal66"/>
              <w:spacing w:after="200" w:line="276" w:lineRule="auto"/>
              <w:jc w:val="center"/>
              <w:rPr>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39E2C00D" w14:textId="77777777" w:rsidR="00553430" w:rsidRDefault="00212577">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AEE9148" w14:textId="77777777" w:rsidR="00553430" w:rsidRDefault="00212577">
            <w:pPr>
              <w:pStyle w:val="P68B1DB1-Normal66"/>
              <w:spacing w:after="200" w:line="276" w:lineRule="auto"/>
              <w:rPr>
                <w:noProof/>
              </w:rPr>
            </w:pPr>
            <w:r>
              <w:rPr>
                <w:noProof/>
              </w:rPr>
              <w:t xml:space="preserve">Le système informatique et les principaux processus opérationnels de l’Institut croate d’assurance retraite (HZMO) sont fournis par le contractant. </w:t>
            </w:r>
          </w:p>
          <w:p w14:paraId="3D4859D6" w14:textId="77777777" w:rsidR="00553430" w:rsidRDefault="00212577">
            <w:pPr>
              <w:pStyle w:val="P68B1DB1-Normal66"/>
              <w:spacing w:after="200" w:line="276" w:lineRule="auto"/>
              <w:rPr>
                <w:noProof/>
              </w:rPr>
            </w:pPr>
            <w:r>
              <w:rPr>
                <w:noProof/>
              </w:rPr>
              <w:t>Le système informatique fourni comprend des modules de gestion: i) les calculs d</w:t>
            </w:r>
            <w:r>
              <w:rPr>
                <w:noProof/>
              </w:rPr>
              <w:t>es pensions et des prestations pour enfants, ii) les registres des cotisations et des paiements, iii) les données des bénéficiaires, iv) les recours, les procédures de révision et les litiges, v) la documentation et les archives numériques, vi) les données</w:t>
            </w:r>
            <w:r>
              <w:rPr>
                <w:noProof/>
              </w:rPr>
              <w:t xml:space="preserve"> analytiques et comptables, vii) les opérations financières, vii) les processus de passation de marchés, de passation de marchés et de commande, viii) la dette et la responsabilité (acheteurs/fournisseurs), ix) la gestion des actifs.</w:t>
            </w:r>
          </w:p>
        </w:tc>
      </w:tr>
      <w:tr w:rsidR="00553430" w14:paraId="5E16035F"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51E3731" w14:textId="77777777" w:rsidR="00553430" w:rsidRDefault="00212577">
            <w:pPr>
              <w:pStyle w:val="P68B1DB1-Normal66"/>
              <w:spacing w:after="200" w:line="276" w:lineRule="auto"/>
              <w:jc w:val="center"/>
              <w:rPr>
                <w:noProof/>
              </w:rPr>
            </w:pPr>
            <w:r>
              <w:rPr>
                <w:noProof/>
              </w:rPr>
              <w:t>195</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43380082" w14:textId="77777777" w:rsidR="00553430" w:rsidRDefault="00212577">
            <w:pPr>
              <w:pStyle w:val="P68B1DB1-Normal66"/>
              <w:spacing w:after="200" w:line="276" w:lineRule="auto"/>
              <w:jc w:val="center"/>
              <w:rPr>
                <w:noProof/>
              </w:rPr>
            </w:pPr>
            <w:r>
              <w:rPr>
                <w:noProof/>
              </w:rPr>
              <w:t>C2.3. R3-I12</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56784D6C"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603F0C0A" w14:textId="77777777" w:rsidR="00553430" w:rsidRDefault="00212577">
            <w:pPr>
              <w:pStyle w:val="P68B1DB1-Normal66"/>
              <w:spacing w:after="200" w:line="276" w:lineRule="auto"/>
              <w:rPr>
                <w:noProof/>
              </w:rPr>
            </w:pPr>
            <w:r>
              <w:rPr>
                <w:noProof/>
              </w:rPr>
              <w:t>Archives numériques de l'Institut croate d'assurance retraite (HZMO)</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6DBDB35F" w14:textId="77777777" w:rsidR="00553430" w:rsidRDefault="00212577">
            <w:pPr>
              <w:pStyle w:val="P68B1DB1-Normal66"/>
              <w:spacing w:after="200" w:line="276" w:lineRule="auto"/>
              <w:rPr>
                <w:noProof/>
              </w:rPr>
            </w:pPr>
            <w:r>
              <w:rPr>
                <w:noProof/>
              </w:rPr>
              <w:t>Enregistrement de transfert par HZMO du système d’exploitation pour la gestion des archives numériques</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21973841" w14:textId="77777777" w:rsidR="00553430" w:rsidRDefault="00212577">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4155C917" w14:textId="77777777" w:rsidR="00553430" w:rsidRDefault="00212577">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3104908" w14:textId="77777777" w:rsidR="00553430" w:rsidRDefault="00212577">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72CE6AEE" w14:textId="77777777" w:rsidR="00553430" w:rsidRDefault="00212577">
            <w:pPr>
              <w:pStyle w:val="P68B1DB1-Normal66"/>
              <w:spacing w:after="200" w:line="276" w:lineRule="auto"/>
              <w:jc w:val="center"/>
              <w:rPr>
                <w:noProof/>
              </w:rPr>
            </w:pPr>
            <w:r>
              <w:rPr>
                <w:noProof/>
              </w:rPr>
              <w:t>T4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73E9210C" w14:textId="77777777" w:rsidR="00553430" w:rsidRDefault="00212577">
            <w:pPr>
              <w:pStyle w:val="P68B1DB1-Normal66"/>
              <w:spacing w:after="200" w:line="276" w:lineRule="auto"/>
              <w:jc w:val="center"/>
              <w:rPr>
                <w:noProof/>
              </w:rPr>
            </w:pPr>
            <w:r>
              <w:rPr>
                <w:noProof/>
              </w:rPr>
              <w:t>2022</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51A5BB79" w14:textId="77777777" w:rsidR="00553430" w:rsidRDefault="00212577">
            <w:pPr>
              <w:pStyle w:val="P68B1DB1-Normal66"/>
              <w:spacing w:after="200" w:line="276" w:lineRule="auto"/>
              <w:rPr>
                <w:noProof/>
              </w:rPr>
            </w:pPr>
            <w:r>
              <w:rPr>
                <w:noProof/>
              </w:rPr>
              <w:t xml:space="preserve">Le système de gestion des archives numériques (système de gestion des </w:t>
            </w:r>
            <w:r>
              <w:rPr>
                <w:noProof/>
              </w:rPr>
              <w:t>archives numériques) est opérationnel.</w:t>
            </w:r>
          </w:p>
        </w:tc>
      </w:tr>
      <w:tr w:rsidR="00553430" w14:paraId="53B295B0"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D8C3B5E" w14:textId="77777777" w:rsidR="00553430" w:rsidRDefault="00212577">
            <w:pPr>
              <w:pStyle w:val="P68B1DB1-Normal66"/>
              <w:spacing w:after="200" w:line="276" w:lineRule="auto"/>
              <w:jc w:val="center"/>
              <w:rPr>
                <w:noProof/>
              </w:rPr>
            </w:pPr>
            <w:r>
              <w:rPr>
                <w:noProof/>
              </w:rPr>
              <w:t>196</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57CE2F2F" w14:textId="77777777" w:rsidR="00553430" w:rsidRDefault="00212577">
            <w:pPr>
              <w:pStyle w:val="P68B1DB1-Normal66"/>
              <w:spacing w:after="200" w:line="276" w:lineRule="auto"/>
              <w:jc w:val="center"/>
              <w:rPr>
                <w:noProof/>
              </w:rPr>
            </w:pPr>
            <w:r>
              <w:rPr>
                <w:noProof/>
              </w:rPr>
              <w:t>C2.3. R3-I12</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1BF4F418"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1F450447" w14:textId="6F616028" w:rsidR="00553430" w:rsidRDefault="00212577">
            <w:pPr>
              <w:pStyle w:val="P68B1DB1-Normal66"/>
              <w:spacing w:after="200" w:line="276" w:lineRule="auto"/>
              <w:rPr>
                <w:noProof/>
              </w:rPr>
            </w:pPr>
            <w:r>
              <w:rPr>
                <w:noProof/>
              </w:rPr>
              <w:t xml:space="preserve">Archives numériques de l'Institut croate d'assurance retraite (HZMO)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35C1DD2D" w14:textId="77777777" w:rsidR="00553430" w:rsidRDefault="00212577">
            <w:pPr>
              <w:pStyle w:val="P68B1DB1-Normal66"/>
              <w:spacing w:after="200" w:line="276" w:lineRule="auto"/>
              <w:rPr>
                <w:noProof/>
              </w:rPr>
            </w:pPr>
            <w:r>
              <w:rPr>
                <w:noProof/>
              </w:rPr>
              <w:t xml:space="preserve">Archives scannées et indexées </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694EE8D4" w14:textId="77777777" w:rsidR="00553430" w:rsidRDefault="00553430">
            <w:pPr>
              <w:spacing w:after="200" w:line="276" w:lineRule="auto"/>
              <w:jc w:val="center"/>
              <w:rPr>
                <w:rFonts w:ascii="Times New Roman" w:eastAsia="Calibri" w:hAnsi="Times New Roman" w:cs="Times New Roman"/>
                <w:noProof/>
                <w:sz w:val="20"/>
                <w:szCs w:val="20"/>
              </w:rPr>
            </w:pP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1346F2EC" w14:textId="77777777" w:rsidR="00553430" w:rsidRDefault="00553430">
            <w:pPr>
              <w:spacing w:after="200" w:line="276" w:lineRule="auto"/>
              <w:jc w:val="center"/>
              <w:rPr>
                <w:rFonts w:ascii="Times New Roman" w:eastAsia="Calibri" w:hAnsi="Times New Roman" w:cs="Times New Roman"/>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3E1FC69" w14:textId="77777777" w:rsidR="00553430" w:rsidRDefault="00553430">
            <w:pPr>
              <w:spacing w:after="200" w:line="276" w:lineRule="auto"/>
              <w:rPr>
                <w:rFonts w:ascii="Times New Roman" w:eastAsia="Calibri" w:hAnsi="Times New Roman" w:cs="Times New Roman"/>
                <w:noProof/>
                <w:sz w:val="20"/>
                <w:szCs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2F9D1639" w14:textId="77777777" w:rsidR="00553430" w:rsidRDefault="00212577">
            <w:pPr>
              <w:pStyle w:val="P68B1DB1-Normal66"/>
              <w:spacing w:after="200" w:line="276" w:lineRule="auto"/>
              <w:jc w:val="center"/>
              <w:rPr>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386A4686" w14:textId="77777777" w:rsidR="00553430" w:rsidRDefault="00212577">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602056E6" w14:textId="6557214D" w:rsidR="00553430" w:rsidRDefault="00212577">
            <w:pPr>
              <w:spacing w:after="200" w:line="276" w:lineRule="auto"/>
              <w:rPr>
                <w:rFonts w:ascii="Times New Roman" w:eastAsia="Calibri" w:hAnsi="Times New Roman" w:cs="Times New Roman"/>
                <w:noProof/>
                <w:color w:val="000000"/>
                <w:sz w:val="20"/>
                <w:szCs w:val="20"/>
              </w:rPr>
            </w:pPr>
            <w:r>
              <w:rPr>
                <w:rFonts w:ascii="Times New Roman" w:eastAsia="Calibri" w:hAnsi="Times New Roman" w:cs="Times New Roman"/>
                <w:noProof/>
                <w:color w:val="000000" w:themeColor="text1"/>
                <w:sz w:val="20"/>
                <w:szCs w:val="20"/>
              </w:rPr>
              <w:t>Certificat de remise par le contractant pour l’achèvement des travaux de numérisation</w:t>
            </w:r>
            <w:r>
              <w:rPr>
                <w:rFonts w:ascii="Times New Roman" w:eastAsia="Calibri" w:hAnsi="Times New Roman" w:cs="Times New Roman"/>
                <w:noProof/>
                <w:color w:val="000000" w:themeColor="text1"/>
                <w:sz w:val="20"/>
                <w:szCs w:val="20"/>
              </w:rPr>
              <w:t xml:space="preserve"> et d’indexation de 50</w:t>
            </w:r>
            <w:r>
              <w:rPr>
                <w:rFonts w:ascii="Times New Roman" w:hAnsi="Times New Roman" w:cs="Times New Roman"/>
                <w:noProof/>
              </w:rPr>
              <w:t> </w:t>
            </w:r>
            <w:r>
              <w:rPr>
                <w:rFonts w:ascii="Times New Roman" w:eastAsia="Calibri" w:hAnsi="Times New Roman" w:cs="Times New Roman"/>
                <w:noProof/>
                <w:color w:val="000000" w:themeColor="text1"/>
                <w:sz w:val="20"/>
                <w:szCs w:val="20"/>
              </w:rPr>
              <w:t>000 000 pages des archives nationales vers les nouvelles archives numériques.</w:t>
            </w:r>
            <w:r>
              <w:rPr>
                <w:rFonts w:ascii="Times New Roman" w:eastAsia="Calibri" w:hAnsi="Times New Roman" w:cs="Times New Roman"/>
                <w:noProof/>
                <w:sz w:val="20"/>
                <w:szCs w:val="20"/>
              </w:rPr>
              <w:t xml:space="preserve"> </w:t>
            </w:r>
          </w:p>
        </w:tc>
      </w:tr>
      <w:tr w:rsidR="00553430" w14:paraId="5EEB9FF7"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5255C81" w14:textId="77777777" w:rsidR="00553430" w:rsidRDefault="00212577">
            <w:pPr>
              <w:pStyle w:val="P68B1DB1-Normal66"/>
              <w:spacing w:after="200" w:line="276" w:lineRule="auto"/>
              <w:jc w:val="center"/>
              <w:rPr>
                <w:noProof/>
              </w:rPr>
            </w:pPr>
            <w:r>
              <w:rPr>
                <w:noProof/>
              </w:rPr>
              <w:t>197</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055A72FF" w14:textId="77777777" w:rsidR="00553430" w:rsidRDefault="00212577">
            <w:pPr>
              <w:pStyle w:val="P68B1DB1-Normal66"/>
              <w:spacing w:after="200" w:line="276" w:lineRule="auto"/>
              <w:jc w:val="center"/>
              <w:rPr>
                <w:noProof/>
              </w:rPr>
            </w:pPr>
            <w:r>
              <w:rPr>
                <w:noProof/>
              </w:rPr>
              <w:t>C2.3. R3-I13</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79FA419A"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10B3AE27" w14:textId="77777777" w:rsidR="00553430" w:rsidRDefault="00212577">
            <w:pPr>
              <w:pStyle w:val="P68B1DB1-Normal66"/>
              <w:spacing w:after="200" w:line="276" w:lineRule="auto"/>
              <w:rPr>
                <w:noProof/>
              </w:rPr>
            </w:pPr>
            <w:r>
              <w:rPr>
                <w:noProof/>
              </w:rPr>
              <w:t xml:space="preserve">Mise à niveau du système d'information de l'administration fiscale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582CD5B9" w14:textId="77777777" w:rsidR="00553430" w:rsidRDefault="00212577">
            <w:pPr>
              <w:pStyle w:val="P68B1DB1-Normal66"/>
              <w:spacing w:after="200" w:line="276" w:lineRule="auto"/>
              <w:rPr>
                <w:noProof/>
              </w:rPr>
            </w:pPr>
            <w:r>
              <w:rPr>
                <w:noProof/>
              </w:rPr>
              <w:t>Mise à niveau du système d'information de l'administration fiscale</w:t>
            </w:r>
            <w:r>
              <w:rPr>
                <w:noProof/>
              </w:rPr>
              <w:t xml:space="preserve"> en ligne et accessible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4B1005F4" w14:textId="77777777" w:rsidR="00553430" w:rsidRDefault="00212577">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40C1431F" w14:textId="77777777" w:rsidR="00553430" w:rsidRDefault="00212577">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138E22A" w14:textId="77777777" w:rsidR="00553430" w:rsidRDefault="00212577">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0E49404D" w14:textId="77777777" w:rsidR="00553430" w:rsidRDefault="00212577">
            <w:pPr>
              <w:pStyle w:val="P68B1DB1-Normal66"/>
              <w:spacing w:after="200" w:line="276" w:lineRule="auto"/>
              <w:jc w:val="center"/>
              <w:rPr>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2B3471B0" w14:textId="77777777" w:rsidR="00553430" w:rsidRDefault="00212577">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15FA2AC2" w14:textId="77777777" w:rsidR="00553430" w:rsidRDefault="00212577">
            <w:pPr>
              <w:pStyle w:val="P68B1DB1-Normal66"/>
              <w:spacing w:after="200" w:line="276" w:lineRule="auto"/>
              <w:rPr>
                <w:noProof/>
              </w:rPr>
            </w:pPr>
            <w:r>
              <w:rPr>
                <w:noProof/>
              </w:rPr>
              <w:t>Mise à jour des informations de l'administration fiscale Syste est en ligne et accessible.</w:t>
            </w:r>
          </w:p>
          <w:p w14:paraId="39470255" w14:textId="77777777" w:rsidR="00553430" w:rsidRDefault="00212577">
            <w:pPr>
              <w:pStyle w:val="P68B1DB1-Normal66"/>
              <w:spacing w:after="200" w:line="276" w:lineRule="auto"/>
              <w:rPr>
                <w:noProof/>
              </w:rPr>
            </w:pPr>
            <w:r>
              <w:rPr>
                <w:noProof/>
              </w:rPr>
              <w:t>Le système comprend:</w:t>
            </w:r>
          </w:p>
          <w:p w14:paraId="74315702" w14:textId="77777777" w:rsidR="00553430" w:rsidRDefault="00212577">
            <w:pPr>
              <w:pStyle w:val="P68B1DB1-ListParagraph78"/>
              <w:numPr>
                <w:ilvl w:val="0"/>
                <w:numId w:val="63"/>
              </w:numPr>
              <w:spacing w:after="0" w:line="240" w:lineRule="auto"/>
              <w:rPr>
                <w:noProof/>
                <w:color w:val="000000" w:themeColor="text1"/>
              </w:rPr>
            </w:pPr>
            <w:r>
              <w:rPr>
                <w:noProof/>
              </w:rPr>
              <w:t xml:space="preserve">Une plateforme qui: a) permet l’automatisation des processus opérationnels de l’administration fiscale et </w:t>
            </w:r>
            <w:r>
              <w:rPr>
                <w:noProof/>
              </w:rPr>
              <w:t>b) fournit des analyses de données.</w:t>
            </w:r>
          </w:p>
          <w:p w14:paraId="23E3E9A7" w14:textId="260B12F7" w:rsidR="00553430" w:rsidRDefault="00212577">
            <w:pPr>
              <w:pStyle w:val="P68B1DB1-ListParagraph78"/>
              <w:numPr>
                <w:ilvl w:val="0"/>
                <w:numId w:val="63"/>
              </w:numPr>
              <w:spacing w:after="0" w:line="240" w:lineRule="auto"/>
              <w:rPr>
                <w:noProof/>
                <w:color w:val="000000" w:themeColor="text1"/>
              </w:rPr>
            </w:pPr>
            <w:r>
              <w:rPr>
                <w:noProof/>
              </w:rPr>
              <w:t>Numérisation de 340 procédures de détermination et de perception, y compris les procédures d’évaluation et de perception de la taxe sur la valeur ajoutée, des cotisations sociales et de l’impôt sur les sociétés, ainsi qu</w:t>
            </w:r>
            <w:r>
              <w:rPr>
                <w:noProof/>
              </w:rPr>
              <w:t>e des registres comptables fiscaux, des opérations de paiement et des systèmes d’échange européen et international de données fiscales, attestée par un certificat de transfert délivré par un contractant.</w:t>
            </w:r>
          </w:p>
          <w:p w14:paraId="7987844E" w14:textId="77777777" w:rsidR="00553430" w:rsidRDefault="00212577">
            <w:pPr>
              <w:pStyle w:val="P68B1DB1-ListParagraph78"/>
              <w:numPr>
                <w:ilvl w:val="0"/>
                <w:numId w:val="63"/>
              </w:numPr>
              <w:spacing w:after="0" w:line="276" w:lineRule="auto"/>
              <w:rPr>
                <w:noProof/>
              </w:rPr>
            </w:pPr>
            <w:r>
              <w:rPr>
                <w:noProof/>
              </w:rPr>
              <w:t xml:space="preserve">Infrastructure TIC de sécurité qui: a) consolide et </w:t>
            </w:r>
            <w:r>
              <w:rPr>
                <w:noProof/>
              </w:rPr>
              <w:t>modernise l’infrastructure informatique, b) augmente le niveau de sécurité informatique et c) assure la continuité des activités.</w:t>
            </w:r>
          </w:p>
        </w:tc>
      </w:tr>
      <w:tr w:rsidR="00553430" w14:paraId="7942E3BF"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064BBD9" w14:textId="77777777" w:rsidR="00553430" w:rsidRDefault="00212577">
            <w:pPr>
              <w:pStyle w:val="P68B1DB1-Normal66"/>
              <w:spacing w:after="200" w:line="276" w:lineRule="auto"/>
              <w:jc w:val="center"/>
              <w:rPr>
                <w:noProof/>
              </w:rPr>
            </w:pPr>
            <w:r>
              <w:rPr>
                <w:noProof/>
              </w:rPr>
              <w:t>199</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038723A4" w14:textId="77777777" w:rsidR="00553430" w:rsidRDefault="00212577">
            <w:pPr>
              <w:pStyle w:val="P68B1DB1-Normal66"/>
              <w:spacing w:after="200" w:line="276" w:lineRule="auto"/>
              <w:jc w:val="center"/>
              <w:rPr>
                <w:noProof/>
              </w:rPr>
            </w:pPr>
            <w:r>
              <w:rPr>
                <w:noProof/>
              </w:rPr>
              <w:t>C2.3. R3-I14</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726EF9B5"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266E7843" w14:textId="77777777" w:rsidR="00553430" w:rsidRDefault="00212577">
            <w:pPr>
              <w:pStyle w:val="P68B1DB1-Normal66"/>
              <w:spacing w:after="200" w:line="276" w:lineRule="auto"/>
              <w:rPr>
                <w:noProof/>
              </w:rPr>
            </w:pPr>
            <w:r>
              <w:rPr>
                <w:noProof/>
              </w:rPr>
              <w:t xml:space="preserve">Système de facturation électronique et de comptabilité TVA en ligne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77085E34" w14:textId="77777777" w:rsidR="00553430" w:rsidRDefault="00212577">
            <w:pPr>
              <w:pStyle w:val="P68B1DB1-Normal66"/>
              <w:spacing w:after="200" w:line="276" w:lineRule="auto"/>
              <w:rPr>
                <w:noProof/>
              </w:rPr>
            </w:pPr>
            <w:r>
              <w:rPr>
                <w:noProof/>
              </w:rPr>
              <w:t xml:space="preserve">Rapport du ministère des finances – </w:t>
            </w:r>
            <w:r>
              <w:rPr>
                <w:noProof/>
              </w:rPr>
              <w:t>Administration fiscale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1712F61E" w14:textId="77777777" w:rsidR="00553430" w:rsidRDefault="00212577">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4D788EE0" w14:textId="77777777" w:rsidR="00553430" w:rsidRDefault="00212577">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50E0723" w14:textId="77777777" w:rsidR="00553430" w:rsidRDefault="00212577">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26348270" w14:textId="77777777" w:rsidR="00553430" w:rsidRDefault="00212577">
            <w:pPr>
              <w:pStyle w:val="P68B1DB1-Normal66"/>
              <w:spacing w:after="200" w:line="276" w:lineRule="auto"/>
              <w:jc w:val="center"/>
              <w:rPr>
                <w:noProof/>
              </w:rPr>
            </w:pPr>
            <w:r>
              <w:rPr>
                <w:noProof/>
              </w:rPr>
              <w:t>T4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477CC96B" w14:textId="77777777" w:rsidR="00553430" w:rsidRDefault="00212577">
            <w:pPr>
              <w:pStyle w:val="P68B1DB1-Normal66"/>
              <w:spacing w:after="200" w:line="276" w:lineRule="auto"/>
              <w:jc w:val="center"/>
              <w:rPr>
                <w:noProof/>
              </w:rPr>
            </w:pPr>
            <w:r>
              <w:rPr>
                <w:noProof/>
              </w:rPr>
              <w:t>2024</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1947F9B2" w14:textId="77777777" w:rsidR="00553430" w:rsidRDefault="00212577">
            <w:pPr>
              <w:pStyle w:val="P68B1DB1-Normal66"/>
              <w:spacing w:after="200" w:line="276" w:lineRule="auto"/>
              <w:rPr>
                <w:noProof/>
              </w:rPr>
            </w:pPr>
            <w:r>
              <w:rPr>
                <w:noProof/>
              </w:rPr>
              <w:t>Le nouveau système d’enregistrement des factures électroniques dans l’administration fiscale pour tous les utilisateurs (modèle B2B et assujettis aux marchés publics) et la comptabilité TVA en ligne avancée sont opérati</w:t>
            </w:r>
            <w:r>
              <w:rPr>
                <w:noProof/>
              </w:rPr>
              <w:t>onnels et prêts à être utilisés.</w:t>
            </w:r>
          </w:p>
        </w:tc>
      </w:tr>
      <w:tr w:rsidR="00553430" w14:paraId="257960D0"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6281E89" w14:textId="77777777" w:rsidR="00553430" w:rsidRDefault="00212577">
            <w:pPr>
              <w:pStyle w:val="P68B1DB1-Normal66"/>
              <w:spacing w:after="200" w:line="276" w:lineRule="auto"/>
              <w:jc w:val="center"/>
              <w:rPr>
                <w:noProof/>
              </w:rPr>
            </w:pPr>
            <w:r>
              <w:rPr>
                <w:noProof/>
              </w:rPr>
              <w:t>200</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1C2822E5" w14:textId="77777777" w:rsidR="00553430" w:rsidRDefault="00212577">
            <w:pPr>
              <w:pStyle w:val="P68B1DB1-Normal66"/>
              <w:spacing w:after="200" w:line="276" w:lineRule="auto"/>
              <w:jc w:val="center"/>
              <w:rPr>
                <w:noProof/>
              </w:rPr>
            </w:pPr>
            <w:r>
              <w:rPr>
                <w:noProof/>
              </w:rPr>
              <w:t>C2.3. R3-I15</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4ACF7CB7" w14:textId="77777777" w:rsidR="00553430" w:rsidRDefault="00212577">
            <w:pPr>
              <w:pStyle w:val="P68B1DB1-Normal66"/>
              <w:spacing w:after="200" w:line="276" w:lineRule="auto"/>
              <w:jc w:val="center"/>
              <w:rPr>
                <w:noProof/>
              </w:rPr>
            </w:pPr>
            <w:r>
              <w:rPr>
                <w:noProof/>
              </w:rPr>
              <w:t>T</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14F043F0" w14:textId="77777777" w:rsidR="00553430" w:rsidRDefault="00212577">
            <w:pPr>
              <w:pStyle w:val="P68B1DB1-Normal66"/>
              <w:spacing w:after="200" w:line="276" w:lineRule="auto"/>
              <w:rPr>
                <w:noProof/>
              </w:rPr>
            </w:pPr>
            <w:r>
              <w:rPr>
                <w:noProof/>
              </w:rPr>
              <w:t xml:space="preserve">Outils dans le système informatique du tourisme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606AFE4A" w14:textId="77777777" w:rsidR="00553430" w:rsidRDefault="00212577">
            <w:pPr>
              <w:pStyle w:val="P68B1DB1-Normal66"/>
              <w:spacing w:after="200" w:line="276" w:lineRule="auto"/>
              <w:rPr>
                <w:noProof/>
              </w:rPr>
            </w:pPr>
            <w:r>
              <w:rPr>
                <w:noProof/>
              </w:rPr>
              <w:t>Rapport du Ministère du Tourisme et des Sports (MINTS)</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03AA4E41" w14:textId="77777777" w:rsidR="00553430" w:rsidRDefault="00212577">
            <w:pPr>
              <w:pStyle w:val="P68B1DB1-Normal66"/>
              <w:spacing w:after="200" w:line="276" w:lineRule="auto"/>
              <w:jc w:val="center"/>
              <w:rPr>
                <w:noProof/>
              </w:rPr>
            </w:pPr>
            <w:r>
              <w:rPr>
                <w:noProof/>
              </w:rPr>
              <w:t>Numéro</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3788C045" w14:textId="77777777" w:rsidR="00553430" w:rsidRDefault="00212577">
            <w:pPr>
              <w:pStyle w:val="P68B1DB1-Normal66"/>
              <w:spacing w:after="200" w:line="276"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444FACD" w14:textId="77777777" w:rsidR="00553430" w:rsidRDefault="00212577">
            <w:pPr>
              <w:pStyle w:val="P68B1DB1-Normal66"/>
              <w:spacing w:after="200" w:line="276" w:lineRule="auto"/>
              <w:jc w:val="center"/>
              <w:rPr>
                <w:noProof/>
              </w:rPr>
            </w:pPr>
            <w:r>
              <w:rPr>
                <w:noProof/>
              </w:rPr>
              <w:t>4</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355634E2" w14:textId="77777777" w:rsidR="00553430" w:rsidRDefault="00212577">
            <w:pPr>
              <w:pStyle w:val="P68B1DB1-Normal66"/>
              <w:spacing w:after="200" w:line="276" w:lineRule="auto"/>
              <w:jc w:val="center"/>
              <w:rPr>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47379499" w14:textId="77777777" w:rsidR="00553430" w:rsidRDefault="00212577">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3A4C8AE6" w14:textId="6BAD8B4E" w:rsidR="00553430" w:rsidRDefault="00212577">
            <w:pPr>
              <w:pStyle w:val="P68B1DB1-Normal66"/>
              <w:spacing w:after="200" w:line="276" w:lineRule="auto"/>
              <w:rPr>
                <w:noProof/>
              </w:rPr>
            </w:pPr>
            <w:r>
              <w:rPr>
                <w:noProof/>
              </w:rPr>
              <w:t>Les outils seront livrés par le contractant:</w:t>
            </w:r>
            <w:r>
              <w:rPr>
                <w:noProof/>
              </w:rPr>
              <w:br/>
            </w:r>
            <w:r>
              <w:rPr>
                <w:noProof/>
              </w:rPr>
              <w:t xml:space="preserve">1) pour des procédures administratives et non administratives intégrées visant à faciliter les opérations commerciales et la communication avec l'administration publique </w:t>
            </w:r>
            <w:r>
              <w:rPr>
                <w:noProof/>
              </w:rPr>
              <w:br/>
              <w:t>2) pour la gestion des destinations, y compris une solution pour gérer les flux touri</w:t>
            </w:r>
            <w:r>
              <w:rPr>
                <w:noProof/>
              </w:rPr>
              <w:t xml:space="preserve">stiques </w:t>
            </w:r>
            <w:r>
              <w:rPr>
                <w:noProof/>
              </w:rPr>
              <w:br/>
              <w:t>3) l'intelligence d'affaires dans le tourisme pour soutenir les entrepreneurs dans la prise de décision des entreprises et la prise de décision du secteur public dans l'élaboration des politiques publiques en utilisant des données provenant de div</w:t>
            </w:r>
            <w:r>
              <w:rPr>
                <w:noProof/>
              </w:rPr>
              <w:t xml:space="preserve">erses sources, y compris le "registre central du tourisme", le "système e-Visitor" et le système CROSTO; </w:t>
            </w:r>
            <w:r>
              <w:rPr>
                <w:noProof/>
              </w:rPr>
              <w:br/>
              <w:t>4) la modernisation de la numérisation du système CROSTO, avec le développement d’un «système numérique de suivi du développement des destinations» po</w:t>
            </w:r>
            <w:r>
              <w:rPr>
                <w:noProof/>
              </w:rPr>
              <w:t>ur surveiller la durabilité des destinations conformément au «système européen d’indicateurs du tourisme pour la gestion durable des destinations» (ETIS).</w:t>
            </w:r>
          </w:p>
        </w:tc>
      </w:tr>
      <w:tr w:rsidR="00553430" w14:paraId="16BCB10B"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C83DB70" w14:textId="77777777" w:rsidR="00553430" w:rsidRDefault="00212577">
            <w:pPr>
              <w:pStyle w:val="P68B1DB1-Normal66"/>
              <w:spacing w:after="200" w:line="276" w:lineRule="auto"/>
              <w:jc w:val="center"/>
              <w:rPr>
                <w:noProof/>
              </w:rPr>
            </w:pPr>
            <w:r>
              <w:rPr>
                <w:noProof/>
              </w:rPr>
              <w:t>201</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2986234B" w14:textId="77777777" w:rsidR="00553430" w:rsidRDefault="00212577">
            <w:pPr>
              <w:pStyle w:val="P68B1DB1-Normal66"/>
              <w:spacing w:after="200" w:line="276" w:lineRule="auto"/>
              <w:jc w:val="center"/>
              <w:rPr>
                <w:noProof/>
              </w:rPr>
            </w:pPr>
            <w:r>
              <w:rPr>
                <w:noProof/>
              </w:rPr>
              <w:t>C2.3. R3-I16</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1A04B24A" w14:textId="77777777" w:rsidR="00553430" w:rsidRDefault="00212577">
            <w:pPr>
              <w:pStyle w:val="P68B1DB1-Normal66"/>
              <w:spacing w:after="200" w:line="276" w:lineRule="auto"/>
              <w:jc w:val="center"/>
              <w:rPr>
                <w:noProof/>
              </w:rPr>
            </w:pPr>
            <w:r>
              <w:rPr>
                <w:noProof/>
              </w:rPr>
              <w:t>T</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413883A5" w14:textId="77777777" w:rsidR="00553430" w:rsidRDefault="00212577">
            <w:pPr>
              <w:pStyle w:val="P68B1DB1-Normal66"/>
              <w:spacing w:after="200" w:line="276" w:lineRule="auto"/>
              <w:rPr>
                <w:noProof/>
              </w:rPr>
            </w:pPr>
            <w:r>
              <w:rPr>
                <w:noProof/>
              </w:rPr>
              <w:t xml:space="preserve">Nouveaux modules d'application pour le système informatique du sport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301F24B6" w14:textId="77777777" w:rsidR="00553430" w:rsidRDefault="00212577">
            <w:pPr>
              <w:pStyle w:val="P68B1DB1-Normal66"/>
              <w:spacing w:after="200" w:line="276" w:lineRule="auto"/>
              <w:rPr>
                <w:noProof/>
              </w:rPr>
            </w:pPr>
            <w:r>
              <w:rPr>
                <w:noProof/>
              </w:rPr>
              <w:t xml:space="preserve"> Rapport du Ministère du Tourisme et des Sports (MINTS)</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35D036CE" w14:textId="77777777" w:rsidR="00553430" w:rsidRDefault="00212577">
            <w:pPr>
              <w:pStyle w:val="P68B1DB1-Normal66"/>
              <w:spacing w:after="200" w:line="276" w:lineRule="auto"/>
              <w:jc w:val="center"/>
              <w:rPr>
                <w:noProof/>
              </w:rPr>
            </w:pPr>
            <w:r>
              <w:rPr>
                <w:noProof/>
              </w:rPr>
              <w:t>Numéro</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0FD34AC4" w14:textId="77777777" w:rsidR="00553430" w:rsidRDefault="00212577">
            <w:pPr>
              <w:pStyle w:val="P68B1DB1-Normal66"/>
              <w:spacing w:after="200" w:line="276"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7E7F115" w14:textId="77777777" w:rsidR="00553430" w:rsidRDefault="00212577">
            <w:pPr>
              <w:pStyle w:val="P68B1DB1-Normal66"/>
              <w:spacing w:after="200" w:line="276" w:lineRule="auto"/>
              <w:jc w:val="center"/>
              <w:rPr>
                <w:noProof/>
              </w:rPr>
            </w:pPr>
            <w:r>
              <w:rPr>
                <w:noProof/>
              </w:rPr>
              <w:t>3</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58188F17" w14:textId="77777777" w:rsidR="00553430" w:rsidRDefault="00212577">
            <w:pPr>
              <w:pStyle w:val="P68B1DB1-Normal66"/>
              <w:spacing w:after="200" w:line="276" w:lineRule="auto"/>
              <w:jc w:val="center"/>
              <w:rPr>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413644BD" w14:textId="77777777" w:rsidR="00553430" w:rsidRDefault="00212577">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59F7E944" w14:textId="11E343E8" w:rsidR="00553430" w:rsidRDefault="00212577">
            <w:pPr>
              <w:pStyle w:val="P68B1DB1-Normal66"/>
              <w:spacing w:after="200" w:line="276" w:lineRule="auto"/>
              <w:rPr>
                <w:noProof/>
              </w:rPr>
            </w:pPr>
            <w:r>
              <w:rPr>
                <w:noProof/>
              </w:rPr>
              <w:t xml:space="preserve">Trois nouveaux modules d'application seront intégrés dans le système d'information sur le sport (ISS): </w:t>
            </w:r>
            <w:r>
              <w:rPr>
                <w:noProof/>
              </w:rPr>
              <w:br/>
              <w:t>1) pour la fourniture d'un accès direct aux clubs sportifs, avec des droits d</w:t>
            </w:r>
            <w:r>
              <w:rPr>
                <w:noProof/>
              </w:rPr>
              <w:t xml:space="preserve">e saisie de données (y compris les dossiers sportifs et les dossiers d'examens médicaux des athlètes), aux registres de base et aux registres du système d'information dans le sport </w:t>
            </w:r>
            <w:r>
              <w:rPr>
                <w:noProof/>
              </w:rPr>
              <w:br/>
              <w:t>2) pour le financement des besoins sportifs publics des collectivités loca</w:t>
            </w:r>
            <w:r>
              <w:rPr>
                <w:noProof/>
              </w:rPr>
              <w:t xml:space="preserve">les et régionales; </w:t>
            </w:r>
            <w:r>
              <w:rPr>
                <w:noProof/>
              </w:rPr>
              <w:br/>
              <w:t>3) pour la collecte de données sur le sport et l'exercice physique axé sur la santé, y compris l'établissement d'un dossier dans le domaine de l'exercice physique axé sur la santé.</w:t>
            </w:r>
          </w:p>
        </w:tc>
      </w:tr>
      <w:tr w:rsidR="00553430" w14:paraId="168B642B"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5FE0B694" w14:textId="77777777" w:rsidR="00553430" w:rsidRDefault="00212577">
            <w:pPr>
              <w:pStyle w:val="P68B1DB1-Normal66"/>
              <w:spacing w:after="200" w:line="276" w:lineRule="auto"/>
              <w:jc w:val="center"/>
              <w:rPr>
                <w:noProof/>
              </w:rPr>
            </w:pPr>
            <w:r>
              <w:rPr>
                <w:noProof/>
              </w:rPr>
              <w:t>449</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4AC945D3" w14:textId="77777777" w:rsidR="00553430" w:rsidRDefault="00212577">
            <w:pPr>
              <w:pStyle w:val="P68B1DB1-Normal66"/>
              <w:spacing w:after="200" w:line="276" w:lineRule="auto"/>
              <w:jc w:val="center"/>
              <w:rPr>
                <w:noProof/>
              </w:rPr>
            </w:pPr>
            <w:r>
              <w:rPr>
                <w:noProof/>
              </w:rPr>
              <w:t>C2.3. R3-I18</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2688855F"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5E715F8F" w14:textId="77777777" w:rsidR="00553430" w:rsidRDefault="00212577">
            <w:pPr>
              <w:pStyle w:val="P68B1DB1-Normal66"/>
              <w:spacing w:after="200" w:line="276" w:lineRule="auto"/>
              <w:rPr>
                <w:noProof/>
              </w:rPr>
            </w:pPr>
            <w:r>
              <w:rPr>
                <w:noProof/>
              </w:rPr>
              <w:t xml:space="preserve">Signature de l’accord de </w:t>
            </w:r>
            <w:r>
              <w:rPr>
                <w:noProof/>
              </w:rPr>
              <w:t>contribution entre la Croatie et l’entreprise commune EuroHPC et versement de la contribution volontaire à l’entreprise commune EuroHPC</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3E6BC6D1" w14:textId="77777777" w:rsidR="00553430" w:rsidRDefault="00212577">
            <w:pPr>
              <w:pStyle w:val="P68B1DB1-Normal66"/>
              <w:spacing w:after="200" w:line="276" w:lineRule="auto"/>
              <w:rPr>
                <w:noProof/>
              </w:rPr>
            </w:pPr>
            <w:r>
              <w:rPr>
                <w:noProof/>
              </w:rPr>
              <w:t>Signature de l'accord de contribution</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47B71FE9"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574FFB45"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26766CD"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43DF8D0E" w14:textId="77777777" w:rsidR="00553430" w:rsidRDefault="00212577">
            <w:pPr>
              <w:pStyle w:val="P68B1DB1-Normal66"/>
              <w:spacing w:after="200" w:line="276" w:lineRule="auto"/>
              <w:jc w:val="center"/>
              <w:rPr>
                <w:noProof/>
                <w:color w:val="000000" w:themeColor="text1"/>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72332FF8" w14:textId="77777777" w:rsidR="00553430" w:rsidRDefault="00212577">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30C42DCA" w14:textId="77777777" w:rsidR="00553430" w:rsidRDefault="00212577">
            <w:pPr>
              <w:pStyle w:val="P68B1DB1-Normal66"/>
              <w:spacing w:after="200" w:line="240" w:lineRule="auto"/>
              <w:rPr>
                <w:noProof/>
              </w:rPr>
            </w:pPr>
            <w:r>
              <w:rPr>
                <w:noProof/>
              </w:rPr>
              <w:t xml:space="preserve">Signature de l'accord de contribution entre la Croatie et l'entreprise </w:t>
            </w:r>
            <w:r>
              <w:rPr>
                <w:noProof/>
              </w:rPr>
              <w:t xml:space="preserve">commune EuroHPC. </w:t>
            </w:r>
          </w:p>
          <w:p w14:paraId="711D590D" w14:textId="77777777" w:rsidR="00553430" w:rsidRDefault="00212577">
            <w:pPr>
              <w:pStyle w:val="P68B1DB1-Normal66"/>
              <w:spacing w:after="200" w:line="240" w:lineRule="auto"/>
              <w:rPr>
                <w:noProof/>
              </w:rPr>
            </w:pPr>
            <w:r>
              <w:rPr>
                <w:noProof/>
              </w:rPr>
              <w:t>La convention de contribution comprend:</w:t>
            </w:r>
          </w:p>
          <w:p w14:paraId="0DEE2A2F" w14:textId="77777777" w:rsidR="00553430" w:rsidRDefault="00212577">
            <w:pPr>
              <w:pStyle w:val="P68B1DB1-ListParagraph78"/>
              <w:numPr>
                <w:ilvl w:val="0"/>
                <w:numId w:val="84"/>
              </w:numPr>
              <w:spacing w:after="200" w:line="240" w:lineRule="auto"/>
              <w:rPr>
                <w:noProof/>
              </w:rPr>
            </w:pPr>
            <w:r>
              <w:rPr>
                <w:noProof/>
              </w:rPr>
              <w:t>une indication des activités à financer au moyen de la contribution volontaire, à savoir le soutien financier à une Gigafactory d’IA ou à des initiatives équivalentes en matière d’infrastructure d’I</w:t>
            </w:r>
            <w:r>
              <w:rPr>
                <w:noProof/>
              </w:rPr>
              <w:t>A et de technologie quantique à développer et à mettre en place dans l’Union.</w:t>
            </w:r>
          </w:p>
          <w:p w14:paraId="04D4F444" w14:textId="77777777" w:rsidR="00553430" w:rsidRDefault="00212577">
            <w:pPr>
              <w:pStyle w:val="P68B1DB1-ListParagraph78"/>
              <w:numPr>
                <w:ilvl w:val="0"/>
                <w:numId w:val="84"/>
              </w:numPr>
              <w:spacing w:after="200" w:line="240" w:lineRule="auto"/>
              <w:rPr>
                <w:noProof/>
              </w:rPr>
            </w:pPr>
            <w:r>
              <w:rPr>
                <w:noProof/>
              </w:rPr>
              <w:t>L’exigence selon laquelle la contribution volontaire doit être utilisée d’une manière conforme au principe consistant à ne pas causer de préjudice important (DNSH), tel qu’énoncé</w:t>
            </w:r>
            <w:r>
              <w:rPr>
                <w:noProof/>
              </w:rPr>
              <w:t xml:space="preserve"> dans les orientations techniques 2021/C58/01.</w:t>
            </w:r>
          </w:p>
          <w:p w14:paraId="78AB881A" w14:textId="77777777" w:rsidR="00553430" w:rsidRDefault="00212577">
            <w:pPr>
              <w:pStyle w:val="P68B1DB1-ListParagraph78"/>
              <w:numPr>
                <w:ilvl w:val="0"/>
                <w:numId w:val="84"/>
              </w:numPr>
              <w:spacing w:after="200" w:line="240" w:lineRule="auto"/>
              <w:rPr>
                <w:noProof/>
              </w:rPr>
            </w:pPr>
            <w:r>
              <w:rPr>
                <w:noProof/>
              </w:rPr>
              <w:t>Le montant exact de la contribution volontaire des fonds de la FRR.</w:t>
            </w:r>
          </w:p>
          <w:p w14:paraId="67913E83" w14:textId="77777777" w:rsidR="00553430" w:rsidRDefault="00212577">
            <w:pPr>
              <w:pStyle w:val="P68B1DB1-ListParagraph78"/>
              <w:numPr>
                <w:ilvl w:val="0"/>
                <w:numId w:val="84"/>
              </w:numPr>
              <w:spacing w:after="200" w:line="240" w:lineRule="auto"/>
              <w:rPr>
                <w:noProof/>
              </w:rPr>
            </w:pPr>
            <w:r>
              <w:rPr>
                <w:noProof/>
              </w:rPr>
              <w:t>Une exigence selon laquelle les montants inutilisés couverts par l’accord sont utilisés par l’entreprise commune EuroHPC pour soutenir les mê</w:t>
            </w:r>
            <w:r>
              <w:rPr>
                <w:noProof/>
              </w:rPr>
              <w:t>mes objectifs stratégiques au profit de l’État membre concerné et ne sont pas reversés à l’État membre.</w:t>
            </w:r>
          </w:p>
          <w:p w14:paraId="4A18052D" w14:textId="77777777" w:rsidR="00553430" w:rsidRDefault="00212577">
            <w:pPr>
              <w:pStyle w:val="P68B1DB1-ListParagraph78"/>
              <w:numPr>
                <w:ilvl w:val="0"/>
                <w:numId w:val="84"/>
              </w:numPr>
              <w:spacing w:after="200" w:line="240" w:lineRule="auto"/>
              <w:rPr>
                <w:noProof/>
              </w:rPr>
            </w:pPr>
            <w:r>
              <w:rPr>
                <w:noProof/>
              </w:rPr>
              <w:t>La Croatie transfère 39 000 000,00 EUR à l’entreprise commune pour le calcul à haute performance européen.</w:t>
            </w:r>
          </w:p>
        </w:tc>
      </w:tr>
      <w:tr w:rsidR="00553430" w14:paraId="3E16982C"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C8E90C5" w14:textId="77777777" w:rsidR="00553430" w:rsidRDefault="00212577">
            <w:pPr>
              <w:pStyle w:val="P68B1DB1-Normal66"/>
              <w:spacing w:after="200" w:line="276" w:lineRule="auto"/>
              <w:jc w:val="center"/>
              <w:rPr>
                <w:noProof/>
              </w:rPr>
            </w:pPr>
            <w:r>
              <w:rPr>
                <w:noProof/>
              </w:rPr>
              <w:t>202</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0454DCE4" w14:textId="77777777" w:rsidR="00553430" w:rsidRDefault="00212577">
            <w:pPr>
              <w:pStyle w:val="P68B1DB1-Normal66"/>
              <w:spacing w:after="200" w:line="276" w:lineRule="auto"/>
              <w:jc w:val="center"/>
              <w:rPr>
                <w:noProof/>
              </w:rPr>
            </w:pPr>
            <w:r>
              <w:rPr>
                <w:noProof/>
              </w:rPr>
              <w:t>C2.3. R4</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46AACC1A"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2164E0E8" w14:textId="77777777" w:rsidR="00553430" w:rsidRDefault="00212577">
            <w:pPr>
              <w:pStyle w:val="P68B1DB1-Normal66"/>
              <w:spacing w:after="200" w:line="276" w:lineRule="auto"/>
              <w:rPr>
                <w:noProof/>
              </w:rPr>
            </w:pPr>
            <w:r>
              <w:rPr>
                <w:noProof/>
              </w:rPr>
              <w:t xml:space="preserve">Optimisation de la procédure d’octroi des autorisations pour les investissements dans la connectivité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3614E77E" w14:textId="77777777" w:rsidR="00553430" w:rsidRDefault="00212577">
            <w:pPr>
              <w:pStyle w:val="P68B1DB1-Normal66"/>
              <w:spacing w:after="200" w:line="276" w:lineRule="auto"/>
              <w:rPr>
                <w:noProof/>
              </w:rPr>
            </w:pPr>
            <w:r>
              <w:rPr>
                <w:noProof/>
              </w:rPr>
              <w:t>Entrée en vigueur d'un cadre juridique révisé</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5B01A3FD" w14:textId="77777777" w:rsidR="00553430" w:rsidRDefault="00212577">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68FD0B3B" w14:textId="77777777" w:rsidR="00553430" w:rsidRDefault="00212577">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EA4CCF8" w14:textId="77777777" w:rsidR="00553430" w:rsidRDefault="00212577">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23582D92" w14:textId="77777777" w:rsidR="00553430" w:rsidRDefault="00212577">
            <w:pPr>
              <w:pStyle w:val="P68B1DB1-Normal66"/>
              <w:spacing w:after="200" w:line="276" w:lineRule="auto"/>
              <w:jc w:val="center"/>
              <w:rPr>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08D90DF6" w14:textId="77777777" w:rsidR="00553430" w:rsidRDefault="00212577">
            <w:pPr>
              <w:pStyle w:val="P68B1DB1-Normal66"/>
              <w:spacing w:after="200" w:line="276" w:lineRule="auto"/>
              <w:jc w:val="center"/>
              <w:rPr>
                <w:noProof/>
              </w:rPr>
            </w:pPr>
            <w:r>
              <w:rPr>
                <w:noProof/>
              </w:rPr>
              <w:t>2022</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09F95AA1" w14:textId="77777777" w:rsidR="00553430" w:rsidRDefault="00212577">
            <w:pPr>
              <w:pStyle w:val="P68B1DB1-Normal66"/>
              <w:spacing w:after="200" w:line="276" w:lineRule="auto"/>
              <w:rPr>
                <w:noProof/>
              </w:rPr>
            </w:pPr>
            <w:r>
              <w:rPr>
                <w:noProof/>
              </w:rPr>
              <w:t>Un cadre juridique révisé soutient l’optimisation du processus d’octroi de licences et permet</w:t>
            </w:r>
            <w:r>
              <w:rPr>
                <w:noProof/>
              </w:rPr>
              <w:t xml:space="preserve"> la présentation de l’infrastructure de communications électroniques dans les plans d’aménagement du territoire. Le nouveau cadre aborde la charge administrative et les obstacles réglementaires liés à la construction de réseaux à très haute capacité, y com</w:t>
            </w:r>
            <w:r>
              <w:rPr>
                <w:noProof/>
              </w:rPr>
              <w:t>pris les réseaux 5G.</w:t>
            </w:r>
          </w:p>
        </w:tc>
      </w:tr>
      <w:tr w:rsidR="00553430" w14:paraId="759B45CA"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3D8A6FB" w14:textId="77777777" w:rsidR="00553430" w:rsidRDefault="00212577">
            <w:pPr>
              <w:pStyle w:val="P68B1DB1-Normal66"/>
              <w:spacing w:after="200" w:line="276" w:lineRule="auto"/>
              <w:jc w:val="center"/>
              <w:rPr>
                <w:noProof/>
              </w:rPr>
            </w:pPr>
            <w:r>
              <w:rPr>
                <w:noProof/>
              </w:rPr>
              <w:t>203</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298A9A3E" w14:textId="77777777" w:rsidR="00553430" w:rsidRDefault="00212577">
            <w:pPr>
              <w:pStyle w:val="P68B1DB1-Normal66"/>
              <w:spacing w:after="200" w:line="276" w:lineRule="auto"/>
              <w:jc w:val="center"/>
              <w:rPr>
                <w:noProof/>
              </w:rPr>
            </w:pPr>
            <w:r>
              <w:rPr>
                <w:noProof/>
              </w:rPr>
              <w:t>C2.3. R4-I1</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454BF2B2"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0DAA7D05" w14:textId="77777777" w:rsidR="00553430" w:rsidRDefault="00212577">
            <w:pPr>
              <w:pStyle w:val="P68B1DB1-Normal66"/>
              <w:spacing w:after="200" w:line="276" w:lineRule="auto"/>
              <w:rPr>
                <w:noProof/>
              </w:rPr>
            </w:pPr>
            <w:r>
              <w:rPr>
                <w:noProof/>
              </w:rPr>
              <w:t xml:space="preserve">Conventions de subvention signées pour la mise en œuvre des projets relevant du cadre national pour le développement de l’infrastructure d’accès à haut débit (ONP)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608AE0F0" w14:textId="77777777" w:rsidR="00553430" w:rsidRDefault="00212577">
            <w:pPr>
              <w:pStyle w:val="P68B1DB1-Normal66"/>
              <w:spacing w:after="200" w:line="276" w:lineRule="auto"/>
              <w:rPr>
                <w:noProof/>
              </w:rPr>
            </w:pPr>
            <w:r>
              <w:rPr>
                <w:noProof/>
              </w:rPr>
              <w:t xml:space="preserve">Rapport du ministère de la mer, des transports et </w:t>
            </w:r>
            <w:r>
              <w:rPr>
                <w:noProof/>
              </w:rPr>
              <w:t>des infrastructures (MSTI)</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4AE432E6" w14:textId="77777777" w:rsidR="00553430" w:rsidRDefault="00212577">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2F8187FC" w14:textId="77777777" w:rsidR="00553430" w:rsidRDefault="00212577">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74A8DA4" w14:textId="77777777" w:rsidR="00553430" w:rsidRDefault="00212577">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22287DCF" w14:textId="77777777" w:rsidR="00553430" w:rsidRDefault="00212577">
            <w:pPr>
              <w:pStyle w:val="P68B1DB1-Normal66"/>
              <w:spacing w:after="200" w:line="276" w:lineRule="auto"/>
              <w:jc w:val="center"/>
              <w:rPr>
                <w:noProof/>
              </w:rPr>
            </w:pPr>
            <w:r>
              <w:rPr>
                <w:noProof/>
              </w:rPr>
              <w:t>T3</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066F2EA4" w14:textId="77777777" w:rsidR="00553430" w:rsidRDefault="00212577">
            <w:pPr>
              <w:pStyle w:val="P68B1DB1-Normal66"/>
              <w:spacing w:after="200" w:line="276" w:lineRule="auto"/>
              <w:jc w:val="center"/>
              <w:rPr>
                <w:noProof/>
              </w:rPr>
            </w:pPr>
            <w:r>
              <w:rPr>
                <w:noProof/>
              </w:rPr>
              <w:t>2023</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725D0525" w14:textId="77777777" w:rsidR="00553430" w:rsidRDefault="00212577">
            <w:pPr>
              <w:pStyle w:val="P68B1DB1-Normal66"/>
              <w:spacing w:after="200" w:line="276" w:lineRule="auto"/>
              <w:rPr>
                <w:noProof/>
              </w:rPr>
            </w:pPr>
            <w:r>
              <w:rPr>
                <w:noProof/>
              </w:rPr>
              <w:t>Les conventions de subvention pour 20 projets relevant de l’ONP sont signées à l’issue de la procédure de sélection.</w:t>
            </w:r>
          </w:p>
        </w:tc>
      </w:tr>
      <w:tr w:rsidR="00553430" w14:paraId="44CEBDF9"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0D13F35" w14:textId="77777777" w:rsidR="00553430" w:rsidRDefault="00212577">
            <w:pPr>
              <w:pStyle w:val="P68B1DB1-Normal66"/>
              <w:spacing w:after="200" w:line="276" w:lineRule="auto"/>
              <w:jc w:val="center"/>
              <w:rPr>
                <w:noProof/>
              </w:rPr>
            </w:pPr>
            <w:r>
              <w:rPr>
                <w:noProof/>
              </w:rPr>
              <w:t>204</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5672B296" w14:textId="77777777" w:rsidR="00553430" w:rsidRDefault="00212577">
            <w:pPr>
              <w:pStyle w:val="P68B1DB1-Normal66"/>
              <w:spacing w:after="200" w:line="276" w:lineRule="auto"/>
              <w:jc w:val="center"/>
              <w:rPr>
                <w:noProof/>
              </w:rPr>
            </w:pPr>
            <w:r>
              <w:rPr>
                <w:noProof/>
              </w:rPr>
              <w:t>C2.3. R4-I1</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093A18A2"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14CFC729" w14:textId="77777777" w:rsidR="00553430" w:rsidRDefault="00212577">
            <w:pPr>
              <w:pStyle w:val="P68B1DB1-Normal66"/>
              <w:spacing w:after="200" w:line="276" w:lineRule="auto"/>
              <w:rPr>
                <w:noProof/>
              </w:rPr>
            </w:pPr>
            <w:r>
              <w:rPr>
                <w:noProof/>
              </w:rPr>
              <w:t xml:space="preserve">Accès à large bande pour les ménages dans les zones NGA blanches </w:t>
            </w:r>
            <w:r>
              <w:rPr>
                <w:noProof/>
              </w:rPr>
              <w:br/>
              <w:t xml:space="preserve">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02182E3D" w14:textId="77777777" w:rsidR="00553430" w:rsidRDefault="00212577">
            <w:pPr>
              <w:pStyle w:val="P68B1DB1-Normal66"/>
              <w:spacing w:after="200" w:line="276" w:lineRule="auto"/>
              <w:rPr>
                <w:noProof/>
              </w:rPr>
            </w:pPr>
            <w:r>
              <w:rPr>
                <w:noProof/>
              </w:rPr>
              <w:t>Rapport du ministère de la mer, des transports et des infrastructures (MSTI)</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74B2926E" w14:textId="77777777" w:rsidR="00553430" w:rsidRDefault="00553430">
            <w:pPr>
              <w:spacing w:after="200" w:line="276" w:lineRule="auto"/>
              <w:jc w:val="center"/>
              <w:rPr>
                <w:rFonts w:ascii="Times New Roman" w:eastAsia="Calibri" w:hAnsi="Times New Roman" w:cs="Times New Roman"/>
                <w:noProof/>
                <w:sz w:val="20"/>
                <w:szCs w:val="20"/>
              </w:rPr>
            </w:pP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01A86F9E" w14:textId="77777777" w:rsidR="00553430" w:rsidRDefault="00553430">
            <w:pPr>
              <w:spacing w:after="200" w:line="276" w:lineRule="auto"/>
              <w:jc w:val="center"/>
              <w:rPr>
                <w:rFonts w:ascii="Times New Roman" w:eastAsia="Calibri" w:hAnsi="Times New Roman" w:cs="Times New Roman"/>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5CEA8F0" w14:textId="77777777" w:rsidR="00553430" w:rsidRDefault="00553430">
            <w:pPr>
              <w:spacing w:after="200" w:line="276" w:lineRule="auto"/>
              <w:jc w:val="center"/>
              <w:rPr>
                <w:rFonts w:ascii="Times New Roman" w:eastAsia="Calibri" w:hAnsi="Times New Roman" w:cs="Times New Roman"/>
                <w:noProof/>
                <w:sz w:val="20"/>
                <w:szCs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5433BCEE" w14:textId="77777777" w:rsidR="00553430" w:rsidRDefault="00212577">
            <w:pPr>
              <w:pStyle w:val="P68B1DB1-Normal66"/>
              <w:spacing w:after="200" w:line="276" w:lineRule="auto"/>
              <w:jc w:val="center"/>
              <w:rPr>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5FE3CF2D" w14:textId="77777777" w:rsidR="00553430" w:rsidRDefault="00212577">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18FCD96" w14:textId="77777777" w:rsidR="00553430" w:rsidRDefault="00212577">
            <w:pPr>
              <w:pStyle w:val="P68B1DB1-Normal66"/>
              <w:spacing w:after="240" w:line="276" w:lineRule="auto"/>
              <w:rPr>
                <w:noProof/>
                <w:color w:val="000000" w:themeColor="text1"/>
              </w:rPr>
            </w:pPr>
            <w:r>
              <w:rPr>
                <w:noProof/>
              </w:rPr>
              <w:t>Certificat attestant que l’infrastructure à haut débit a été construite et qu’elle permet un accès à haut débit d’au moins 100 MBit/s (évoluable à 1 Giga), pour télécha</w:t>
            </w:r>
            <w:r>
              <w:rPr>
                <w:noProof/>
              </w:rPr>
              <w:t xml:space="preserve">rgement par l’utilisateur, à au moins 40 136 ménages supplémentaires dans les zones NGA blanches. </w:t>
            </w:r>
          </w:p>
        </w:tc>
      </w:tr>
      <w:tr w:rsidR="00553430" w14:paraId="5269D5B8"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A5AC210" w14:textId="77777777" w:rsidR="00553430" w:rsidRDefault="00212577">
            <w:pPr>
              <w:pStyle w:val="P68B1DB1-Normal66"/>
              <w:spacing w:after="0" w:line="276" w:lineRule="auto"/>
              <w:jc w:val="center"/>
              <w:rPr>
                <w:noProof/>
              </w:rPr>
            </w:pPr>
            <w:r>
              <w:rPr>
                <w:noProof/>
              </w:rPr>
              <w:t>205</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16D3BA07" w14:textId="77777777" w:rsidR="00553430" w:rsidRDefault="00212577">
            <w:pPr>
              <w:pStyle w:val="P68B1DB1-Normal66"/>
              <w:spacing w:after="200" w:line="276" w:lineRule="auto"/>
              <w:jc w:val="center"/>
              <w:rPr>
                <w:noProof/>
              </w:rPr>
            </w:pPr>
            <w:r>
              <w:rPr>
                <w:noProof/>
              </w:rPr>
              <w:t>C2.3. R4-I2</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53946CB1" w14:textId="77777777" w:rsidR="00553430" w:rsidRDefault="00212577">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001AAD74" w14:textId="77777777" w:rsidR="00553430" w:rsidRDefault="00212577">
            <w:pPr>
              <w:pStyle w:val="P68B1DB1-Normal66"/>
              <w:spacing w:after="200" w:line="276" w:lineRule="auto"/>
              <w:rPr>
                <w:noProof/>
              </w:rPr>
            </w:pPr>
            <w:r>
              <w:rPr>
                <w:noProof/>
              </w:rPr>
              <w:t>Signature d'une convention de subvention pour la construction d'infrastructures de communications électroniques passives</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1A7CE4E1" w14:textId="77777777" w:rsidR="00553430" w:rsidRDefault="00212577">
            <w:pPr>
              <w:pStyle w:val="P68B1DB1-Normal66"/>
              <w:spacing w:after="200" w:line="276" w:lineRule="auto"/>
              <w:rPr>
                <w:noProof/>
              </w:rPr>
            </w:pPr>
            <w:r>
              <w:rPr>
                <w:noProof/>
              </w:rPr>
              <w:t>Rapport du ministère de la mer, des transports et des infrastructures (MSTI)</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446545E2" w14:textId="77777777" w:rsidR="00553430" w:rsidRDefault="00212577">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7C36D582" w14:textId="77777777" w:rsidR="00553430" w:rsidRDefault="00212577">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EA9C98C" w14:textId="77777777" w:rsidR="00553430" w:rsidRDefault="00212577">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32A5DA4D" w14:textId="77777777" w:rsidR="00553430" w:rsidRDefault="00212577">
            <w:pPr>
              <w:pStyle w:val="P68B1DB1-Normal66"/>
              <w:spacing w:after="200" w:line="276" w:lineRule="auto"/>
              <w:jc w:val="center"/>
              <w:rPr>
                <w:noProof/>
              </w:rPr>
            </w:pPr>
            <w:r>
              <w:rPr>
                <w:noProof/>
              </w:rPr>
              <w:t>T1</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1FB478AB" w14:textId="77777777" w:rsidR="00553430" w:rsidRDefault="00212577">
            <w:pPr>
              <w:pStyle w:val="P68B1DB1-Normal66"/>
              <w:spacing w:after="200" w:line="276" w:lineRule="auto"/>
              <w:jc w:val="center"/>
              <w:rPr>
                <w:noProof/>
              </w:rPr>
            </w:pPr>
            <w:r>
              <w:rPr>
                <w:noProof/>
              </w:rPr>
              <w:t>2023</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6985F08A" w14:textId="77777777" w:rsidR="00553430" w:rsidRDefault="00212577">
            <w:pPr>
              <w:pStyle w:val="P68B1DB1-Normal66"/>
              <w:spacing w:after="200" w:line="276" w:lineRule="auto"/>
              <w:rPr>
                <w:noProof/>
              </w:rPr>
            </w:pPr>
            <w:r>
              <w:rPr>
                <w:noProof/>
              </w:rPr>
              <w:t xml:space="preserve">Signature de la convention de subvention et début de la mise en œuvre du projet de construction d’une infrastructure de communications électroniques passives </w:t>
            </w:r>
          </w:p>
        </w:tc>
      </w:tr>
      <w:tr w:rsidR="00553430" w14:paraId="46518078"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138C9C9" w14:textId="77777777" w:rsidR="00553430" w:rsidRDefault="00212577">
            <w:pPr>
              <w:pStyle w:val="P68B1DB1-Normal66"/>
              <w:spacing w:after="200" w:line="276" w:lineRule="auto"/>
              <w:jc w:val="center"/>
              <w:rPr>
                <w:noProof/>
              </w:rPr>
            </w:pPr>
            <w:r>
              <w:rPr>
                <w:noProof/>
              </w:rPr>
              <w:t>206</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3AA20AF9" w14:textId="77777777" w:rsidR="00553430" w:rsidRDefault="00212577">
            <w:pPr>
              <w:pStyle w:val="P68B1DB1-Normal66"/>
              <w:spacing w:after="200" w:line="276" w:lineRule="auto"/>
              <w:jc w:val="center"/>
              <w:rPr>
                <w:noProof/>
              </w:rPr>
            </w:pPr>
            <w:r>
              <w:rPr>
                <w:noProof/>
              </w:rPr>
              <w:t>C2.3. R4-I2</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758BBBF5" w14:textId="77777777" w:rsidR="00553430" w:rsidRDefault="00212577">
            <w:pPr>
              <w:pStyle w:val="P68B1DB1-Normal66"/>
              <w:spacing w:after="200" w:line="276" w:lineRule="auto"/>
              <w:jc w:val="center"/>
              <w:rPr>
                <w:noProof/>
              </w:rPr>
            </w:pPr>
            <w:r>
              <w:rPr>
                <w:noProof/>
              </w:rPr>
              <w:t>T</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0CB6AD7A" w14:textId="77777777" w:rsidR="00553430" w:rsidRDefault="00212577">
            <w:pPr>
              <w:pStyle w:val="P68B1DB1-Normal66"/>
              <w:spacing w:after="200" w:line="276" w:lineRule="auto"/>
              <w:rPr>
                <w:noProof/>
              </w:rPr>
            </w:pPr>
            <w:r>
              <w:rPr>
                <w:noProof/>
              </w:rPr>
              <w:t>Accès à la 5G</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5729E461" w14:textId="77777777" w:rsidR="00553430" w:rsidRDefault="00212577">
            <w:pPr>
              <w:pStyle w:val="P68B1DB1-Normal66"/>
              <w:spacing w:after="200" w:line="276" w:lineRule="auto"/>
              <w:rPr>
                <w:noProof/>
              </w:rPr>
            </w:pPr>
            <w:r>
              <w:rPr>
                <w:noProof/>
              </w:rPr>
              <w:t>Rapport du ministère de la mer, des transports et des infrastructures (MSTI)</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7D2B4CE1" w14:textId="77777777" w:rsidR="00553430" w:rsidRDefault="00212577">
            <w:pPr>
              <w:pStyle w:val="P68B1DB1-Normal66"/>
              <w:spacing w:after="200" w:line="276" w:lineRule="auto"/>
              <w:jc w:val="center"/>
              <w:rPr>
                <w:noProof/>
              </w:rPr>
            </w:pPr>
            <w:r>
              <w:rPr>
                <w:noProof/>
              </w:rPr>
              <w:t xml:space="preserve">Numéro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0131464F" w14:textId="77777777" w:rsidR="00553430" w:rsidRDefault="00212577">
            <w:pPr>
              <w:pStyle w:val="P68B1DB1-Normal66"/>
              <w:spacing w:after="200" w:line="276"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A62EDD5" w14:textId="77777777" w:rsidR="00553430" w:rsidRDefault="00212577">
            <w:pPr>
              <w:pStyle w:val="P68B1DB1-Normal66"/>
              <w:spacing w:after="200" w:line="276" w:lineRule="auto"/>
              <w:jc w:val="center"/>
              <w:rPr>
                <w:noProof/>
              </w:rPr>
            </w:pPr>
            <w:r>
              <w:rPr>
                <w:noProof/>
              </w:rPr>
              <w:t>14</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204AF9DF" w14:textId="77777777" w:rsidR="00553430" w:rsidRDefault="00212577">
            <w:pPr>
              <w:pStyle w:val="P68B1DB1-Normal66"/>
              <w:spacing w:after="200" w:line="276" w:lineRule="auto"/>
              <w:jc w:val="center"/>
              <w:rPr>
                <w:noProof/>
              </w:rPr>
            </w:pPr>
            <w:r>
              <w:rPr>
                <w:noProof/>
              </w:rPr>
              <w:t>T2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776097C1" w14:textId="77777777" w:rsidR="00553430" w:rsidRDefault="00212577">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FAACCB6" w14:textId="7B23896F" w:rsidR="00553430" w:rsidRDefault="00212577">
            <w:pPr>
              <w:pStyle w:val="P68B1DB1-Normal66"/>
              <w:spacing w:after="200" w:line="276" w:lineRule="auto"/>
              <w:rPr>
                <w:noProof/>
              </w:rPr>
            </w:pPr>
            <w:r>
              <w:rPr>
                <w:noProof/>
              </w:rPr>
              <w:t>14 poteaux de communication passifs doivent être installés dans la zone rurale et à faible densité de population (où la population</w:t>
            </w:r>
            <w:r>
              <w:rPr>
                <w:noProof/>
              </w:rPr>
              <w:t xml:space="preserve"> moyenne est inférieure à 20 km ²). Les contrats sont conclus avec les opérateurs, qui s'engagent à: i) installer des équipements actifs sur les 14 pôles de communication passifs, ii) fournir des services 5G via les équipements actifs, d’ici à la fin de 20</w:t>
            </w:r>
            <w:r>
              <w:rPr>
                <w:noProof/>
              </w:rPr>
              <w:t xml:space="preserve">26. </w:t>
            </w:r>
          </w:p>
          <w:p w14:paraId="667C36DC" w14:textId="77777777" w:rsidR="00553430" w:rsidRDefault="00212577">
            <w:pPr>
              <w:pStyle w:val="P68B1DB1-Normal66"/>
              <w:spacing w:after="200" w:line="276" w:lineRule="auto"/>
              <w:rPr>
                <w:noProof/>
              </w:rPr>
            </w:pPr>
            <w:r>
              <w:rPr>
                <w:noProof/>
              </w:rPr>
              <w:t>La gestion de l'infrastructure à construire au moyen de l'investissement est effectuée exclusivement sur une base non lucrative, dans le but de garantir que le produit de la location de l'infrastructure couvre tous les coûts d'exploitation et d'entret</w:t>
            </w:r>
            <w:r>
              <w:rPr>
                <w:noProof/>
              </w:rPr>
              <w:t>ien de l'infrastructure. En cas de revenus locatifs supérieurs aux coûts, l'excédent est affecté à l'expansion ou à la construction de nouvelles capacités d'infrastructure.</w:t>
            </w:r>
          </w:p>
        </w:tc>
      </w:tr>
    </w:tbl>
    <w:p w14:paraId="3FBA60AC" w14:textId="77777777" w:rsidR="00553430" w:rsidRDefault="00553430">
      <w:pPr>
        <w:rPr>
          <w:noProof/>
        </w:rPr>
        <w:sectPr w:rsidR="00553430" w:rsidSect="00FA29B2">
          <w:headerReference w:type="even" r:id="rId177"/>
          <w:headerReference w:type="default" r:id="rId178"/>
          <w:footerReference w:type="even" r:id="rId179"/>
          <w:footerReference w:type="default" r:id="rId180"/>
          <w:headerReference w:type="first" r:id="rId181"/>
          <w:footerReference w:type="first" r:id="rId182"/>
          <w:pgSz w:w="16839" w:h="11907" w:orient="landscape"/>
          <w:pgMar w:top="1134" w:right="1134" w:bottom="1134" w:left="1134" w:header="567" w:footer="567" w:gutter="0"/>
          <w:cols w:space="708"/>
          <w:docGrid w:linePitch="360"/>
        </w:sectPr>
      </w:pPr>
    </w:p>
    <w:p w14:paraId="6C1B8198" w14:textId="7BC605C1" w:rsidR="00553430" w:rsidRDefault="00212577">
      <w:pPr>
        <w:pStyle w:val="paragraph"/>
        <w:spacing w:before="0" w:beforeAutospacing="0" w:after="0" w:afterAutospacing="0"/>
        <w:ind w:left="705"/>
        <w:jc w:val="both"/>
        <w:textAlignment w:val="baseline"/>
        <w:rPr>
          <w:noProof/>
          <w:szCs w:val="24"/>
          <w:u w:val="single"/>
        </w:rPr>
      </w:pPr>
      <w:r>
        <w:rPr>
          <w:rStyle w:val="normaltextrun"/>
          <w:b/>
          <w:noProof/>
          <w:szCs w:val="24"/>
          <w:u w:val="single"/>
        </w:rPr>
        <w:t xml:space="preserve">I.3. </w:t>
      </w:r>
      <w:r>
        <w:rPr>
          <w:noProof/>
          <w:szCs w:val="24"/>
          <w:u w:val="single"/>
        </w:rPr>
        <w:t xml:space="preserve"> </w:t>
      </w:r>
      <w:r>
        <w:rPr>
          <w:rStyle w:val="normaltextrun"/>
          <w:b/>
          <w:noProof/>
          <w:szCs w:val="24"/>
          <w:u w:val="single"/>
        </w:rPr>
        <w:t xml:space="preserve">Description des réformes et des investissements pour le prêt </w:t>
      </w:r>
    </w:p>
    <w:p w14:paraId="76479F9F" w14:textId="4C364D61" w:rsidR="00553430" w:rsidRDefault="00212577">
      <w:pPr>
        <w:pStyle w:val="paragraph"/>
        <w:spacing w:before="0" w:beforeAutospacing="0" w:after="0" w:afterAutospacing="0"/>
        <w:ind w:left="840"/>
        <w:jc w:val="both"/>
        <w:textAlignment w:val="baseline"/>
        <w:rPr>
          <w:rStyle w:val="eop"/>
          <w:noProof/>
          <w:szCs w:val="24"/>
        </w:rPr>
      </w:pPr>
      <w:r>
        <w:rPr>
          <w:rStyle w:val="normaltextrun"/>
          <w:noProof/>
          <w:szCs w:val="24"/>
        </w:rPr>
        <w:t xml:space="preserve"> </w:t>
      </w:r>
    </w:p>
    <w:p w14:paraId="34C39D42" w14:textId="77777777" w:rsidR="00553430" w:rsidRDefault="00212577">
      <w:pPr>
        <w:pStyle w:val="P68B1DB1-Normal42"/>
        <w:spacing w:line="240" w:lineRule="auto"/>
        <w:ind w:left="851"/>
        <w:jc w:val="both"/>
        <w:textAlignment w:val="baseline"/>
        <w:rPr>
          <w:noProof/>
        </w:rPr>
      </w:pPr>
      <w:r>
        <w:rPr>
          <w:noProof/>
        </w:rPr>
        <w:t>Investissement C2.3 R3-I17 - Établissement du Registre de la population, de la famille et des ménages</w:t>
      </w:r>
    </w:p>
    <w:p w14:paraId="4F74C89D" w14:textId="56B0DB45" w:rsidR="00553430" w:rsidRDefault="00212577">
      <w:pPr>
        <w:pStyle w:val="P68B1DB1-Normal33"/>
        <w:spacing w:line="240" w:lineRule="auto"/>
        <w:jc w:val="both"/>
        <w:rPr>
          <w:noProof/>
        </w:rPr>
      </w:pPr>
      <w:r>
        <w:rPr>
          <w:noProof/>
        </w:rPr>
        <w:t>L'objectif de cet investissement est d'établir le Registre de la population, de la famille</w:t>
      </w:r>
      <w:r>
        <w:rPr>
          <w:noProof/>
        </w:rPr>
        <w:t xml:space="preserve"> et des ménages (Croatie: Registar stanovništva, obitelji i kućanstva; désormais: SOK), afin d'unifier les données sur les revenus et les actifs de la population, des familles et des ménages. </w:t>
      </w:r>
    </w:p>
    <w:p w14:paraId="4E410E7E" w14:textId="77777777" w:rsidR="00553430" w:rsidRDefault="00212577">
      <w:pPr>
        <w:pStyle w:val="P68B1DB1-Normal33"/>
        <w:spacing w:line="240" w:lineRule="auto"/>
        <w:jc w:val="both"/>
        <w:rPr>
          <w:noProof/>
          <w:u w:val="single"/>
        </w:rPr>
      </w:pPr>
      <w:r>
        <w:rPr>
          <w:noProof/>
        </w:rPr>
        <w:t xml:space="preserve">La mesure consiste en l'entrée en vigueur d'une loi instituant </w:t>
      </w:r>
      <w:r>
        <w:rPr>
          <w:noProof/>
        </w:rPr>
        <w:t>la SOK.</w:t>
      </w:r>
    </w:p>
    <w:p w14:paraId="30D5E159" w14:textId="77777777" w:rsidR="00553430" w:rsidRDefault="00553430">
      <w:pPr>
        <w:spacing w:line="240" w:lineRule="auto"/>
        <w:jc w:val="both"/>
        <w:rPr>
          <w:rFonts w:ascii="Times New Roman" w:eastAsia="Calibri" w:hAnsi="Times New Roman" w:cs="Times New Roman"/>
          <w:noProof/>
          <w:sz w:val="24"/>
          <w:szCs w:val="24"/>
        </w:rPr>
      </w:pPr>
    </w:p>
    <w:p w14:paraId="1832EA8D" w14:textId="77777777" w:rsidR="00553430" w:rsidRDefault="00553430">
      <w:pPr>
        <w:pStyle w:val="paragraph"/>
        <w:spacing w:before="0" w:beforeAutospacing="0" w:after="0" w:afterAutospacing="0"/>
        <w:ind w:left="840"/>
        <w:jc w:val="both"/>
        <w:textAlignment w:val="baseline"/>
        <w:rPr>
          <w:rFonts w:ascii="Segoe UI" w:hAnsi="Segoe UI" w:cs="Segoe UI"/>
          <w:noProof/>
          <w:sz w:val="18"/>
          <w:szCs w:val="18"/>
        </w:rPr>
      </w:pPr>
    </w:p>
    <w:p w14:paraId="745CE72E" w14:textId="77777777" w:rsidR="00553430" w:rsidRDefault="00553430">
      <w:pPr>
        <w:pStyle w:val="paragraph"/>
        <w:spacing w:before="0" w:beforeAutospacing="0" w:after="0" w:afterAutospacing="0"/>
        <w:ind w:left="840"/>
        <w:jc w:val="both"/>
        <w:textAlignment w:val="baseline"/>
        <w:rPr>
          <w:rStyle w:val="normaltextrun"/>
          <w:b/>
          <w:bCs/>
          <w:noProof/>
        </w:rPr>
        <w:sectPr w:rsidR="00553430" w:rsidSect="00FA29B2">
          <w:headerReference w:type="even" r:id="rId183"/>
          <w:headerReference w:type="default" r:id="rId184"/>
          <w:footerReference w:type="even" r:id="rId185"/>
          <w:footerReference w:type="default" r:id="rId186"/>
          <w:headerReference w:type="first" r:id="rId187"/>
          <w:footerReference w:type="first" r:id="rId188"/>
          <w:pgSz w:w="11907" w:h="16839"/>
          <w:pgMar w:top="1134" w:right="1134" w:bottom="1134" w:left="1134" w:header="567" w:footer="567" w:gutter="0"/>
          <w:cols w:space="708"/>
          <w:docGrid w:linePitch="360"/>
        </w:sectPr>
      </w:pPr>
    </w:p>
    <w:p w14:paraId="2B1DC640" w14:textId="64BD421C" w:rsidR="00553430" w:rsidRDefault="00212577">
      <w:pPr>
        <w:pStyle w:val="paragraph"/>
        <w:spacing w:before="0" w:beforeAutospacing="0" w:after="0" w:afterAutospacing="0"/>
        <w:ind w:left="840"/>
        <w:jc w:val="both"/>
        <w:textAlignment w:val="baseline"/>
        <w:rPr>
          <w:rFonts w:ascii="Segoe UI" w:hAnsi="Segoe UI" w:cs="Segoe UI"/>
          <w:noProof/>
          <w:sz w:val="18"/>
          <w:szCs w:val="18"/>
          <w:u w:val="single"/>
        </w:rPr>
      </w:pPr>
      <w:r>
        <w:rPr>
          <w:rStyle w:val="normaltextrun"/>
          <w:b/>
          <w:noProof/>
          <w:u w:val="single"/>
        </w:rPr>
        <w:t xml:space="preserve">I.4. Étapes, objectifs, indicateurs et calendrier du suivi et de la mise en œuvre du prêt </w:t>
      </w:r>
    </w:p>
    <w:p w14:paraId="304B4684" w14:textId="77777777" w:rsidR="00553430" w:rsidRDefault="00553430">
      <w:pPr>
        <w:pStyle w:val="paragraph"/>
        <w:spacing w:before="0" w:beforeAutospacing="0" w:after="0" w:afterAutospacing="0"/>
        <w:ind w:left="840"/>
        <w:jc w:val="both"/>
        <w:rPr>
          <w:rStyle w:val="eop"/>
          <w:noProof/>
          <w:color w:val="4F81BD"/>
          <w:u w:val="single"/>
        </w:rPr>
      </w:pPr>
    </w:p>
    <w:tbl>
      <w:tblPr>
        <w:tblW w:w="15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5"/>
        <w:gridCol w:w="1143"/>
        <w:gridCol w:w="1017"/>
        <w:gridCol w:w="2008"/>
        <w:gridCol w:w="1954"/>
        <w:gridCol w:w="1096"/>
        <w:gridCol w:w="852"/>
        <w:gridCol w:w="958"/>
        <w:gridCol w:w="516"/>
        <w:gridCol w:w="616"/>
        <w:gridCol w:w="4430"/>
      </w:tblGrid>
      <w:tr w:rsidR="00553430" w14:paraId="116D76A2" w14:textId="77777777">
        <w:trPr>
          <w:trHeight w:val="300"/>
          <w:tblHeader/>
          <w:jc w:val="center"/>
        </w:trPr>
        <w:tc>
          <w:tcPr>
            <w:tcW w:w="835" w:type="dxa"/>
            <w:vMerge w:val="restart"/>
            <w:shd w:val="clear" w:color="auto" w:fill="BDD7EE"/>
            <w:vAlign w:val="center"/>
            <w:hideMark/>
          </w:tcPr>
          <w:p w14:paraId="52DCF172" w14:textId="77777777" w:rsidR="00553430" w:rsidRDefault="00212577">
            <w:pPr>
              <w:pStyle w:val="P68B1DB1-Normal58"/>
              <w:spacing w:after="0" w:line="276" w:lineRule="auto"/>
              <w:jc w:val="center"/>
              <w:rPr>
                <w:bCs/>
                <w:noProof/>
              </w:rPr>
            </w:pPr>
            <w:r>
              <w:rPr>
                <w:noProof/>
              </w:rPr>
              <w:t>Numéro</w:t>
            </w:r>
          </w:p>
        </w:tc>
        <w:tc>
          <w:tcPr>
            <w:tcW w:w="1143" w:type="dxa"/>
            <w:vMerge w:val="restart"/>
            <w:shd w:val="clear" w:color="auto" w:fill="BDD7EE"/>
            <w:vAlign w:val="center"/>
            <w:hideMark/>
          </w:tcPr>
          <w:p w14:paraId="012784CD" w14:textId="77777777" w:rsidR="00553430" w:rsidRDefault="00212577">
            <w:pPr>
              <w:pStyle w:val="P68B1DB1-Normal58"/>
              <w:spacing w:after="0" w:line="276" w:lineRule="auto"/>
              <w:jc w:val="center"/>
              <w:rPr>
                <w:noProof/>
              </w:rPr>
            </w:pPr>
            <w:r>
              <w:rPr>
                <w:noProof/>
              </w:rPr>
              <w:t>Mesure</w:t>
            </w:r>
          </w:p>
        </w:tc>
        <w:tc>
          <w:tcPr>
            <w:tcW w:w="1017" w:type="dxa"/>
            <w:vMerge w:val="restart"/>
            <w:shd w:val="clear" w:color="auto" w:fill="BDD7EE"/>
            <w:vAlign w:val="center"/>
            <w:hideMark/>
          </w:tcPr>
          <w:p w14:paraId="641E4C8A" w14:textId="77777777" w:rsidR="00553430" w:rsidRDefault="00212577">
            <w:pPr>
              <w:pStyle w:val="P68B1DB1-Normal58"/>
              <w:spacing w:after="0" w:line="276" w:lineRule="auto"/>
              <w:jc w:val="center"/>
              <w:rPr>
                <w:noProof/>
              </w:rPr>
            </w:pPr>
            <w:r>
              <w:rPr>
                <w:noProof/>
              </w:rPr>
              <w:t>Étape/cible</w:t>
            </w:r>
          </w:p>
        </w:tc>
        <w:tc>
          <w:tcPr>
            <w:tcW w:w="2008" w:type="dxa"/>
            <w:vMerge w:val="restart"/>
            <w:shd w:val="clear" w:color="auto" w:fill="BDD7EE"/>
            <w:vAlign w:val="center"/>
            <w:hideMark/>
          </w:tcPr>
          <w:p w14:paraId="796B4071" w14:textId="77777777" w:rsidR="00553430" w:rsidRDefault="00212577">
            <w:pPr>
              <w:pStyle w:val="P68B1DB1-Normal58"/>
              <w:spacing w:after="0" w:line="276" w:lineRule="auto"/>
              <w:jc w:val="center"/>
              <w:rPr>
                <w:noProof/>
              </w:rPr>
            </w:pPr>
            <w:r>
              <w:rPr>
                <w:noProof/>
              </w:rPr>
              <w:t>Nom</w:t>
            </w:r>
          </w:p>
        </w:tc>
        <w:tc>
          <w:tcPr>
            <w:tcW w:w="1954" w:type="dxa"/>
            <w:vMerge w:val="restart"/>
            <w:shd w:val="clear" w:color="auto" w:fill="BDD7EE"/>
            <w:vAlign w:val="center"/>
            <w:hideMark/>
          </w:tcPr>
          <w:p w14:paraId="22943374" w14:textId="77777777" w:rsidR="00553430" w:rsidRDefault="00212577">
            <w:pPr>
              <w:pStyle w:val="P68B1DB1-Normal58"/>
              <w:spacing w:after="0" w:line="276" w:lineRule="auto"/>
              <w:jc w:val="center"/>
              <w:rPr>
                <w:noProof/>
              </w:rPr>
            </w:pPr>
            <w:r>
              <w:rPr>
                <w:noProof/>
              </w:rPr>
              <w:t xml:space="preserve">Indicateurs qualitatifs </w:t>
            </w:r>
            <w:r>
              <w:rPr>
                <w:noProof/>
              </w:rPr>
              <w:br/>
              <w:t>(pour les jalons)</w:t>
            </w:r>
          </w:p>
        </w:tc>
        <w:tc>
          <w:tcPr>
            <w:tcW w:w="2879" w:type="dxa"/>
            <w:gridSpan w:val="3"/>
            <w:shd w:val="clear" w:color="auto" w:fill="BDD7EE"/>
            <w:vAlign w:val="center"/>
            <w:hideMark/>
          </w:tcPr>
          <w:p w14:paraId="2A869B1F" w14:textId="77777777" w:rsidR="00553430" w:rsidRDefault="00212577">
            <w:pPr>
              <w:pStyle w:val="P68B1DB1-Normal58"/>
              <w:spacing w:after="0" w:line="276" w:lineRule="auto"/>
              <w:jc w:val="center"/>
              <w:rPr>
                <w:noProof/>
              </w:rPr>
            </w:pPr>
            <w:r>
              <w:rPr>
                <w:noProof/>
              </w:rPr>
              <w:t xml:space="preserve">Indicateurs quantitatifs </w:t>
            </w:r>
            <w:r>
              <w:rPr>
                <w:noProof/>
              </w:rPr>
              <w:br/>
              <w:t>(pour les objectifs)</w:t>
            </w:r>
          </w:p>
        </w:tc>
        <w:tc>
          <w:tcPr>
            <w:tcW w:w="1132" w:type="dxa"/>
            <w:gridSpan w:val="2"/>
            <w:shd w:val="clear" w:color="auto" w:fill="BDD7EE"/>
            <w:vAlign w:val="center"/>
            <w:hideMark/>
          </w:tcPr>
          <w:p w14:paraId="08F9ADA9" w14:textId="77777777" w:rsidR="00553430" w:rsidRDefault="00212577">
            <w:pPr>
              <w:pStyle w:val="P68B1DB1-Normal58"/>
              <w:spacing w:after="0" w:line="276" w:lineRule="auto"/>
              <w:jc w:val="center"/>
              <w:rPr>
                <w:noProof/>
              </w:rPr>
            </w:pPr>
            <w:r>
              <w:rPr>
                <w:noProof/>
              </w:rPr>
              <w:t>Temps</w:t>
            </w:r>
          </w:p>
        </w:tc>
        <w:tc>
          <w:tcPr>
            <w:tcW w:w="4430" w:type="dxa"/>
            <w:vMerge w:val="restart"/>
            <w:shd w:val="clear" w:color="auto" w:fill="BDD7EE"/>
            <w:vAlign w:val="center"/>
            <w:hideMark/>
          </w:tcPr>
          <w:p w14:paraId="6D87E51D" w14:textId="77777777" w:rsidR="00553430" w:rsidRDefault="00212577">
            <w:pPr>
              <w:pStyle w:val="P68B1DB1-Normal58"/>
              <w:spacing w:after="0" w:line="276" w:lineRule="auto"/>
              <w:jc w:val="center"/>
              <w:rPr>
                <w:noProof/>
              </w:rPr>
            </w:pPr>
            <w:r>
              <w:rPr>
                <w:noProof/>
              </w:rPr>
              <w:t>Description de chaque jalon et cible</w:t>
            </w:r>
          </w:p>
        </w:tc>
      </w:tr>
      <w:tr w:rsidR="00553430" w14:paraId="760E5E0D" w14:textId="77777777">
        <w:trPr>
          <w:trHeight w:val="300"/>
          <w:tblHeader/>
          <w:jc w:val="center"/>
        </w:trPr>
        <w:tc>
          <w:tcPr>
            <w:tcW w:w="835" w:type="dxa"/>
            <w:vMerge/>
            <w:hideMark/>
          </w:tcPr>
          <w:p w14:paraId="2F6CEA50"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143" w:type="dxa"/>
            <w:vMerge/>
            <w:hideMark/>
          </w:tcPr>
          <w:p w14:paraId="0065C127"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17" w:type="dxa"/>
            <w:vMerge/>
            <w:hideMark/>
          </w:tcPr>
          <w:p w14:paraId="5AAFB096"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2008" w:type="dxa"/>
            <w:vMerge/>
            <w:hideMark/>
          </w:tcPr>
          <w:p w14:paraId="211645E9" w14:textId="77777777" w:rsidR="00553430" w:rsidRDefault="00553430">
            <w:pPr>
              <w:spacing w:after="0" w:line="276" w:lineRule="auto"/>
              <w:rPr>
                <w:rFonts w:ascii="Times New Roman" w:eastAsia="Times New Roman" w:hAnsi="Times New Roman" w:cs="Times New Roman"/>
                <w:b/>
                <w:noProof/>
                <w:sz w:val="20"/>
                <w:szCs w:val="20"/>
              </w:rPr>
            </w:pPr>
          </w:p>
        </w:tc>
        <w:tc>
          <w:tcPr>
            <w:tcW w:w="1954" w:type="dxa"/>
            <w:vMerge/>
            <w:hideMark/>
          </w:tcPr>
          <w:p w14:paraId="6E84AE38" w14:textId="77777777" w:rsidR="00553430" w:rsidRDefault="00553430">
            <w:pPr>
              <w:spacing w:after="0" w:line="276" w:lineRule="auto"/>
              <w:rPr>
                <w:rFonts w:ascii="Times New Roman" w:eastAsia="Times New Roman" w:hAnsi="Times New Roman" w:cs="Times New Roman"/>
                <w:b/>
                <w:noProof/>
                <w:sz w:val="20"/>
                <w:szCs w:val="20"/>
              </w:rPr>
            </w:pPr>
          </w:p>
        </w:tc>
        <w:tc>
          <w:tcPr>
            <w:tcW w:w="1096" w:type="dxa"/>
            <w:shd w:val="clear" w:color="auto" w:fill="BDD7EE"/>
            <w:hideMark/>
          </w:tcPr>
          <w:p w14:paraId="731C8B7C" w14:textId="77777777" w:rsidR="00553430" w:rsidRDefault="00212577">
            <w:pPr>
              <w:pStyle w:val="P68B1DB1-Normal58"/>
              <w:spacing w:after="0" w:line="276" w:lineRule="auto"/>
              <w:jc w:val="center"/>
              <w:rPr>
                <w:noProof/>
              </w:rPr>
            </w:pPr>
            <w:r>
              <w:rPr>
                <w:noProof/>
              </w:rPr>
              <w:t>Unité</w:t>
            </w:r>
          </w:p>
        </w:tc>
        <w:tc>
          <w:tcPr>
            <w:tcW w:w="825" w:type="dxa"/>
            <w:shd w:val="clear" w:color="auto" w:fill="BDD7EE"/>
            <w:hideMark/>
          </w:tcPr>
          <w:p w14:paraId="291FF8AD" w14:textId="77777777" w:rsidR="00553430" w:rsidRDefault="00212577">
            <w:pPr>
              <w:pStyle w:val="P68B1DB1-Normal58"/>
              <w:spacing w:after="0" w:line="276" w:lineRule="auto"/>
              <w:jc w:val="center"/>
              <w:rPr>
                <w:noProof/>
              </w:rPr>
            </w:pPr>
            <w:r>
              <w:rPr>
                <w:noProof/>
              </w:rPr>
              <w:t>Données de référence</w:t>
            </w:r>
          </w:p>
        </w:tc>
        <w:tc>
          <w:tcPr>
            <w:tcW w:w="958" w:type="dxa"/>
            <w:shd w:val="clear" w:color="auto" w:fill="BDD7EE"/>
            <w:hideMark/>
          </w:tcPr>
          <w:p w14:paraId="4A93DC97" w14:textId="77777777" w:rsidR="00553430" w:rsidRDefault="00212577">
            <w:pPr>
              <w:pStyle w:val="P68B1DB1-Normal58"/>
              <w:spacing w:after="0" w:line="276" w:lineRule="auto"/>
              <w:jc w:val="center"/>
              <w:rPr>
                <w:noProof/>
              </w:rPr>
            </w:pPr>
            <w:r>
              <w:rPr>
                <w:noProof/>
              </w:rPr>
              <w:t>Objectif</w:t>
            </w:r>
          </w:p>
        </w:tc>
        <w:tc>
          <w:tcPr>
            <w:tcW w:w="516" w:type="dxa"/>
            <w:shd w:val="clear" w:color="auto" w:fill="BDD7EE"/>
            <w:hideMark/>
          </w:tcPr>
          <w:p w14:paraId="25825B3B" w14:textId="77777777" w:rsidR="00553430" w:rsidRDefault="00212577">
            <w:pPr>
              <w:pStyle w:val="P68B1DB1-Normal58"/>
              <w:spacing w:after="0" w:line="276" w:lineRule="auto"/>
              <w:jc w:val="center"/>
              <w:rPr>
                <w:noProof/>
              </w:rPr>
            </w:pPr>
            <w:r>
              <w:rPr>
                <w:noProof/>
              </w:rPr>
              <w:t>Q</w:t>
            </w:r>
          </w:p>
        </w:tc>
        <w:tc>
          <w:tcPr>
            <w:tcW w:w="616" w:type="dxa"/>
            <w:shd w:val="clear" w:color="auto" w:fill="BDD7EE"/>
            <w:hideMark/>
          </w:tcPr>
          <w:p w14:paraId="14F2C020" w14:textId="77777777" w:rsidR="00553430" w:rsidRDefault="00212577">
            <w:pPr>
              <w:pStyle w:val="P68B1DB1-Normal58"/>
              <w:spacing w:after="0" w:line="276" w:lineRule="auto"/>
              <w:jc w:val="center"/>
              <w:rPr>
                <w:noProof/>
              </w:rPr>
            </w:pPr>
            <w:r>
              <w:rPr>
                <w:noProof/>
              </w:rPr>
              <w:t>Année</w:t>
            </w:r>
          </w:p>
        </w:tc>
        <w:tc>
          <w:tcPr>
            <w:tcW w:w="4430" w:type="dxa"/>
            <w:vMerge/>
            <w:hideMark/>
          </w:tcPr>
          <w:p w14:paraId="3FC14F5C"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63704AEA" w14:textId="77777777">
        <w:trPr>
          <w:trHeight w:val="300"/>
          <w:jc w:val="center"/>
        </w:trPr>
        <w:tc>
          <w:tcPr>
            <w:tcW w:w="835" w:type="dxa"/>
            <w:shd w:val="clear" w:color="auto" w:fill="C6EFCE"/>
            <w:noWrap/>
          </w:tcPr>
          <w:p w14:paraId="203B0C90" w14:textId="77777777" w:rsidR="00553430" w:rsidRDefault="00212577">
            <w:pPr>
              <w:pStyle w:val="P68B1DB1-Normal66"/>
              <w:spacing w:after="0" w:line="276" w:lineRule="auto"/>
              <w:jc w:val="center"/>
              <w:rPr>
                <w:noProof/>
              </w:rPr>
            </w:pPr>
            <w:r>
              <w:rPr>
                <w:noProof/>
              </w:rPr>
              <w:t>394</w:t>
            </w:r>
          </w:p>
        </w:tc>
        <w:tc>
          <w:tcPr>
            <w:tcW w:w="1143" w:type="dxa"/>
            <w:shd w:val="clear" w:color="auto" w:fill="C6EFCE"/>
            <w:noWrap/>
          </w:tcPr>
          <w:p w14:paraId="145DC343" w14:textId="77777777" w:rsidR="00553430" w:rsidRDefault="00212577">
            <w:pPr>
              <w:pStyle w:val="P68B1DB1-Normal66"/>
              <w:spacing w:after="200" w:line="276" w:lineRule="auto"/>
              <w:jc w:val="center"/>
              <w:rPr>
                <w:noProof/>
              </w:rPr>
            </w:pPr>
            <w:r>
              <w:rPr>
                <w:noProof/>
              </w:rPr>
              <w:t>C2.3 R3- I17</w:t>
            </w:r>
          </w:p>
        </w:tc>
        <w:tc>
          <w:tcPr>
            <w:tcW w:w="1017" w:type="dxa"/>
            <w:shd w:val="clear" w:color="auto" w:fill="C6EFCE"/>
            <w:noWrap/>
          </w:tcPr>
          <w:p w14:paraId="6C1897BC" w14:textId="77777777" w:rsidR="00553430" w:rsidRDefault="00212577">
            <w:pPr>
              <w:pStyle w:val="P68B1DB1-Normal66"/>
              <w:spacing w:after="200" w:line="276" w:lineRule="auto"/>
              <w:jc w:val="center"/>
              <w:rPr>
                <w:noProof/>
              </w:rPr>
            </w:pPr>
            <w:r>
              <w:rPr>
                <w:noProof/>
              </w:rPr>
              <w:t>M</w:t>
            </w:r>
          </w:p>
        </w:tc>
        <w:tc>
          <w:tcPr>
            <w:tcW w:w="2008" w:type="dxa"/>
            <w:shd w:val="clear" w:color="auto" w:fill="C6EFCE"/>
            <w:noWrap/>
          </w:tcPr>
          <w:p w14:paraId="0682028F" w14:textId="77777777" w:rsidR="00553430" w:rsidRDefault="00212577">
            <w:pPr>
              <w:pStyle w:val="P68B1DB1-Normal66"/>
              <w:spacing w:after="200" w:line="276" w:lineRule="auto"/>
              <w:rPr>
                <w:noProof/>
              </w:rPr>
            </w:pPr>
            <w:r>
              <w:rPr>
                <w:noProof/>
              </w:rPr>
              <w:t xml:space="preserve">Loi portant création du Registre de la population, de la famille et des ménages (SOK) </w:t>
            </w:r>
          </w:p>
        </w:tc>
        <w:tc>
          <w:tcPr>
            <w:tcW w:w="1954" w:type="dxa"/>
            <w:shd w:val="clear" w:color="auto" w:fill="C6EFCE"/>
            <w:noWrap/>
          </w:tcPr>
          <w:p w14:paraId="44A8D3C8" w14:textId="77777777" w:rsidR="00553430" w:rsidRDefault="00212577">
            <w:pPr>
              <w:pStyle w:val="P68B1DB1-Normal66"/>
              <w:spacing w:after="200" w:line="276" w:lineRule="auto"/>
              <w:rPr>
                <w:noProof/>
              </w:rPr>
            </w:pPr>
            <w:r>
              <w:rPr>
                <w:noProof/>
              </w:rPr>
              <w:t xml:space="preserve">Entrée </w:t>
            </w:r>
            <w:r>
              <w:rPr>
                <w:noProof/>
              </w:rPr>
              <w:t>en vigueur de la loi</w:t>
            </w:r>
          </w:p>
        </w:tc>
        <w:tc>
          <w:tcPr>
            <w:tcW w:w="1096" w:type="dxa"/>
            <w:shd w:val="clear" w:color="auto" w:fill="C6EFCE"/>
            <w:noWrap/>
          </w:tcPr>
          <w:p w14:paraId="1BD18377"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825" w:type="dxa"/>
            <w:shd w:val="clear" w:color="auto" w:fill="C6EFCE"/>
            <w:noWrap/>
          </w:tcPr>
          <w:p w14:paraId="4FAD1D9C"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958" w:type="dxa"/>
            <w:shd w:val="clear" w:color="auto" w:fill="C6EFCE"/>
            <w:noWrap/>
          </w:tcPr>
          <w:p w14:paraId="3F55B80C"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516" w:type="dxa"/>
            <w:shd w:val="clear" w:color="auto" w:fill="C6EFCE"/>
            <w:noWrap/>
          </w:tcPr>
          <w:p w14:paraId="56827E0C" w14:textId="77777777" w:rsidR="00553430" w:rsidRDefault="00212577">
            <w:pPr>
              <w:pStyle w:val="P68B1DB1-Normal66"/>
              <w:spacing w:after="200" w:line="276" w:lineRule="auto"/>
              <w:jc w:val="center"/>
              <w:rPr>
                <w:noProof/>
              </w:rPr>
            </w:pPr>
            <w:r>
              <w:rPr>
                <w:noProof/>
              </w:rPr>
              <w:t>T4</w:t>
            </w:r>
          </w:p>
        </w:tc>
        <w:tc>
          <w:tcPr>
            <w:tcW w:w="616" w:type="dxa"/>
            <w:shd w:val="clear" w:color="auto" w:fill="C6EFCE"/>
            <w:noWrap/>
          </w:tcPr>
          <w:p w14:paraId="672A7C75" w14:textId="77777777" w:rsidR="00553430" w:rsidRDefault="00212577">
            <w:pPr>
              <w:pStyle w:val="P68B1DB1-Normal66"/>
              <w:spacing w:after="200" w:line="276" w:lineRule="auto"/>
              <w:jc w:val="center"/>
              <w:rPr>
                <w:noProof/>
              </w:rPr>
            </w:pPr>
            <w:r>
              <w:rPr>
                <w:noProof/>
              </w:rPr>
              <w:t>2025</w:t>
            </w:r>
          </w:p>
        </w:tc>
        <w:tc>
          <w:tcPr>
            <w:tcW w:w="4430" w:type="dxa"/>
            <w:shd w:val="clear" w:color="auto" w:fill="C6EFCE"/>
            <w:noWrap/>
          </w:tcPr>
          <w:p w14:paraId="63F57622" w14:textId="77777777" w:rsidR="00553430" w:rsidRDefault="00212577">
            <w:pPr>
              <w:pStyle w:val="P68B1DB1-Normal66"/>
              <w:spacing w:after="200" w:line="276" w:lineRule="auto"/>
              <w:rPr>
                <w:noProof/>
                <w:color w:val="000000" w:themeColor="text1"/>
              </w:rPr>
            </w:pPr>
            <w:r>
              <w:rPr>
                <w:noProof/>
              </w:rPr>
              <w:t>La loi portant création de la SOK entre en vigueur. La loi stipule que le SOK:</w:t>
            </w:r>
          </w:p>
          <w:p w14:paraId="5AC1EA30" w14:textId="77777777" w:rsidR="00553430" w:rsidRDefault="00212577">
            <w:pPr>
              <w:pStyle w:val="P68B1DB1-ListParagraph78"/>
              <w:numPr>
                <w:ilvl w:val="0"/>
                <w:numId w:val="64"/>
              </w:numPr>
              <w:spacing w:after="0" w:line="276" w:lineRule="auto"/>
              <w:ind w:left="352"/>
              <w:rPr>
                <w:noProof/>
                <w:color w:val="000000" w:themeColor="text1"/>
              </w:rPr>
            </w:pPr>
            <w:r>
              <w:rPr>
                <w:noProof/>
              </w:rPr>
              <w:t>unifier les procédures et les définitions utilisées pour évaluer les droits et obligations dépendant du revenu ou des actifs des individus, des f</w:t>
            </w:r>
            <w:r>
              <w:rPr>
                <w:noProof/>
              </w:rPr>
              <w:t>amilles ou des ménages.</w:t>
            </w:r>
          </w:p>
          <w:p w14:paraId="5C422C98" w14:textId="77777777" w:rsidR="00553430" w:rsidRDefault="00212577">
            <w:pPr>
              <w:pStyle w:val="P68B1DB1-ListParagraph78"/>
              <w:numPr>
                <w:ilvl w:val="0"/>
                <w:numId w:val="64"/>
              </w:numPr>
              <w:spacing w:after="0" w:line="276" w:lineRule="auto"/>
              <w:ind w:left="352"/>
              <w:rPr>
                <w:noProof/>
                <w:color w:val="000000" w:themeColor="text1"/>
              </w:rPr>
            </w:pPr>
            <w:r>
              <w:rPr>
                <w:noProof/>
              </w:rPr>
              <w:t>être connecté au système eTax.</w:t>
            </w:r>
          </w:p>
          <w:p w14:paraId="71B5B867" w14:textId="77777777" w:rsidR="00553430" w:rsidRDefault="00553430">
            <w:pPr>
              <w:spacing w:after="0" w:line="276" w:lineRule="auto"/>
              <w:rPr>
                <w:rFonts w:ascii="Times New Roman" w:eastAsia="Calibri" w:hAnsi="Times New Roman" w:cs="Times New Roman"/>
                <w:noProof/>
                <w:color w:val="000000" w:themeColor="text1"/>
                <w:sz w:val="20"/>
                <w:szCs w:val="20"/>
              </w:rPr>
            </w:pPr>
          </w:p>
        </w:tc>
      </w:tr>
    </w:tbl>
    <w:p w14:paraId="65F6EAD1" w14:textId="77777777" w:rsidR="00553430" w:rsidRDefault="00553430">
      <w:pPr>
        <w:pStyle w:val="paragraph"/>
        <w:spacing w:before="0" w:beforeAutospacing="0" w:after="0" w:afterAutospacing="0"/>
        <w:ind w:left="840"/>
        <w:jc w:val="both"/>
        <w:rPr>
          <w:rStyle w:val="eop"/>
          <w:noProof/>
          <w:color w:val="4F81BD"/>
        </w:rPr>
      </w:pPr>
    </w:p>
    <w:p w14:paraId="4C9B3EC6" w14:textId="77777777" w:rsidR="00553430" w:rsidRDefault="00553430">
      <w:pPr>
        <w:pStyle w:val="paragraph"/>
        <w:spacing w:before="0" w:beforeAutospacing="0" w:after="0" w:afterAutospacing="0"/>
        <w:ind w:left="840"/>
        <w:jc w:val="both"/>
        <w:rPr>
          <w:rStyle w:val="eop"/>
          <w:noProof/>
          <w:color w:val="4F81BD"/>
        </w:rPr>
      </w:pPr>
    </w:p>
    <w:p w14:paraId="7AC40C84" w14:textId="77777777" w:rsidR="00553430" w:rsidRDefault="00212577">
      <w:pPr>
        <w:pStyle w:val="paragraph"/>
        <w:spacing w:before="0" w:beforeAutospacing="0" w:after="0" w:afterAutospacing="0"/>
        <w:jc w:val="both"/>
        <w:textAlignment w:val="baseline"/>
        <w:rPr>
          <w:rFonts w:ascii="Segoe UI" w:hAnsi="Segoe UI" w:cs="Segoe UI"/>
          <w:noProof/>
          <w:sz w:val="18"/>
          <w:szCs w:val="18"/>
        </w:rPr>
      </w:pPr>
      <w:r>
        <w:rPr>
          <w:rStyle w:val="eop"/>
          <w:noProof/>
        </w:rPr>
        <w:t> </w:t>
      </w:r>
    </w:p>
    <w:p w14:paraId="4E2114F2" w14:textId="77777777" w:rsidR="00553430" w:rsidRDefault="00553430">
      <w:pPr>
        <w:pStyle w:val="paragraph"/>
        <w:spacing w:before="0" w:beforeAutospacing="0" w:after="0" w:afterAutospacing="0"/>
        <w:jc w:val="both"/>
        <w:textAlignment w:val="baseline"/>
        <w:rPr>
          <w:noProof/>
        </w:rPr>
      </w:pPr>
    </w:p>
    <w:p w14:paraId="662D5E74" w14:textId="77777777" w:rsidR="00553430" w:rsidRDefault="00553430">
      <w:pPr>
        <w:keepNext/>
        <w:tabs>
          <w:tab w:val="left" w:pos="850"/>
        </w:tabs>
        <w:spacing w:before="360" w:line="240" w:lineRule="auto"/>
        <w:ind w:left="850" w:hanging="850"/>
        <w:jc w:val="both"/>
        <w:outlineLvl w:val="0"/>
        <w:rPr>
          <w:rFonts w:eastAsia="Calibri"/>
          <w:b/>
          <w:smallCaps/>
          <w:noProof/>
          <w:szCs w:val="24"/>
        </w:rPr>
        <w:sectPr w:rsidR="00553430" w:rsidSect="00FA29B2">
          <w:headerReference w:type="even" r:id="rId189"/>
          <w:headerReference w:type="default" r:id="rId190"/>
          <w:footerReference w:type="even" r:id="rId191"/>
          <w:footerReference w:type="default" r:id="rId192"/>
          <w:headerReference w:type="first" r:id="rId193"/>
          <w:footerReference w:type="first" r:id="rId194"/>
          <w:pgSz w:w="16838" w:h="11906" w:orient="landscape"/>
          <w:pgMar w:top="1134" w:right="1134" w:bottom="1134" w:left="1134" w:header="567" w:footer="567" w:gutter="0"/>
          <w:cols w:space="708"/>
          <w:docGrid w:linePitch="360"/>
        </w:sectPr>
      </w:pPr>
    </w:p>
    <w:p w14:paraId="758D8079" w14:textId="77777777" w:rsidR="00553430" w:rsidRDefault="00212577">
      <w:pPr>
        <w:pStyle w:val="P68B1DB1-Normal120"/>
        <w:keepNext/>
        <w:tabs>
          <w:tab w:val="left" w:pos="850"/>
        </w:tabs>
        <w:spacing w:before="360" w:line="240" w:lineRule="auto"/>
        <w:ind w:left="850" w:hanging="850"/>
        <w:jc w:val="both"/>
        <w:outlineLvl w:val="0"/>
        <w:rPr>
          <w:rFonts w:ascii="Times New Roman" w:eastAsia="Calibri" w:hAnsi="Times New Roman" w:cs="Times New Roman"/>
          <w:noProof/>
          <w:sz w:val="24"/>
        </w:rPr>
      </w:pPr>
      <w:r>
        <w:rPr>
          <w:rFonts w:eastAsia="Calibri"/>
          <w:noProof/>
        </w:rPr>
        <w:t>J</w:t>
      </w:r>
      <w:r>
        <w:rPr>
          <w:rFonts w:ascii="Times New Roman" w:eastAsia="Calibri" w:hAnsi="Times New Roman" w:cs="Times New Roman"/>
          <w:noProof/>
          <w:sz w:val="24"/>
        </w:rPr>
        <w:t>. ÉLÉMENT 2.4: AMÉLIORATION DE LA GESTION DES ACTIFS D'ÉTAT</w:t>
      </w:r>
    </w:p>
    <w:p w14:paraId="50869738" w14:textId="77777777" w:rsidR="00553430" w:rsidRDefault="00212577">
      <w:pPr>
        <w:pStyle w:val="P68B1DB1-Normal83"/>
        <w:spacing w:before="40" w:line="252" w:lineRule="auto"/>
        <w:jc w:val="both"/>
        <w:rPr>
          <w:noProof/>
        </w:rPr>
      </w:pPr>
      <w:r>
        <w:rPr>
          <w:noProof/>
        </w:rPr>
        <w:t xml:space="preserve">Les entreprises d’État détenues par le gouvernement génèrent environ </w:t>
      </w:r>
      <w:r>
        <w:rPr>
          <w:noProof/>
        </w:rPr>
        <w:t>7 % de la valeur ajoutée de l’ensemble de l’économie et représentent 4 % de l’emploi total. Compte tenu de leur rôle important dans l’économie croate, l’amélioration de la gouvernance des entreprises publiques et la réduction continue du portefeuille d’act</w:t>
      </w:r>
      <w:r>
        <w:rPr>
          <w:noProof/>
        </w:rPr>
        <w:t xml:space="preserve">ifs publics peuvent entraîner une nette augmentation de la productivité globale. </w:t>
      </w:r>
    </w:p>
    <w:p w14:paraId="56642386" w14:textId="77777777" w:rsidR="00553430" w:rsidRDefault="00212577">
      <w:pPr>
        <w:pStyle w:val="P68B1DB1-Normal83"/>
        <w:spacing w:before="40" w:after="0"/>
        <w:jc w:val="both"/>
        <w:rPr>
          <w:noProof/>
        </w:rPr>
      </w:pPr>
      <w:r>
        <w:rPr>
          <w:noProof/>
        </w:rPr>
        <w:t>L’objectif du volet du plan croate pour la reprise et la résilience est de promouvoir le développement économique et d’accroître l’efficacité globale des entreprises publique</w:t>
      </w:r>
      <w:r>
        <w:rPr>
          <w:noProof/>
        </w:rPr>
        <w:t>s, au moyen des mesures suivantes:</w:t>
      </w:r>
    </w:p>
    <w:p w14:paraId="5AB39FE6" w14:textId="77777777" w:rsidR="00553430" w:rsidRDefault="00212577">
      <w:pPr>
        <w:pStyle w:val="P68B1DB1-Normal83"/>
        <w:numPr>
          <w:ilvl w:val="0"/>
          <w:numId w:val="65"/>
        </w:numPr>
        <w:tabs>
          <w:tab w:val="left" w:pos="426"/>
        </w:tabs>
        <w:spacing w:before="120" w:after="0" w:line="276" w:lineRule="auto"/>
        <w:ind w:left="714" w:hanging="357"/>
        <w:jc w:val="both"/>
        <w:rPr>
          <w:noProof/>
        </w:rPr>
      </w:pPr>
      <w:r>
        <w:rPr>
          <w:noProof/>
        </w:rPr>
        <w:t>Réduire encore le nombre d'entreprises publiques.</w:t>
      </w:r>
    </w:p>
    <w:p w14:paraId="380A1AB0" w14:textId="77777777" w:rsidR="00553430" w:rsidRDefault="00212577">
      <w:pPr>
        <w:pStyle w:val="P68B1DB1-Normal83"/>
        <w:numPr>
          <w:ilvl w:val="0"/>
          <w:numId w:val="65"/>
        </w:numPr>
        <w:tabs>
          <w:tab w:val="left" w:pos="426"/>
        </w:tabs>
        <w:spacing w:before="120" w:after="0" w:line="276" w:lineRule="auto"/>
        <w:ind w:left="714" w:hanging="357"/>
        <w:jc w:val="both"/>
        <w:rPr>
          <w:noProof/>
        </w:rPr>
      </w:pPr>
      <w:r>
        <w:rPr>
          <w:noProof/>
        </w:rPr>
        <w:t>Améliorer la gestion des biens de l'État.</w:t>
      </w:r>
    </w:p>
    <w:p w14:paraId="76AEAD7F" w14:textId="77777777" w:rsidR="00553430" w:rsidRDefault="00212577">
      <w:pPr>
        <w:pStyle w:val="P68B1DB1-Normal83"/>
        <w:numPr>
          <w:ilvl w:val="0"/>
          <w:numId w:val="65"/>
        </w:numPr>
        <w:tabs>
          <w:tab w:val="left" w:pos="426"/>
        </w:tabs>
        <w:spacing w:before="120" w:after="0" w:line="276" w:lineRule="auto"/>
        <w:ind w:left="714" w:hanging="357"/>
        <w:jc w:val="both"/>
        <w:rPr>
          <w:bCs/>
          <w:noProof/>
        </w:rPr>
      </w:pPr>
      <w:r>
        <w:rPr>
          <w:noProof/>
        </w:rPr>
        <w:t>Adapter le cadre réglementaire national pour la gouvernance d'entreprise aux meilleures pratiques internationales fondées sur les</w:t>
      </w:r>
      <w:r>
        <w:rPr>
          <w:noProof/>
        </w:rPr>
        <w:t xml:space="preserve"> recommandations de l'OCDE.</w:t>
      </w:r>
    </w:p>
    <w:p w14:paraId="2642DFFE" w14:textId="77777777" w:rsidR="00553430" w:rsidRDefault="00212577">
      <w:pPr>
        <w:pStyle w:val="P68B1DB1-Normal46"/>
        <w:numPr>
          <w:ilvl w:val="0"/>
          <w:numId w:val="65"/>
        </w:numPr>
        <w:tabs>
          <w:tab w:val="left" w:pos="426"/>
        </w:tabs>
        <w:spacing w:before="120" w:after="0" w:line="276" w:lineRule="auto"/>
        <w:ind w:left="714" w:hanging="357"/>
        <w:jc w:val="both"/>
        <w:rPr>
          <w:rFonts w:eastAsia="Times New Roman"/>
          <w:noProof/>
        </w:rPr>
      </w:pPr>
      <w:r>
        <w:rPr>
          <w:noProof/>
        </w:rPr>
        <w:t>Améliorer la gouvernance des entreprises publiques présentant un intérêt particulier pour la République de Croatie et des entreprises détenues majoritairement par le gouvernement central et renforcer la coordination entre les au</w:t>
      </w:r>
      <w:r>
        <w:rPr>
          <w:noProof/>
        </w:rPr>
        <w:t xml:space="preserve">torités nationales compétentes. </w:t>
      </w:r>
    </w:p>
    <w:p w14:paraId="6E97DAAD" w14:textId="77777777" w:rsidR="00553430" w:rsidRDefault="00212577">
      <w:pPr>
        <w:pStyle w:val="P68B1DB1-Normal83"/>
        <w:numPr>
          <w:ilvl w:val="0"/>
          <w:numId w:val="65"/>
        </w:numPr>
        <w:tabs>
          <w:tab w:val="left" w:pos="426"/>
        </w:tabs>
        <w:spacing w:before="120" w:after="0" w:line="276" w:lineRule="auto"/>
        <w:ind w:left="714" w:hanging="357"/>
        <w:jc w:val="both"/>
        <w:rPr>
          <w:noProof/>
        </w:rPr>
      </w:pPr>
      <w:r>
        <w:rPr>
          <w:noProof/>
        </w:rPr>
        <w:t>Renforcer les capacités humaines de surveillance de la gouvernance d'entreprise dans les entreprises publiques.</w:t>
      </w:r>
    </w:p>
    <w:p w14:paraId="52AD2305" w14:textId="77777777" w:rsidR="00553430" w:rsidRDefault="00212577">
      <w:pPr>
        <w:pStyle w:val="P68B1DB1-Normal83"/>
        <w:spacing w:after="0"/>
        <w:jc w:val="both"/>
        <w:rPr>
          <w:noProof/>
        </w:rPr>
      </w:pPr>
      <w:r>
        <w:rPr>
          <w:noProof/>
        </w:rPr>
        <w:t>Le volet soutient la mise en œuvre des recommandations par pays sur l’amélioration de la gouvernance d’entrepri</w:t>
      </w:r>
      <w:r>
        <w:rPr>
          <w:noProof/>
        </w:rPr>
        <w:t>se des entreprises publiques et l’intensification de la vente d’entreprises publiques et d’actifs non productifs (recommandation par pays 4, 2019). Le volet contribue également aux engagements postérieurs à l’adhésion au MER II visant à renforcer la gestio</w:t>
      </w:r>
      <w:r>
        <w:rPr>
          <w:noProof/>
        </w:rPr>
        <w:t>n des entreprises publiques.</w:t>
      </w:r>
    </w:p>
    <w:p w14:paraId="5725608A" w14:textId="77777777" w:rsidR="00553430" w:rsidRDefault="00553430">
      <w:pPr>
        <w:spacing w:before="40" w:after="0"/>
        <w:jc w:val="both"/>
        <w:rPr>
          <w:rFonts w:ascii="Times New Roman" w:eastAsia="Times New Roman" w:hAnsi="Times New Roman" w:cs="Times New Roman"/>
          <w:bCs/>
          <w:noProof/>
          <w:sz w:val="24"/>
          <w:szCs w:val="24"/>
        </w:rPr>
      </w:pPr>
    </w:p>
    <w:p w14:paraId="4FF57349" w14:textId="77777777" w:rsidR="00553430" w:rsidRDefault="00212577">
      <w:pPr>
        <w:pStyle w:val="P68B1DB1-Normal57"/>
        <w:keepNext/>
        <w:spacing w:before="40" w:after="0"/>
        <w:ind w:left="851"/>
        <w:jc w:val="both"/>
        <w:outlineLvl w:val="1"/>
        <w:rPr>
          <w:noProof/>
        </w:rPr>
      </w:pPr>
      <w:r>
        <w:rPr>
          <w:noProof/>
        </w:rPr>
        <w:t xml:space="preserve">J.1. </w:t>
      </w:r>
      <w:r>
        <w:rPr>
          <w:noProof/>
        </w:rPr>
        <w:tab/>
        <w:t>Description des réformes et des investissements pour le soutien financier non remboursable</w:t>
      </w:r>
    </w:p>
    <w:p w14:paraId="1654999B" w14:textId="77777777" w:rsidR="00553430" w:rsidRDefault="00212577">
      <w:pPr>
        <w:pStyle w:val="P68B1DB1-Normal96"/>
        <w:keepNext/>
        <w:tabs>
          <w:tab w:val="num" w:pos="850"/>
        </w:tabs>
        <w:spacing w:before="240" w:after="0"/>
        <w:ind w:left="851"/>
        <w:jc w:val="both"/>
        <w:outlineLvl w:val="2"/>
        <w:rPr>
          <w:noProof/>
        </w:rPr>
      </w:pPr>
      <w:r>
        <w:rPr>
          <w:noProof/>
        </w:rPr>
        <w:t>Réforme C2.4 R1 – Révision de la liste des entreprises publiques présentant un intérêt particulier pour la Croatie</w:t>
      </w:r>
    </w:p>
    <w:p w14:paraId="469579DE" w14:textId="77777777" w:rsidR="00553430" w:rsidRDefault="00212577">
      <w:pPr>
        <w:pStyle w:val="P68B1DB1-Normal83"/>
        <w:spacing w:after="0"/>
        <w:jc w:val="both"/>
        <w:rPr>
          <w:noProof/>
        </w:rPr>
      </w:pPr>
      <w:r>
        <w:rPr>
          <w:noProof/>
        </w:rPr>
        <w:t xml:space="preserve">L’objectif de </w:t>
      </w:r>
      <w:r>
        <w:rPr>
          <w:noProof/>
        </w:rPr>
        <w:t>cette réforme est de rationaliser l’actionnariat de l’État en adoptant une nouvelle politique d’actionnariat fixant les critères applicables aux actifs stratégiques, en actualisant la liste des entreprises publiques qui présentent un intérêt particulier po</w:t>
      </w:r>
      <w:r>
        <w:rPr>
          <w:noProof/>
        </w:rPr>
        <w:t xml:space="preserve">ur la Croatie et en publiant l’explication justifiant la décision de maintenir une entreprise sur cette liste. </w:t>
      </w:r>
    </w:p>
    <w:p w14:paraId="6F711A14" w14:textId="77777777" w:rsidR="00553430" w:rsidRDefault="00212577">
      <w:pPr>
        <w:pStyle w:val="P68B1DB1-Normal83"/>
        <w:spacing w:before="40" w:after="0"/>
        <w:jc w:val="both"/>
        <w:rPr>
          <w:noProof/>
        </w:rPr>
      </w:pPr>
      <w:r>
        <w:rPr>
          <w:noProof/>
        </w:rPr>
        <w:t xml:space="preserve">La réforme est achevée au plus tard le 31 décembre 2021. </w:t>
      </w:r>
    </w:p>
    <w:p w14:paraId="610268B3" w14:textId="77777777" w:rsidR="00553430" w:rsidRDefault="00212577">
      <w:pPr>
        <w:pStyle w:val="P68B1DB1-Normal96"/>
        <w:keepNext/>
        <w:tabs>
          <w:tab w:val="num" w:pos="850"/>
        </w:tabs>
        <w:spacing w:before="240" w:after="0"/>
        <w:ind w:left="851"/>
        <w:jc w:val="both"/>
        <w:outlineLvl w:val="2"/>
        <w:rPr>
          <w:noProof/>
        </w:rPr>
      </w:pPr>
      <w:r>
        <w:rPr>
          <w:noProof/>
        </w:rPr>
        <w:t>Réforme C2.4 R2 – Améliorer la gouvernance d’entreprise dans les entreprises publiques</w:t>
      </w:r>
      <w:r>
        <w:rPr>
          <w:noProof/>
        </w:rPr>
        <w:t xml:space="preserve"> présentant un intérêt particulier pour la République de Croatie et dans les entreprises détenues majoritairement par l’administration centrale.</w:t>
      </w:r>
    </w:p>
    <w:p w14:paraId="3477898C" w14:textId="77777777" w:rsidR="00553430" w:rsidRDefault="00212577">
      <w:pPr>
        <w:pStyle w:val="P68B1DB1-Normal83"/>
        <w:spacing w:after="0"/>
        <w:jc w:val="both"/>
        <w:rPr>
          <w:noProof/>
        </w:rPr>
      </w:pPr>
      <w:r>
        <w:rPr>
          <w:noProof/>
        </w:rPr>
        <w:t>L'objectif de cette réforme est d'améliorer la gouvernance des entreprises publiques.</w:t>
      </w:r>
    </w:p>
    <w:p w14:paraId="68E496A0" w14:textId="77777777" w:rsidR="00553430" w:rsidRDefault="00212577">
      <w:pPr>
        <w:pStyle w:val="P68B1DB1-Normal83"/>
        <w:spacing w:before="40" w:after="0"/>
        <w:jc w:val="both"/>
        <w:rPr>
          <w:noProof/>
        </w:rPr>
      </w:pPr>
      <w:r>
        <w:rPr>
          <w:noProof/>
        </w:rPr>
        <w:t>La réforme consiste en la</w:t>
      </w:r>
      <w:r>
        <w:rPr>
          <w:noProof/>
        </w:rPr>
        <w:t xml:space="preserve"> disposition relative à l'entrée en vigueur d'un nouveau cadre juridique sur les entreprises publiques intégrant les recommandations de l'OCDE et l'entrée en vigueur d'une politique de propriété. </w:t>
      </w:r>
    </w:p>
    <w:p w14:paraId="24735F01" w14:textId="77777777" w:rsidR="00553430" w:rsidRDefault="00212577">
      <w:pPr>
        <w:pStyle w:val="P68B1DB1-Normal96"/>
        <w:keepNext/>
        <w:tabs>
          <w:tab w:val="num" w:pos="850"/>
        </w:tabs>
        <w:spacing w:before="240" w:after="0"/>
        <w:ind w:left="851"/>
        <w:jc w:val="both"/>
        <w:outlineLvl w:val="2"/>
        <w:rPr>
          <w:noProof/>
        </w:rPr>
      </w:pPr>
      <w:r>
        <w:rPr>
          <w:noProof/>
        </w:rPr>
        <w:t xml:space="preserve">Réforme C2.4 R3 – Renforcement des capacités humaines de </w:t>
      </w:r>
      <w:r>
        <w:rPr>
          <w:noProof/>
        </w:rPr>
        <w:t>contrôle de la gouvernance d’entreprise dans les entreprises publiques</w:t>
      </w:r>
    </w:p>
    <w:p w14:paraId="79106BE5" w14:textId="77777777" w:rsidR="00553430" w:rsidRDefault="00212577">
      <w:pPr>
        <w:pStyle w:val="P68B1DB1-Normal83"/>
        <w:spacing w:after="0"/>
        <w:jc w:val="both"/>
        <w:rPr>
          <w:noProof/>
        </w:rPr>
      </w:pPr>
      <w:r>
        <w:rPr>
          <w:noProof/>
        </w:rPr>
        <w:t>L'objectif de cette réforme est d'améliorer la capacité humaine du gouvernement central à surveiller la gouvernance des entreprises publiques.</w:t>
      </w:r>
    </w:p>
    <w:p w14:paraId="06083BC9" w14:textId="77777777" w:rsidR="00553430" w:rsidRDefault="00212577">
      <w:pPr>
        <w:pStyle w:val="P68B1DB1-Normal83"/>
        <w:spacing w:after="0"/>
        <w:jc w:val="both"/>
        <w:rPr>
          <w:noProof/>
        </w:rPr>
      </w:pPr>
      <w:r>
        <w:rPr>
          <w:noProof/>
        </w:rPr>
        <w:t>La réforme consiste à former les ministère</w:t>
      </w:r>
      <w:r>
        <w:rPr>
          <w:noProof/>
        </w:rPr>
        <w:t>s d'exécution et les unités centrales de coordination aux activités de gouvernance d'entreprise.</w:t>
      </w:r>
    </w:p>
    <w:p w14:paraId="04EA50C9" w14:textId="77777777" w:rsidR="00553430" w:rsidRDefault="00212577">
      <w:pPr>
        <w:pStyle w:val="P68B1DB1-Normal96"/>
        <w:keepNext/>
        <w:tabs>
          <w:tab w:val="num" w:pos="850"/>
        </w:tabs>
        <w:spacing w:before="240" w:after="0"/>
        <w:ind w:left="851"/>
        <w:jc w:val="both"/>
        <w:outlineLvl w:val="2"/>
        <w:rPr>
          <w:noProof/>
        </w:rPr>
      </w:pPr>
      <w:r>
        <w:rPr>
          <w:noProof/>
        </w:rPr>
        <w:t>Réforme C2.4 R4 –Réduction du nombre d’entreprises publiques qui ne présentent pas d’intérêt particulier pour la Croatie</w:t>
      </w:r>
    </w:p>
    <w:p w14:paraId="2C29DC6D" w14:textId="77777777" w:rsidR="00553430" w:rsidRDefault="00212577">
      <w:pPr>
        <w:pStyle w:val="P68B1DB1-Normal83"/>
        <w:spacing w:after="0"/>
        <w:jc w:val="both"/>
        <w:rPr>
          <w:noProof/>
        </w:rPr>
      </w:pPr>
      <w:r>
        <w:rPr>
          <w:noProof/>
        </w:rPr>
        <w:t xml:space="preserve">L'objectif de cette réforme est de réduire le nombre d'entreprises publiques qui ne présentent pas un intérêt particulier pour la Croatie en facilitant leur vente. </w:t>
      </w:r>
    </w:p>
    <w:p w14:paraId="5CFA1E48" w14:textId="77777777" w:rsidR="00553430" w:rsidRDefault="00212577">
      <w:pPr>
        <w:pStyle w:val="P68B1DB1-Normal96"/>
        <w:keepNext/>
        <w:numPr>
          <w:ilvl w:val="2"/>
          <w:numId w:val="0"/>
        </w:numPr>
        <w:spacing w:before="240" w:after="0"/>
        <w:ind w:left="851"/>
        <w:jc w:val="both"/>
        <w:outlineLvl w:val="2"/>
        <w:rPr>
          <w:noProof/>
        </w:rPr>
      </w:pPr>
      <w:r>
        <w:rPr>
          <w:noProof/>
        </w:rPr>
        <w:t>Réforme C2.4 R5 – Optimisation de la gestion des biens publics</w:t>
      </w:r>
    </w:p>
    <w:p w14:paraId="0268A473" w14:textId="77777777" w:rsidR="00553430" w:rsidRDefault="00212577">
      <w:pPr>
        <w:pStyle w:val="P68B1DB1-Normal83"/>
        <w:spacing w:after="0"/>
        <w:jc w:val="both"/>
        <w:rPr>
          <w:noProof/>
        </w:rPr>
      </w:pPr>
      <w:r>
        <w:rPr>
          <w:noProof/>
        </w:rPr>
        <w:t xml:space="preserve">L'objectif de cette réforme </w:t>
      </w:r>
      <w:r>
        <w:rPr>
          <w:noProof/>
        </w:rPr>
        <w:t xml:space="preserve">est d'améliorer la gestion des biens publics, leur commercialisation et les rendements qu'ils génèrent. </w:t>
      </w:r>
    </w:p>
    <w:p w14:paraId="03797FA9" w14:textId="77777777" w:rsidR="00553430" w:rsidRDefault="00553430">
      <w:pPr>
        <w:spacing w:after="0"/>
        <w:jc w:val="both"/>
        <w:rPr>
          <w:rFonts w:ascii="Times New Roman" w:eastAsia="Times New Roman" w:hAnsi="Times New Roman" w:cs="Times New Roman"/>
          <w:noProof/>
          <w:sz w:val="24"/>
          <w:szCs w:val="24"/>
        </w:rPr>
      </w:pPr>
    </w:p>
    <w:p w14:paraId="67232C7E" w14:textId="77777777" w:rsidR="00553430" w:rsidRDefault="00212577">
      <w:pPr>
        <w:pStyle w:val="P68B1DB1-Normal83"/>
        <w:spacing w:after="0"/>
        <w:jc w:val="both"/>
        <w:rPr>
          <w:noProof/>
        </w:rPr>
      </w:pPr>
      <w:r>
        <w:rPr>
          <w:noProof/>
        </w:rPr>
        <w:t>La réforme consiste à développer un système informatique administratif et une méthodologie pour la gestion des biens appartenant à l’État, ce qui perm</w:t>
      </w:r>
      <w:r>
        <w:rPr>
          <w:noProof/>
        </w:rPr>
        <w:t>ettra d’activer plus rapidement les actifs inutilisés.</w:t>
      </w:r>
    </w:p>
    <w:p w14:paraId="4B6ED427" w14:textId="77777777" w:rsidR="00553430" w:rsidRDefault="00553430">
      <w:pPr>
        <w:spacing w:line="240" w:lineRule="auto"/>
        <w:jc w:val="both"/>
        <w:rPr>
          <w:rFonts w:ascii="Times New Roman" w:eastAsia="Calibri" w:hAnsi="Times New Roman" w:cs="Times New Roman"/>
          <w:noProof/>
          <w:sz w:val="24"/>
          <w:szCs w:val="24"/>
          <w:u w:val="single"/>
        </w:rPr>
      </w:pPr>
    </w:p>
    <w:p w14:paraId="75CDA66B" w14:textId="77777777" w:rsidR="00553430" w:rsidRDefault="00553430">
      <w:pPr>
        <w:rPr>
          <w:noProof/>
        </w:rPr>
        <w:sectPr w:rsidR="00553430" w:rsidSect="00FA29B2">
          <w:headerReference w:type="even" r:id="rId195"/>
          <w:headerReference w:type="default" r:id="rId196"/>
          <w:footerReference w:type="even" r:id="rId197"/>
          <w:footerReference w:type="default" r:id="rId198"/>
          <w:headerReference w:type="first" r:id="rId199"/>
          <w:footerReference w:type="first" r:id="rId200"/>
          <w:pgSz w:w="11906" w:h="16838"/>
          <w:pgMar w:top="1134" w:right="1134" w:bottom="1134" w:left="1134" w:header="567" w:footer="567" w:gutter="0"/>
          <w:cols w:space="708"/>
          <w:docGrid w:linePitch="360"/>
        </w:sectPr>
      </w:pPr>
    </w:p>
    <w:p w14:paraId="6D76574C" w14:textId="77777777" w:rsidR="00553430" w:rsidRDefault="00212577">
      <w:pPr>
        <w:pStyle w:val="P68B1DB1-Normal121"/>
        <w:keepNext/>
        <w:tabs>
          <w:tab w:val="num" w:pos="850"/>
        </w:tabs>
        <w:spacing w:before="40" w:after="240"/>
        <w:ind w:left="851"/>
        <w:jc w:val="both"/>
        <w:outlineLvl w:val="1"/>
        <w:rPr>
          <w:noProof/>
          <w:sz w:val="24"/>
        </w:rPr>
      </w:pPr>
      <w:r>
        <w:rPr>
          <w:noProof/>
        </w:rPr>
        <w:t>J.2</w:t>
      </w:r>
      <w:r>
        <w:rPr>
          <w:noProof/>
          <w:sz w:val="24"/>
        </w:rPr>
        <w:t xml:space="preserve"> </w:t>
      </w:r>
      <w:r>
        <w:rPr>
          <w:noProof/>
          <w:sz w:val="24"/>
        </w:rPr>
        <w:tab/>
        <w:t>Étapes, cibles, indicateurs et calendrier pour le suivi et la mise en œuvre du soutien financier non remboursable</w:t>
      </w:r>
    </w:p>
    <w:tbl>
      <w:tblPr>
        <w:tblW w:w="15466" w:type="dxa"/>
        <w:jc w:val="center"/>
        <w:tblCellMar>
          <w:top w:w="28" w:type="dxa"/>
          <w:left w:w="28" w:type="dxa"/>
          <w:bottom w:w="28" w:type="dxa"/>
          <w:right w:w="28" w:type="dxa"/>
        </w:tblCellMar>
        <w:tblLook w:val="04A0" w:firstRow="1" w:lastRow="0" w:firstColumn="1" w:lastColumn="0" w:noHBand="0" w:noVBand="1"/>
      </w:tblPr>
      <w:tblGrid>
        <w:gridCol w:w="960"/>
        <w:gridCol w:w="1134"/>
        <w:gridCol w:w="1037"/>
        <w:gridCol w:w="1656"/>
        <w:gridCol w:w="1985"/>
        <w:gridCol w:w="1134"/>
        <w:gridCol w:w="1134"/>
        <w:gridCol w:w="850"/>
        <w:gridCol w:w="893"/>
        <w:gridCol w:w="709"/>
        <w:gridCol w:w="4111"/>
      </w:tblGrid>
      <w:tr w:rsidR="00553430" w14:paraId="77EE2184" w14:textId="77777777">
        <w:trPr>
          <w:trHeight w:val="635"/>
          <w:tblHeader/>
          <w:jc w:val="center"/>
        </w:trPr>
        <w:tc>
          <w:tcPr>
            <w:tcW w:w="960"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6FFFE555" w14:textId="77777777" w:rsidR="00553430" w:rsidRDefault="00212577">
            <w:pPr>
              <w:pStyle w:val="P68B1DB1-Normal58"/>
              <w:spacing w:after="0" w:line="276" w:lineRule="auto"/>
              <w:jc w:val="center"/>
              <w:rPr>
                <w:bCs/>
                <w:noProof/>
              </w:rPr>
            </w:pPr>
            <w:r>
              <w:rPr>
                <w:noProof/>
              </w:rPr>
              <w:t>Numéro</w:t>
            </w:r>
          </w:p>
        </w:tc>
        <w:tc>
          <w:tcPr>
            <w:tcW w:w="1134"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0DEF48" w14:textId="77777777" w:rsidR="00553430" w:rsidRDefault="00212577">
            <w:pPr>
              <w:pStyle w:val="P68B1DB1-Normal58"/>
              <w:spacing w:after="0" w:line="276" w:lineRule="auto"/>
              <w:jc w:val="center"/>
              <w:rPr>
                <w:bCs/>
                <w:noProof/>
              </w:rPr>
            </w:pPr>
            <w:r>
              <w:rPr>
                <w:noProof/>
              </w:rPr>
              <w:t>Mesure</w:t>
            </w:r>
          </w:p>
        </w:tc>
        <w:tc>
          <w:tcPr>
            <w:tcW w:w="1037"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7CA16B4E" w14:textId="77777777" w:rsidR="00553430" w:rsidRDefault="00212577">
            <w:pPr>
              <w:pStyle w:val="P68B1DB1-Normal58"/>
              <w:spacing w:after="0" w:line="276" w:lineRule="auto"/>
              <w:jc w:val="center"/>
              <w:rPr>
                <w:bCs/>
                <w:noProof/>
              </w:rPr>
            </w:pPr>
            <w:r>
              <w:rPr>
                <w:noProof/>
              </w:rPr>
              <w:t>Étape</w:t>
            </w:r>
            <w:r>
              <w:rPr>
                <w:noProof/>
              </w:rPr>
              <w:t>/cible</w:t>
            </w:r>
          </w:p>
        </w:tc>
        <w:tc>
          <w:tcPr>
            <w:tcW w:w="1656" w:type="dxa"/>
            <w:vMerge w:val="restart"/>
            <w:tcBorders>
              <w:top w:val="single" w:sz="4" w:space="0" w:color="auto"/>
              <w:left w:val="nil"/>
              <w:bottom w:val="single" w:sz="4" w:space="0" w:color="000000" w:themeColor="text1"/>
              <w:right w:val="single" w:sz="4" w:space="0" w:color="auto"/>
            </w:tcBorders>
            <w:shd w:val="clear" w:color="auto" w:fill="BDD7EE"/>
            <w:vAlign w:val="center"/>
            <w:hideMark/>
          </w:tcPr>
          <w:p w14:paraId="579E7A7B" w14:textId="77777777" w:rsidR="00553430" w:rsidRDefault="00212577">
            <w:pPr>
              <w:pStyle w:val="P68B1DB1-Normal58"/>
              <w:spacing w:after="0" w:line="276" w:lineRule="auto"/>
              <w:jc w:val="center"/>
              <w:rPr>
                <w:bCs/>
                <w:noProof/>
              </w:rPr>
            </w:pPr>
            <w:r>
              <w:rPr>
                <w:noProof/>
              </w:rPr>
              <w:t>Nom</w:t>
            </w:r>
          </w:p>
        </w:tc>
        <w:tc>
          <w:tcPr>
            <w:tcW w:w="1985"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75CDB74B"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qualitatifs</w:t>
            </w:r>
            <w:r>
              <w:rPr>
                <w:rFonts w:ascii="Times New Roman" w:hAnsi="Times New Roman" w:cs="Times New Roman"/>
                <w:noProof/>
              </w:rPr>
              <w:br/>
            </w:r>
            <w:r>
              <w:rPr>
                <w:rFonts w:ascii="Times New Roman" w:eastAsia="Times New Roman" w:hAnsi="Times New Roman" w:cs="Times New Roman"/>
                <w:b/>
                <w:noProof/>
              </w:rPr>
              <w:t>(pour les jalons)</w:t>
            </w:r>
          </w:p>
        </w:tc>
        <w:tc>
          <w:tcPr>
            <w:tcW w:w="3118" w:type="dxa"/>
            <w:gridSpan w:val="3"/>
            <w:tcBorders>
              <w:top w:val="single" w:sz="4" w:space="0" w:color="auto"/>
              <w:left w:val="nil"/>
              <w:bottom w:val="single" w:sz="4" w:space="0" w:color="auto"/>
              <w:right w:val="single" w:sz="4" w:space="0" w:color="auto"/>
            </w:tcBorders>
            <w:shd w:val="clear" w:color="auto" w:fill="BDD7EE"/>
            <w:vAlign w:val="center"/>
            <w:hideMark/>
          </w:tcPr>
          <w:p w14:paraId="6FFDA6B0"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hAnsi="Times New Roman" w:cs="Times New Roman"/>
                <w:noProof/>
              </w:rPr>
              <w:br/>
            </w:r>
            <w:r>
              <w:rPr>
                <w:rFonts w:ascii="Times New Roman" w:eastAsia="Times New Roman" w:hAnsi="Times New Roman" w:cs="Times New Roman"/>
                <w:b/>
                <w:noProof/>
              </w:rPr>
              <w:t>(pour les objectifs)</w:t>
            </w:r>
          </w:p>
        </w:tc>
        <w:tc>
          <w:tcPr>
            <w:tcW w:w="1465" w:type="dxa"/>
            <w:gridSpan w:val="2"/>
            <w:tcBorders>
              <w:top w:val="single" w:sz="4" w:space="0" w:color="auto"/>
              <w:left w:val="nil"/>
              <w:bottom w:val="single" w:sz="4" w:space="0" w:color="auto"/>
              <w:right w:val="single" w:sz="4" w:space="0" w:color="auto"/>
            </w:tcBorders>
            <w:shd w:val="clear" w:color="auto" w:fill="BDD7EE"/>
            <w:vAlign w:val="center"/>
            <w:hideMark/>
          </w:tcPr>
          <w:p w14:paraId="70F0A43F" w14:textId="77777777" w:rsidR="00553430" w:rsidRDefault="00212577">
            <w:pPr>
              <w:pStyle w:val="P68B1DB1-Normal58"/>
              <w:spacing w:after="0" w:line="276" w:lineRule="auto"/>
              <w:jc w:val="center"/>
              <w:rPr>
                <w:bCs/>
                <w:noProof/>
              </w:rPr>
            </w:pPr>
            <w:r>
              <w:rPr>
                <w:noProof/>
              </w:rPr>
              <w:t>Temps</w:t>
            </w:r>
          </w:p>
        </w:tc>
        <w:tc>
          <w:tcPr>
            <w:tcW w:w="41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AD9FDE5" w14:textId="77777777" w:rsidR="00553430" w:rsidRDefault="00212577">
            <w:pPr>
              <w:pStyle w:val="P68B1DB1-Normal58"/>
              <w:spacing w:after="0" w:line="276" w:lineRule="auto"/>
              <w:jc w:val="center"/>
              <w:rPr>
                <w:bCs/>
                <w:noProof/>
              </w:rPr>
            </w:pPr>
            <w:r>
              <w:rPr>
                <w:noProof/>
              </w:rPr>
              <w:t>Description de chaque jalon et cible</w:t>
            </w:r>
          </w:p>
        </w:tc>
      </w:tr>
      <w:tr w:rsidR="00553430" w14:paraId="196A0F12" w14:textId="77777777">
        <w:trPr>
          <w:trHeight w:val="352"/>
          <w:tblHeader/>
          <w:jc w:val="center"/>
        </w:trPr>
        <w:tc>
          <w:tcPr>
            <w:tcW w:w="960" w:type="dxa"/>
            <w:vMerge/>
            <w:tcBorders>
              <w:top w:val="single" w:sz="4" w:space="0" w:color="auto"/>
              <w:left w:val="single" w:sz="4" w:space="0" w:color="auto"/>
              <w:bottom w:val="single" w:sz="4" w:space="0" w:color="000000"/>
              <w:right w:val="single" w:sz="4" w:space="0" w:color="auto"/>
            </w:tcBorders>
            <w:hideMark/>
          </w:tcPr>
          <w:p w14:paraId="0588B14E"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134" w:type="dxa"/>
            <w:vMerge/>
            <w:tcBorders>
              <w:top w:val="single" w:sz="4" w:space="0" w:color="auto"/>
              <w:left w:val="single" w:sz="4" w:space="0" w:color="auto"/>
              <w:bottom w:val="single" w:sz="4" w:space="0" w:color="000000"/>
              <w:right w:val="single" w:sz="4" w:space="0" w:color="auto"/>
            </w:tcBorders>
            <w:hideMark/>
          </w:tcPr>
          <w:p w14:paraId="6806A39F"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37" w:type="dxa"/>
            <w:vMerge/>
            <w:tcBorders>
              <w:top w:val="single" w:sz="4" w:space="0" w:color="auto"/>
              <w:left w:val="single" w:sz="4" w:space="0" w:color="auto"/>
              <w:bottom w:val="single" w:sz="4" w:space="0" w:color="000000"/>
              <w:right w:val="single" w:sz="4" w:space="0" w:color="auto"/>
            </w:tcBorders>
            <w:hideMark/>
          </w:tcPr>
          <w:p w14:paraId="61C003FE"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656" w:type="dxa"/>
            <w:vMerge/>
            <w:tcBorders>
              <w:top w:val="single" w:sz="4" w:space="0" w:color="auto"/>
              <w:left w:val="nil"/>
              <w:bottom w:val="single" w:sz="4" w:space="0" w:color="000000"/>
              <w:right w:val="single" w:sz="4" w:space="0" w:color="auto"/>
            </w:tcBorders>
            <w:hideMark/>
          </w:tcPr>
          <w:p w14:paraId="1E66236F" w14:textId="77777777" w:rsidR="00553430" w:rsidRDefault="00553430">
            <w:pPr>
              <w:spacing w:after="0" w:line="276" w:lineRule="auto"/>
              <w:rPr>
                <w:rFonts w:ascii="Times New Roman" w:eastAsia="Times New Roman" w:hAnsi="Times New Roman" w:cs="Times New Roman"/>
                <w:b/>
                <w:noProof/>
                <w:sz w:val="20"/>
                <w:szCs w:val="20"/>
              </w:rPr>
            </w:pPr>
          </w:p>
        </w:tc>
        <w:tc>
          <w:tcPr>
            <w:tcW w:w="1985" w:type="dxa"/>
            <w:vMerge/>
            <w:tcBorders>
              <w:top w:val="single" w:sz="4" w:space="0" w:color="auto"/>
              <w:left w:val="single" w:sz="4" w:space="0" w:color="auto"/>
              <w:bottom w:val="single" w:sz="4" w:space="0" w:color="000000"/>
              <w:right w:val="single" w:sz="4" w:space="0" w:color="auto"/>
            </w:tcBorders>
            <w:hideMark/>
          </w:tcPr>
          <w:p w14:paraId="4F6A0BFA" w14:textId="77777777" w:rsidR="00553430" w:rsidRDefault="00553430">
            <w:pPr>
              <w:spacing w:after="0" w:line="276" w:lineRule="auto"/>
              <w:rPr>
                <w:rFonts w:ascii="Times New Roman" w:eastAsia="Times New Roman" w:hAnsi="Times New Roman" w:cs="Times New Roman"/>
                <w:b/>
                <w:noProof/>
                <w:sz w:val="20"/>
                <w:szCs w:val="20"/>
              </w:rPr>
            </w:pPr>
          </w:p>
        </w:tc>
        <w:tc>
          <w:tcPr>
            <w:tcW w:w="1134" w:type="dxa"/>
            <w:tcBorders>
              <w:top w:val="nil"/>
              <w:left w:val="nil"/>
              <w:bottom w:val="single" w:sz="4" w:space="0" w:color="auto"/>
              <w:right w:val="single" w:sz="4" w:space="0" w:color="auto"/>
            </w:tcBorders>
            <w:shd w:val="clear" w:color="auto" w:fill="BDD7EE"/>
            <w:vAlign w:val="center"/>
            <w:hideMark/>
          </w:tcPr>
          <w:p w14:paraId="325A4791" w14:textId="77777777" w:rsidR="00553430" w:rsidRDefault="00212577">
            <w:pPr>
              <w:pStyle w:val="P68B1DB1-Normal58"/>
              <w:spacing w:after="0" w:line="276" w:lineRule="auto"/>
              <w:jc w:val="center"/>
              <w:rPr>
                <w:bCs/>
                <w:noProof/>
              </w:rPr>
            </w:pPr>
            <w:r>
              <w:rPr>
                <w:noProof/>
              </w:rPr>
              <w:t>Unité</w:t>
            </w:r>
          </w:p>
        </w:tc>
        <w:tc>
          <w:tcPr>
            <w:tcW w:w="1134" w:type="dxa"/>
            <w:tcBorders>
              <w:top w:val="nil"/>
              <w:left w:val="nil"/>
              <w:bottom w:val="single" w:sz="4" w:space="0" w:color="auto"/>
              <w:right w:val="single" w:sz="4" w:space="0" w:color="auto"/>
            </w:tcBorders>
            <w:shd w:val="clear" w:color="auto" w:fill="BDD7EE"/>
            <w:vAlign w:val="center"/>
            <w:hideMark/>
          </w:tcPr>
          <w:p w14:paraId="4C786608" w14:textId="77777777" w:rsidR="00553430" w:rsidRDefault="00212577">
            <w:pPr>
              <w:pStyle w:val="P68B1DB1-Normal58"/>
              <w:spacing w:after="0" w:line="276" w:lineRule="auto"/>
              <w:jc w:val="center"/>
              <w:rPr>
                <w:bCs/>
                <w:noProof/>
              </w:rPr>
            </w:pPr>
            <w:r>
              <w:rPr>
                <w:noProof/>
              </w:rPr>
              <w:t>Données de référence</w:t>
            </w:r>
          </w:p>
        </w:tc>
        <w:tc>
          <w:tcPr>
            <w:tcW w:w="850" w:type="dxa"/>
            <w:tcBorders>
              <w:top w:val="nil"/>
              <w:left w:val="nil"/>
              <w:bottom w:val="single" w:sz="4" w:space="0" w:color="auto"/>
              <w:right w:val="single" w:sz="4" w:space="0" w:color="auto"/>
            </w:tcBorders>
            <w:shd w:val="clear" w:color="auto" w:fill="BDD7EE"/>
            <w:vAlign w:val="center"/>
            <w:hideMark/>
          </w:tcPr>
          <w:p w14:paraId="41EF3160" w14:textId="77777777" w:rsidR="00553430" w:rsidRDefault="00212577">
            <w:pPr>
              <w:pStyle w:val="P68B1DB1-Normal58"/>
              <w:spacing w:after="0" w:line="276" w:lineRule="auto"/>
              <w:jc w:val="center"/>
              <w:rPr>
                <w:bCs/>
                <w:noProof/>
              </w:rPr>
            </w:pPr>
            <w:r>
              <w:rPr>
                <w:noProof/>
              </w:rPr>
              <w:t>Objectif</w:t>
            </w:r>
          </w:p>
        </w:tc>
        <w:tc>
          <w:tcPr>
            <w:tcW w:w="756" w:type="dxa"/>
            <w:tcBorders>
              <w:top w:val="nil"/>
              <w:left w:val="nil"/>
              <w:bottom w:val="single" w:sz="4" w:space="0" w:color="auto"/>
              <w:right w:val="single" w:sz="4" w:space="0" w:color="auto"/>
            </w:tcBorders>
            <w:shd w:val="clear" w:color="auto" w:fill="BDD7EE"/>
            <w:vAlign w:val="center"/>
            <w:hideMark/>
          </w:tcPr>
          <w:p w14:paraId="1045FC01" w14:textId="77777777" w:rsidR="00553430" w:rsidRDefault="00212577">
            <w:pPr>
              <w:pStyle w:val="P68B1DB1-Normal58"/>
              <w:spacing w:after="0" w:line="276" w:lineRule="auto"/>
              <w:jc w:val="center"/>
              <w:rPr>
                <w:bCs/>
                <w:noProof/>
              </w:rPr>
            </w:pPr>
            <w:r>
              <w:rPr>
                <w:noProof/>
              </w:rPr>
              <w:t>Trimestre</w:t>
            </w:r>
          </w:p>
        </w:tc>
        <w:tc>
          <w:tcPr>
            <w:tcW w:w="709" w:type="dxa"/>
            <w:tcBorders>
              <w:top w:val="nil"/>
              <w:left w:val="nil"/>
              <w:bottom w:val="single" w:sz="4" w:space="0" w:color="auto"/>
              <w:right w:val="single" w:sz="4" w:space="0" w:color="auto"/>
            </w:tcBorders>
            <w:shd w:val="clear" w:color="auto" w:fill="BDD7EE"/>
            <w:vAlign w:val="center"/>
            <w:hideMark/>
          </w:tcPr>
          <w:p w14:paraId="67E17AD1" w14:textId="77777777" w:rsidR="00553430" w:rsidRDefault="00212577">
            <w:pPr>
              <w:pStyle w:val="P68B1DB1-Normal58"/>
              <w:spacing w:after="0" w:line="276" w:lineRule="auto"/>
              <w:jc w:val="center"/>
              <w:rPr>
                <w:bCs/>
                <w:noProof/>
              </w:rPr>
            </w:pPr>
            <w:r>
              <w:rPr>
                <w:noProof/>
              </w:rPr>
              <w:t>Année</w:t>
            </w:r>
          </w:p>
        </w:tc>
        <w:tc>
          <w:tcPr>
            <w:tcW w:w="4111" w:type="dxa"/>
            <w:vMerge/>
            <w:tcBorders>
              <w:top w:val="single" w:sz="4" w:space="0" w:color="auto"/>
              <w:left w:val="single" w:sz="4" w:space="0" w:color="auto"/>
              <w:bottom w:val="single" w:sz="4" w:space="0" w:color="auto"/>
              <w:right w:val="single" w:sz="4" w:space="0" w:color="auto"/>
            </w:tcBorders>
            <w:hideMark/>
          </w:tcPr>
          <w:p w14:paraId="50319691"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1C43B00C" w14:textId="77777777">
        <w:trPr>
          <w:trHeight w:val="283"/>
          <w:jc w:val="center"/>
        </w:trPr>
        <w:tc>
          <w:tcPr>
            <w:tcW w:w="960" w:type="dxa"/>
            <w:tcBorders>
              <w:top w:val="nil"/>
              <w:left w:val="single" w:sz="4" w:space="0" w:color="auto"/>
              <w:bottom w:val="single" w:sz="4" w:space="0" w:color="auto"/>
              <w:right w:val="single" w:sz="4" w:space="0" w:color="auto"/>
            </w:tcBorders>
            <w:shd w:val="clear" w:color="auto" w:fill="C6EFCE"/>
            <w:noWrap/>
          </w:tcPr>
          <w:p w14:paraId="14D0E994" w14:textId="77777777" w:rsidR="00553430" w:rsidRDefault="00212577">
            <w:pPr>
              <w:pStyle w:val="P68B1DB1-Normal102"/>
              <w:spacing w:after="0" w:line="276" w:lineRule="auto"/>
              <w:jc w:val="center"/>
              <w:rPr>
                <w:noProof/>
              </w:rPr>
            </w:pPr>
            <w:r>
              <w:rPr>
                <w:noProof/>
              </w:rPr>
              <w:t>207</w:t>
            </w:r>
          </w:p>
        </w:tc>
        <w:tc>
          <w:tcPr>
            <w:tcW w:w="1134" w:type="dxa"/>
            <w:tcBorders>
              <w:top w:val="nil"/>
              <w:left w:val="nil"/>
              <w:bottom w:val="single" w:sz="4" w:space="0" w:color="auto"/>
              <w:right w:val="single" w:sz="4" w:space="0" w:color="auto"/>
            </w:tcBorders>
            <w:shd w:val="clear" w:color="auto" w:fill="C6EFCE"/>
            <w:noWrap/>
          </w:tcPr>
          <w:p w14:paraId="2D9D838C" w14:textId="77777777" w:rsidR="00553430" w:rsidRDefault="00212577">
            <w:pPr>
              <w:pStyle w:val="P68B1DB1-Normal102"/>
              <w:spacing w:line="276" w:lineRule="auto"/>
              <w:jc w:val="center"/>
              <w:rPr>
                <w:noProof/>
              </w:rPr>
            </w:pPr>
            <w:r>
              <w:rPr>
                <w:noProof/>
              </w:rPr>
              <w:t>C2.4</w:t>
            </w:r>
            <w:r>
              <w:rPr>
                <w:noProof/>
              </w:rPr>
              <w:t>. R1</w:t>
            </w:r>
          </w:p>
        </w:tc>
        <w:tc>
          <w:tcPr>
            <w:tcW w:w="1037" w:type="dxa"/>
            <w:tcBorders>
              <w:top w:val="nil"/>
              <w:left w:val="nil"/>
              <w:bottom w:val="single" w:sz="4" w:space="0" w:color="auto"/>
              <w:right w:val="single" w:sz="4" w:space="0" w:color="auto"/>
            </w:tcBorders>
            <w:shd w:val="clear" w:color="auto" w:fill="C6EFCE"/>
            <w:noWrap/>
          </w:tcPr>
          <w:p w14:paraId="0ECC4EDB" w14:textId="77777777" w:rsidR="00553430" w:rsidRDefault="00212577">
            <w:pPr>
              <w:pStyle w:val="P68B1DB1-Normal102"/>
              <w:spacing w:line="276" w:lineRule="auto"/>
              <w:jc w:val="center"/>
              <w:rPr>
                <w:noProof/>
              </w:rPr>
            </w:pPr>
            <w:r>
              <w:rPr>
                <w:noProof/>
              </w:rPr>
              <w:t>M</w:t>
            </w:r>
          </w:p>
        </w:tc>
        <w:tc>
          <w:tcPr>
            <w:tcW w:w="1656" w:type="dxa"/>
            <w:tcBorders>
              <w:top w:val="nil"/>
              <w:left w:val="nil"/>
              <w:bottom w:val="single" w:sz="4" w:space="0" w:color="auto"/>
              <w:right w:val="single" w:sz="4" w:space="0" w:color="auto"/>
            </w:tcBorders>
            <w:shd w:val="clear" w:color="auto" w:fill="C6EFCE"/>
            <w:noWrap/>
          </w:tcPr>
          <w:p w14:paraId="4EF9D57D" w14:textId="77777777" w:rsidR="00553430" w:rsidRDefault="00212577">
            <w:pPr>
              <w:pStyle w:val="P68B1DB1-Normal102"/>
              <w:spacing w:line="276" w:lineRule="auto"/>
              <w:rPr>
                <w:noProof/>
              </w:rPr>
            </w:pPr>
            <w:r>
              <w:rPr>
                <w:noProof/>
              </w:rPr>
              <w:t xml:space="preserve">Adoption d'une nouvelle décision du gouvernement croate sur les entreprises d'État présentant un intérêt particulier pour la Croatie </w:t>
            </w:r>
          </w:p>
        </w:tc>
        <w:tc>
          <w:tcPr>
            <w:tcW w:w="1985" w:type="dxa"/>
            <w:tcBorders>
              <w:top w:val="nil"/>
              <w:left w:val="nil"/>
              <w:bottom w:val="single" w:sz="4" w:space="0" w:color="auto"/>
              <w:right w:val="single" w:sz="4" w:space="0" w:color="auto"/>
            </w:tcBorders>
            <w:shd w:val="clear" w:color="auto" w:fill="C6EFCE"/>
            <w:noWrap/>
          </w:tcPr>
          <w:p w14:paraId="61800382" w14:textId="77777777" w:rsidR="00553430" w:rsidRDefault="00212577">
            <w:pPr>
              <w:pStyle w:val="P68B1DB1-Normal102"/>
              <w:spacing w:line="276" w:lineRule="auto"/>
              <w:rPr>
                <w:noProof/>
              </w:rPr>
            </w:pPr>
            <w:r>
              <w:rPr>
                <w:noProof/>
              </w:rPr>
              <w:t xml:space="preserve">Publication de la liste révisée des entreprises publiques présentant un intérêt particulier pour la Croatie </w:t>
            </w:r>
            <w:r>
              <w:rPr>
                <w:noProof/>
              </w:rPr>
              <w:t>conformément aux critères établis</w:t>
            </w:r>
          </w:p>
        </w:tc>
        <w:tc>
          <w:tcPr>
            <w:tcW w:w="1134" w:type="dxa"/>
            <w:tcBorders>
              <w:top w:val="nil"/>
              <w:left w:val="nil"/>
              <w:bottom w:val="single" w:sz="4" w:space="0" w:color="auto"/>
              <w:right w:val="single" w:sz="4" w:space="0" w:color="auto"/>
            </w:tcBorders>
            <w:shd w:val="clear" w:color="auto" w:fill="C6EFCE"/>
            <w:noWrap/>
          </w:tcPr>
          <w:p w14:paraId="07139009" w14:textId="77777777" w:rsidR="00553430" w:rsidRDefault="00212577">
            <w:pPr>
              <w:pStyle w:val="P68B1DB1-Normal102"/>
              <w:spacing w:line="276" w:lineRule="auto"/>
              <w:jc w:val="center"/>
              <w:rPr>
                <w:noProof/>
              </w:rPr>
            </w:pPr>
            <w:r>
              <w:rPr>
                <w:noProof/>
              </w:rPr>
              <w:t> </w:t>
            </w:r>
          </w:p>
        </w:tc>
        <w:tc>
          <w:tcPr>
            <w:tcW w:w="1134" w:type="dxa"/>
            <w:tcBorders>
              <w:top w:val="nil"/>
              <w:left w:val="nil"/>
              <w:bottom w:val="single" w:sz="4" w:space="0" w:color="auto"/>
              <w:right w:val="single" w:sz="4" w:space="0" w:color="auto"/>
            </w:tcBorders>
            <w:shd w:val="clear" w:color="auto" w:fill="C6EFCE"/>
            <w:noWrap/>
          </w:tcPr>
          <w:p w14:paraId="14895BC6" w14:textId="77777777" w:rsidR="00553430" w:rsidRDefault="00212577">
            <w:pPr>
              <w:pStyle w:val="P68B1DB1-Normal102"/>
              <w:spacing w:line="276" w:lineRule="auto"/>
              <w:jc w:val="center"/>
              <w:rPr>
                <w:noProof/>
              </w:rPr>
            </w:pPr>
            <w:r>
              <w:rPr>
                <w:noProof/>
              </w:rPr>
              <w:t> </w:t>
            </w:r>
          </w:p>
        </w:tc>
        <w:tc>
          <w:tcPr>
            <w:tcW w:w="850" w:type="dxa"/>
            <w:tcBorders>
              <w:top w:val="nil"/>
              <w:left w:val="nil"/>
              <w:bottom w:val="single" w:sz="4" w:space="0" w:color="auto"/>
              <w:right w:val="single" w:sz="4" w:space="0" w:color="auto"/>
            </w:tcBorders>
            <w:shd w:val="clear" w:color="auto" w:fill="C6EFCE"/>
            <w:noWrap/>
          </w:tcPr>
          <w:p w14:paraId="74927EBD" w14:textId="77777777" w:rsidR="00553430" w:rsidRDefault="00212577">
            <w:pPr>
              <w:pStyle w:val="P68B1DB1-Normal102"/>
              <w:spacing w:line="276" w:lineRule="auto"/>
              <w:jc w:val="center"/>
              <w:rPr>
                <w:noProof/>
              </w:rPr>
            </w:pPr>
            <w:r>
              <w:rPr>
                <w:noProof/>
              </w:rPr>
              <w:t> </w:t>
            </w:r>
          </w:p>
        </w:tc>
        <w:tc>
          <w:tcPr>
            <w:tcW w:w="756" w:type="dxa"/>
            <w:tcBorders>
              <w:top w:val="nil"/>
              <w:left w:val="nil"/>
              <w:bottom w:val="single" w:sz="4" w:space="0" w:color="auto"/>
              <w:right w:val="single" w:sz="4" w:space="0" w:color="auto"/>
            </w:tcBorders>
            <w:shd w:val="clear" w:color="auto" w:fill="C6EFCE"/>
            <w:noWrap/>
          </w:tcPr>
          <w:p w14:paraId="33150143" w14:textId="77777777" w:rsidR="00553430" w:rsidRDefault="00212577">
            <w:pPr>
              <w:pStyle w:val="P68B1DB1-Normal102"/>
              <w:spacing w:line="276" w:lineRule="auto"/>
              <w:jc w:val="center"/>
              <w:rPr>
                <w:noProof/>
              </w:rPr>
            </w:pPr>
            <w:r>
              <w:rPr>
                <w:noProof/>
              </w:rPr>
              <w:t>T4</w:t>
            </w:r>
          </w:p>
        </w:tc>
        <w:tc>
          <w:tcPr>
            <w:tcW w:w="709" w:type="dxa"/>
            <w:tcBorders>
              <w:top w:val="nil"/>
              <w:left w:val="nil"/>
              <w:bottom w:val="single" w:sz="4" w:space="0" w:color="auto"/>
              <w:right w:val="single" w:sz="4" w:space="0" w:color="auto"/>
            </w:tcBorders>
            <w:shd w:val="clear" w:color="auto" w:fill="C6EFCE"/>
            <w:noWrap/>
          </w:tcPr>
          <w:p w14:paraId="47DE30B2" w14:textId="77777777" w:rsidR="00553430" w:rsidRDefault="00212577">
            <w:pPr>
              <w:pStyle w:val="P68B1DB1-Normal102"/>
              <w:spacing w:line="276" w:lineRule="auto"/>
              <w:jc w:val="center"/>
              <w:rPr>
                <w:noProof/>
              </w:rPr>
            </w:pPr>
            <w:r>
              <w:rPr>
                <w:noProof/>
              </w:rPr>
              <w:t>2021</w:t>
            </w:r>
          </w:p>
        </w:tc>
        <w:tc>
          <w:tcPr>
            <w:tcW w:w="4111" w:type="dxa"/>
            <w:tcBorders>
              <w:top w:val="nil"/>
              <w:left w:val="nil"/>
              <w:bottom w:val="single" w:sz="4" w:space="0" w:color="auto"/>
              <w:right w:val="single" w:sz="4" w:space="0" w:color="auto"/>
            </w:tcBorders>
            <w:shd w:val="clear" w:color="auto" w:fill="C6EFCE"/>
            <w:noWrap/>
          </w:tcPr>
          <w:p w14:paraId="31FEEFD6" w14:textId="09FD1FE2" w:rsidR="00553430" w:rsidRDefault="00212577">
            <w:pPr>
              <w:pStyle w:val="P68B1DB1-Normal102"/>
              <w:spacing w:line="276" w:lineRule="auto"/>
              <w:rPr>
                <w:noProof/>
              </w:rPr>
            </w:pPr>
            <w:r>
              <w:rPr>
                <w:noProof/>
              </w:rPr>
              <w:t>Le gouvernement adopte et publie une nouvelle décision définissant une nouvelle liste d'entreprises publiques présentant un intérêt particulier pour la Croatie. La décision comprend une explication des raison</w:t>
            </w:r>
            <w:r>
              <w:rPr>
                <w:noProof/>
              </w:rPr>
              <w:t>s pour lesquelles une société est maintenue sur cette liste. Les sociétés cotées - pour lesquelles l'existence d'un intérêt public n'est pas démontrée - seront transférées au portefeuille du Centre de restructuration et de vente (CERP) en vue de la monétis</w:t>
            </w:r>
            <w:r>
              <w:rPr>
                <w:noProof/>
              </w:rPr>
              <w:t xml:space="preserve">ation des actifs. </w:t>
            </w:r>
            <w:r>
              <w:rPr>
                <w:noProof/>
              </w:rPr>
              <w:br/>
              <w:t xml:space="preserve">De cette manière, le portefeuille des actifs financiers de la Croatie sera clairement séparé en la partie qui présente un intérêt particulier et restera donc détenue par l’État et la partie qui ne présente pas d’intérêt particulier pour </w:t>
            </w:r>
            <w:r>
              <w:rPr>
                <w:noProof/>
              </w:rPr>
              <w:t>la Croatie et sera donc monétisée.</w:t>
            </w:r>
          </w:p>
        </w:tc>
      </w:tr>
      <w:tr w:rsidR="00553430" w14:paraId="7CFFCD47" w14:textId="77777777">
        <w:trPr>
          <w:trHeight w:val="283"/>
          <w:jc w:val="center"/>
        </w:trPr>
        <w:tc>
          <w:tcPr>
            <w:tcW w:w="960" w:type="dxa"/>
            <w:tcBorders>
              <w:top w:val="nil"/>
              <w:left w:val="single" w:sz="4" w:space="0" w:color="auto"/>
              <w:bottom w:val="single" w:sz="4" w:space="0" w:color="auto"/>
              <w:right w:val="single" w:sz="4" w:space="0" w:color="auto"/>
            </w:tcBorders>
            <w:shd w:val="clear" w:color="auto" w:fill="C6EFCE"/>
            <w:noWrap/>
          </w:tcPr>
          <w:p w14:paraId="6BC584E3" w14:textId="77777777" w:rsidR="00553430" w:rsidRDefault="00212577">
            <w:pPr>
              <w:pStyle w:val="P68B1DB1-Normal102"/>
              <w:spacing w:line="276" w:lineRule="auto"/>
              <w:jc w:val="center"/>
              <w:rPr>
                <w:noProof/>
              </w:rPr>
            </w:pPr>
            <w:r>
              <w:rPr>
                <w:noProof/>
              </w:rPr>
              <w:t>208</w:t>
            </w:r>
          </w:p>
        </w:tc>
        <w:tc>
          <w:tcPr>
            <w:tcW w:w="1134" w:type="dxa"/>
            <w:tcBorders>
              <w:top w:val="nil"/>
              <w:left w:val="nil"/>
              <w:bottom w:val="single" w:sz="4" w:space="0" w:color="auto"/>
              <w:right w:val="single" w:sz="4" w:space="0" w:color="auto"/>
            </w:tcBorders>
            <w:shd w:val="clear" w:color="auto" w:fill="C6EFCE"/>
            <w:noWrap/>
          </w:tcPr>
          <w:p w14:paraId="1387F214" w14:textId="77777777" w:rsidR="00553430" w:rsidRDefault="00212577">
            <w:pPr>
              <w:pStyle w:val="P68B1DB1-Normal102"/>
              <w:spacing w:line="276" w:lineRule="auto"/>
              <w:jc w:val="center"/>
              <w:rPr>
                <w:noProof/>
              </w:rPr>
            </w:pPr>
            <w:r>
              <w:rPr>
                <w:noProof/>
              </w:rPr>
              <w:t>C2.4. R2</w:t>
            </w:r>
          </w:p>
        </w:tc>
        <w:tc>
          <w:tcPr>
            <w:tcW w:w="1037" w:type="dxa"/>
            <w:tcBorders>
              <w:top w:val="nil"/>
              <w:left w:val="nil"/>
              <w:bottom w:val="single" w:sz="4" w:space="0" w:color="auto"/>
              <w:right w:val="single" w:sz="4" w:space="0" w:color="auto"/>
            </w:tcBorders>
            <w:shd w:val="clear" w:color="auto" w:fill="C6EFCE"/>
            <w:noWrap/>
          </w:tcPr>
          <w:p w14:paraId="615E953F" w14:textId="77777777" w:rsidR="00553430" w:rsidRDefault="00212577">
            <w:pPr>
              <w:pStyle w:val="P68B1DB1-Normal102"/>
              <w:spacing w:line="276" w:lineRule="auto"/>
              <w:jc w:val="center"/>
              <w:rPr>
                <w:noProof/>
              </w:rPr>
            </w:pPr>
            <w:r>
              <w:rPr>
                <w:noProof/>
              </w:rPr>
              <w:t>M</w:t>
            </w:r>
          </w:p>
        </w:tc>
        <w:tc>
          <w:tcPr>
            <w:tcW w:w="1656" w:type="dxa"/>
            <w:tcBorders>
              <w:top w:val="nil"/>
              <w:left w:val="nil"/>
              <w:bottom w:val="single" w:sz="4" w:space="0" w:color="auto"/>
              <w:right w:val="single" w:sz="4" w:space="0" w:color="auto"/>
            </w:tcBorders>
            <w:shd w:val="clear" w:color="auto" w:fill="C6EFCE"/>
            <w:noWrap/>
          </w:tcPr>
          <w:p w14:paraId="049083A2" w14:textId="77777777" w:rsidR="00553430" w:rsidRDefault="00212577">
            <w:pPr>
              <w:pStyle w:val="P68B1DB1-Normal102"/>
              <w:spacing w:line="276" w:lineRule="auto"/>
              <w:rPr>
                <w:noProof/>
              </w:rPr>
            </w:pPr>
            <w:r>
              <w:rPr>
                <w:noProof/>
              </w:rPr>
              <w:t>Nouveau cadre juridique sur les entreprises publiques, intégrant les recommandations de l'OCDE.</w:t>
            </w:r>
          </w:p>
        </w:tc>
        <w:tc>
          <w:tcPr>
            <w:tcW w:w="1985" w:type="dxa"/>
            <w:tcBorders>
              <w:top w:val="nil"/>
              <w:left w:val="nil"/>
              <w:bottom w:val="single" w:sz="4" w:space="0" w:color="auto"/>
              <w:right w:val="single" w:sz="4" w:space="0" w:color="auto"/>
            </w:tcBorders>
            <w:shd w:val="clear" w:color="auto" w:fill="C6EFCE"/>
            <w:noWrap/>
          </w:tcPr>
          <w:p w14:paraId="371686FD" w14:textId="3EF46F43" w:rsidR="00553430" w:rsidRDefault="00212577">
            <w:pPr>
              <w:pStyle w:val="P68B1DB1-Normal102"/>
              <w:spacing w:line="276" w:lineRule="auto"/>
              <w:rPr>
                <w:noProof/>
              </w:rPr>
            </w:pPr>
            <w:r>
              <w:rPr>
                <w:noProof/>
              </w:rPr>
              <w:t xml:space="preserve">Disposition relative à l'entrée en vigueur de la loi sur les entreprises publiques </w:t>
            </w:r>
          </w:p>
        </w:tc>
        <w:tc>
          <w:tcPr>
            <w:tcW w:w="1134" w:type="dxa"/>
            <w:tcBorders>
              <w:top w:val="nil"/>
              <w:left w:val="nil"/>
              <w:bottom w:val="single" w:sz="4" w:space="0" w:color="auto"/>
              <w:right w:val="single" w:sz="4" w:space="0" w:color="auto"/>
            </w:tcBorders>
            <w:shd w:val="clear" w:color="auto" w:fill="C6EFCE"/>
            <w:noWrap/>
          </w:tcPr>
          <w:p w14:paraId="76456708" w14:textId="77777777" w:rsidR="00553430" w:rsidRDefault="00212577">
            <w:pPr>
              <w:pStyle w:val="P68B1DB1-Normal102"/>
              <w:spacing w:line="276" w:lineRule="auto"/>
              <w:jc w:val="center"/>
              <w:rPr>
                <w:noProof/>
              </w:rPr>
            </w:pPr>
            <w:r>
              <w:rPr>
                <w:noProof/>
              </w:rPr>
              <w:t> </w:t>
            </w:r>
          </w:p>
        </w:tc>
        <w:tc>
          <w:tcPr>
            <w:tcW w:w="1134" w:type="dxa"/>
            <w:tcBorders>
              <w:top w:val="nil"/>
              <w:left w:val="nil"/>
              <w:bottom w:val="single" w:sz="4" w:space="0" w:color="auto"/>
              <w:right w:val="single" w:sz="4" w:space="0" w:color="auto"/>
            </w:tcBorders>
            <w:shd w:val="clear" w:color="auto" w:fill="C6EFCE"/>
            <w:noWrap/>
          </w:tcPr>
          <w:p w14:paraId="5F8E96EA" w14:textId="77777777" w:rsidR="00553430" w:rsidRDefault="00212577">
            <w:pPr>
              <w:pStyle w:val="P68B1DB1-Normal102"/>
              <w:spacing w:line="276" w:lineRule="auto"/>
              <w:jc w:val="center"/>
              <w:rPr>
                <w:noProof/>
              </w:rPr>
            </w:pPr>
            <w:r>
              <w:rPr>
                <w:noProof/>
              </w:rPr>
              <w:t> </w:t>
            </w:r>
          </w:p>
          <w:p w14:paraId="7C407655" w14:textId="77777777" w:rsidR="00553430" w:rsidRDefault="00553430">
            <w:pPr>
              <w:spacing w:line="276" w:lineRule="auto"/>
              <w:rPr>
                <w:rFonts w:ascii="Times New Roman" w:hAnsi="Times New Roman" w:cs="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50088739" w14:textId="77777777" w:rsidR="00553430" w:rsidRDefault="00212577">
            <w:pPr>
              <w:pStyle w:val="P68B1DB1-Normal102"/>
              <w:spacing w:line="276" w:lineRule="auto"/>
              <w:jc w:val="center"/>
              <w:rPr>
                <w:noProof/>
              </w:rPr>
            </w:pPr>
            <w:r>
              <w:rPr>
                <w:noProof/>
              </w:rPr>
              <w:t> </w:t>
            </w:r>
          </w:p>
        </w:tc>
        <w:tc>
          <w:tcPr>
            <w:tcW w:w="756" w:type="dxa"/>
            <w:tcBorders>
              <w:top w:val="nil"/>
              <w:left w:val="nil"/>
              <w:bottom w:val="single" w:sz="4" w:space="0" w:color="auto"/>
              <w:right w:val="single" w:sz="4" w:space="0" w:color="auto"/>
            </w:tcBorders>
            <w:shd w:val="clear" w:color="auto" w:fill="C6EFCE"/>
            <w:noWrap/>
          </w:tcPr>
          <w:p w14:paraId="723888B8" w14:textId="77777777" w:rsidR="00553430" w:rsidRDefault="00212577">
            <w:pPr>
              <w:pStyle w:val="P68B1DB1-Normal102"/>
              <w:spacing w:line="276" w:lineRule="auto"/>
              <w:jc w:val="center"/>
              <w:rPr>
                <w:noProof/>
              </w:rPr>
            </w:pPr>
            <w:r>
              <w:rPr>
                <w:noProof/>
              </w:rPr>
              <w:t>T1</w:t>
            </w:r>
          </w:p>
        </w:tc>
        <w:tc>
          <w:tcPr>
            <w:tcW w:w="709" w:type="dxa"/>
            <w:tcBorders>
              <w:top w:val="nil"/>
              <w:left w:val="nil"/>
              <w:bottom w:val="single" w:sz="4" w:space="0" w:color="auto"/>
              <w:right w:val="single" w:sz="4" w:space="0" w:color="auto"/>
            </w:tcBorders>
            <w:shd w:val="clear" w:color="auto" w:fill="C6EFCE"/>
            <w:noWrap/>
          </w:tcPr>
          <w:p w14:paraId="7DE1F413" w14:textId="77777777" w:rsidR="00553430" w:rsidRDefault="00212577">
            <w:pPr>
              <w:pStyle w:val="P68B1DB1-Normal102"/>
              <w:spacing w:line="276" w:lineRule="auto"/>
              <w:jc w:val="center"/>
              <w:rPr>
                <w:noProof/>
              </w:rPr>
            </w:pPr>
            <w:r>
              <w:rPr>
                <w:noProof/>
              </w:rPr>
              <w:t>2024</w:t>
            </w:r>
          </w:p>
        </w:tc>
        <w:tc>
          <w:tcPr>
            <w:tcW w:w="4111" w:type="dxa"/>
            <w:tcBorders>
              <w:top w:val="nil"/>
              <w:left w:val="nil"/>
              <w:bottom w:val="single" w:sz="4" w:space="0" w:color="auto"/>
              <w:right w:val="single" w:sz="4" w:space="0" w:color="auto"/>
            </w:tcBorders>
            <w:shd w:val="clear" w:color="auto" w:fill="C6EFCE"/>
            <w:noWrap/>
          </w:tcPr>
          <w:p w14:paraId="605D7935" w14:textId="77777777" w:rsidR="00553430" w:rsidRDefault="00212577">
            <w:pPr>
              <w:pStyle w:val="P68B1DB1-Normal102"/>
              <w:spacing w:line="276" w:lineRule="auto"/>
              <w:rPr>
                <w:noProof/>
              </w:rPr>
            </w:pPr>
            <w:r>
              <w:rPr>
                <w:noProof/>
              </w:rPr>
              <w:t>Le nouveau</w:t>
            </w:r>
            <w:r>
              <w:rPr>
                <w:noProof/>
              </w:rPr>
              <w:t xml:space="preserve"> cadre juridique pour la gouvernance des entreprises publiques comprend des dispositions visant à se conformer aux lignes directrices de l’OCDE sur la gouvernance d’entreprise des entreprises publiques et comprend au moins les éléments suivants:</w:t>
            </w:r>
            <w:r>
              <w:rPr>
                <w:noProof/>
              </w:rPr>
              <w:br/>
              <w:t>(i) Une no</w:t>
            </w:r>
            <w:r>
              <w:rPr>
                <w:noProof/>
              </w:rPr>
              <w:t>uvelle loi qui harmonise le règlement sur la gouvernance d’entreprise des entreprises publiques en Croatie. En outre, cette loi prévoit la mise en place d'une unité centrale de coordination en vue d'une mise en œuvre plus efficace de la politique de propri</w:t>
            </w:r>
            <w:r>
              <w:rPr>
                <w:noProof/>
              </w:rPr>
              <w:t>été à moyen terme, c'est-à-dire d'une coordination horizontale entre les autorités compétentes chargées d'exercer les fonctions de propriété. Cette loi renforce l'autonomie et l'indépendance du conseil d'administration. Cette loi prévoit également que a) l</w:t>
            </w:r>
            <w:r>
              <w:rPr>
                <w:noProof/>
              </w:rPr>
              <w:t>’État doit désigner/désigner les membres du conseil de surveillance des entreprises publiques dans un délai de trois mois à compter de la vacance du poste, et b) que le ministère compétent propose un candidat au gouvernement sur la base d’une recommandatio</w:t>
            </w:r>
            <w:r>
              <w:rPr>
                <w:noProof/>
              </w:rPr>
              <w:t>n de l’unité centrale de coordination.</w:t>
            </w:r>
            <w:r>
              <w:rPr>
                <w:noProof/>
              </w:rPr>
              <w:br/>
              <w:t>ii) Une décision du Gouvernement portant création d ' une entité centrale de coordination dotée du mandat et des ressources nécessaires pour s ' acquitter efficacement de son rôle de coordination. L’entité élabore des</w:t>
            </w:r>
            <w:r>
              <w:rPr>
                <w:noProof/>
              </w:rPr>
              <w:t xml:space="preserve"> normes de gouvernance d’entreprise pour les entreprises publiques et contrôle le respect de ces normes, surveille la performance des entreprises publiques et publie régulièrement des informations à ce sujet. </w:t>
            </w:r>
            <w:r>
              <w:rPr>
                <w:noProof/>
              </w:rPr>
              <w:br/>
            </w:r>
          </w:p>
        </w:tc>
      </w:tr>
      <w:tr w:rsidR="00553430" w14:paraId="32D58B09" w14:textId="77777777">
        <w:trPr>
          <w:trHeight w:val="283"/>
          <w:jc w:val="center"/>
        </w:trPr>
        <w:tc>
          <w:tcPr>
            <w:tcW w:w="960" w:type="dxa"/>
            <w:tcBorders>
              <w:top w:val="nil"/>
              <w:left w:val="single" w:sz="4" w:space="0" w:color="auto"/>
              <w:bottom w:val="single" w:sz="4" w:space="0" w:color="auto"/>
              <w:right w:val="single" w:sz="4" w:space="0" w:color="auto"/>
            </w:tcBorders>
            <w:shd w:val="clear" w:color="auto" w:fill="C6EFCE"/>
            <w:noWrap/>
          </w:tcPr>
          <w:p w14:paraId="7C7313A0" w14:textId="77777777" w:rsidR="00553430" w:rsidRDefault="00212577">
            <w:pPr>
              <w:pStyle w:val="P68B1DB1-Normal102"/>
              <w:spacing w:line="276" w:lineRule="auto"/>
              <w:jc w:val="center"/>
              <w:rPr>
                <w:noProof/>
              </w:rPr>
            </w:pPr>
            <w:r>
              <w:rPr>
                <w:noProof/>
              </w:rPr>
              <w:t>442</w:t>
            </w:r>
          </w:p>
        </w:tc>
        <w:tc>
          <w:tcPr>
            <w:tcW w:w="1134" w:type="dxa"/>
            <w:tcBorders>
              <w:top w:val="nil"/>
              <w:left w:val="nil"/>
              <w:bottom w:val="single" w:sz="4" w:space="0" w:color="auto"/>
              <w:right w:val="single" w:sz="4" w:space="0" w:color="auto"/>
            </w:tcBorders>
            <w:shd w:val="clear" w:color="auto" w:fill="C6EFCE"/>
            <w:noWrap/>
          </w:tcPr>
          <w:p w14:paraId="65C4E49F" w14:textId="77777777" w:rsidR="00553430" w:rsidRDefault="00212577">
            <w:pPr>
              <w:pStyle w:val="P68B1DB1-Normal102"/>
              <w:spacing w:line="276" w:lineRule="auto"/>
              <w:jc w:val="center"/>
              <w:rPr>
                <w:noProof/>
              </w:rPr>
            </w:pPr>
            <w:r>
              <w:rPr>
                <w:noProof/>
              </w:rPr>
              <w:t>C2.4. R2</w:t>
            </w:r>
          </w:p>
        </w:tc>
        <w:tc>
          <w:tcPr>
            <w:tcW w:w="1037" w:type="dxa"/>
            <w:tcBorders>
              <w:top w:val="nil"/>
              <w:left w:val="nil"/>
              <w:bottom w:val="single" w:sz="4" w:space="0" w:color="auto"/>
              <w:right w:val="single" w:sz="4" w:space="0" w:color="auto"/>
            </w:tcBorders>
            <w:shd w:val="clear" w:color="auto" w:fill="C6EFCE"/>
            <w:noWrap/>
          </w:tcPr>
          <w:p w14:paraId="4D839F92" w14:textId="77777777" w:rsidR="00553430" w:rsidRDefault="00212577">
            <w:pPr>
              <w:pStyle w:val="P68B1DB1-Normal102"/>
              <w:spacing w:line="276" w:lineRule="auto"/>
              <w:jc w:val="center"/>
              <w:rPr>
                <w:noProof/>
              </w:rPr>
            </w:pPr>
            <w:r>
              <w:rPr>
                <w:noProof/>
              </w:rPr>
              <w:t>M</w:t>
            </w:r>
          </w:p>
        </w:tc>
        <w:tc>
          <w:tcPr>
            <w:tcW w:w="1656" w:type="dxa"/>
            <w:tcBorders>
              <w:top w:val="nil"/>
              <w:left w:val="nil"/>
              <w:bottom w:val="single" w:sz="4" w:space="0" w:color="auto"/>
              <w:right w:val="single" w:sz="4" w:space="0" w:color="auto"/>
            </w:tcBorders>
            <w:shd w:val="clear" w:color="auto" w:fill="C6EFCE"/>
            <w:noWrap/>
          </w:tcPr>
          <w:p w14:paraId="4D8D8EE3" w14:textId="77777777" w:rsidR="00553430" w:rsidRDefault="00212577">
            <w:pPr>
              <w:pStyle w:val="P68B1DB1-Normal102"/>
              <w:spacing w:line="276" w:lineRule="auto"/>
              <w:rPr>
                <w:noProof/>
              </w:rPr>
            </w:pPr>
            <w:r>
              <w:rPr>
                <w:noProof/>
              </w:rPr>
              <w:t xml:space="preserve">Politique de propriété des </w:t>
            </w:r>
            <w:r>
              <w:rPr>
                <w:noProof/>
              </w:rPr>
              <w:t>entreprises publiques</w:t>
            </w:r>
          </w:p>
        </w:tc>
        <w:tc>
          <w:tcPr>
            <w:tcW w:w="1985" w:type="dxa"/>
            <w:tcBorders>
              <w:top w:val="nil"/>
              <w:left w:val="nil"/>
              <w:bottom w:val="single" w:sz="4" w:space="0" w:color="auto"/>
              <w:right w:val="single" w:sz="4" w:space="0" w:color="auto"/>
            </w:tcBorders>
            <w:shd w:val="clear" w:color="auto" w:fill="C6EFCE"/>
            <w:noWrap/>
          </w:tcPr>
          <w:p w14:paraId="4AAF750E" w14:textId="77777777" w:rsidR="00553430" w:rsidRDefault="00212577">
            <w:pPr>
              <w:pStyle w:val="P68B1DB1-Normal102"/>
              <w:spacing w:line="276" w:lineRule="auto"/>
              <w:rPr>
                <w:noProof/>
              </w:rPr>
            </w:pPr>
            <w:r>
              <w:rPr>
                <w:noProof/>
              </w:rPr>
              <w:t>Entrée en vigueur de la politique de propriété</w:t>
            </w:r>
          </w:p>
        </w:tc>
        <w:tc>
          <w:tcPr>
            <w:tcW w:w="1134" w:type="dxa"/>
            <w:tcBorders>
              <w:top w:val="nil"/>
              <w:left w:val="nil"/>
              <w:bottom w:val="single" w:sz="4" w:space="0" w:color="auto"/>
              <w:right w:val="single" w:sz="4" w:space="0" w:color="auto"/>
            </w:tcBorders>
            <w:shd w:val="clear" w:color="auto" w:fill="C6EFCE"/>
            <w:noWrap/>
          </w:tcPr>
          <w:p w14:paraId="482A64B7" w14:textId="77777777" w:rsidR="00553430" w:rsidRDefault="00553430">
            <w:pPr>
              <w:spacing w:line="276" w:lineRule="auto"/>
              <w:jc w:val="center"/>
              <w:rPr>
                <w:rFonts w:ascii="Times New Roman" w:hAnsi="Times New Roman" w:cs="Times New Roman"/>
                <w:noProof/>
                <w:color w:val="000000"/>
                <w:sz w:val="20"/>
                <w:szCs w:val="20"/>
              </w:rPr>
            </w:pPr>
          </w:p>
        </w:tc>
        <w:tc>
          <w:tcPr>
            <w:tcW w:w="1134" w:type="dxa"/>
            <w:tcBorders>
              <w:top w:val="nil"/>
              <w:left w:val="nil"/>
              <w:bottom w:val="single" w:sz="4" w:space="0" w:color="auto"/>
              <w:right w:val="single" w:sz="4" w:space="0" w:color="auto"/>
            </w:tcBorders>
            <w:shd w:val="clear" w:color="auto" w:fill="C6EFCE"/>
            <w:noWrap/>
          </w:tcPr>
          <w:p w14:paraId="1D669706" w14:textId="77777777" w:rsidR="00553430" w:rsidRDefault="00553430">
            <w:pPr>
              <w:spacing w:line="276" w:lineRule="auto"/>
              <w:jc w:val="center"/>
              <w:rPr>
                <w:rFonts w:ascii="Times New Roman" w:hAnsi="Times New Roman" w:cs="Times New Roman"/>
                <w:noProof/>
                <w:color w:val="000000"/>
                <w:sz w:val="20"/>
                <w:szCs w:val="20"/>
              </w:rPr>
            </w:pPr>
          </w:p>
        </w:tc>
        <w:tc>
          <w:tcPr>
            <w:tcW w:w="850" w:type="dxa"/>
            <w:tcBorders>
              <w:top w:val="nil"/>
              <w:left w:val="nil"/>
              <w:bottom w:val="single" w:sz="4" w:space="0" w:color="auto"/>
              <w:right w:val="single" w:sz="4" w:space="0" w:color="auto"/>
            </w:tcBorders>
            <w:shd w:val="clear" w:color="auto" w:fill="C6EFCE"/>
            <w:noWrap/>
          </w:tcPr>
          <w:p w14:paraId="03BC9328" w14:textId="77777777" w:rsidR="00553430" w:rsidRDefault="00553430">
            <w:pPr>
              <w:spacing w:line="276" w:lineRule="auto"/>
              <w:jc w:val="center"/>
              <w:rPr>
                <w:rFonts w:ascii="Times New Roman" w:hAnsi="Times New Roman" w:cs="Times New Roman"/>
                <w:noProof/>
                <w:color w:val="000000"/>
                <w:sz w:val="20"/>
                <w:szCs w:val="20"/>
              </w:rPr>
            </w:pPr>
          </w:p>
        </w:tc>
        <w:tc>
          <w:tcPr>
            <w:tcW w:w="756" w:type="dxa"/>
            <w:tcBorders>
              <w:top w:val="nil"/>
              <w:left w:val="nil"/>
              <w:bottom w:val="single" w:sz="4" w:space="0" w:color="auto"/>
              <w:right w:val="single" w:sz="4" w:space="0" w:color="auto"/>
            </w:tcBorders>
            <w:shd w:val="clear" w:color="auto" w:fill="C6EFCE"/>
            <w:noWrap/>
          </w:tcPr>
          <w:p w14:paraId="74660E11" w14:textId="77777777" w:rsidR="00553430" w:rsidRDefault="00212577">
            <w:pPr>
              <w:pStyle w:val="P68B1DB1-Normal102"/>
              <w:spacing w:line="276" w:lineRule="auto"/>
              <w:jc w:val="center"/>
              <w:rPr>
                <w:noProof/>
              </w:rPr>
            </w:pPr>
            <w:r>
              <w:rPr>
                <w:noProof/>
              </w:rPr>
              <w:t>T3</w:t>
            </w:r>
          </w:p>
        </w:tc>
        <w:tc>
          <w:tcPr>
            <w:tcW w:w="709" w:type="dxa"/>
            <w:tcBorders>
              <w:top w:val="nil"/>
              <w:left w:val="nil"/>
              <w:bottom w:val="single" w:sz="4" w:space="0" w:color="auto"/>
              <w:right w:val="single" w:sz="4" w:space="0" w:color="auto"/>
            </w:tcBorders>
            <w:shd w:val="clear" w:color="auto" w:fill="C6EFCE"/>
            <w:noWrap/>
          </w:tcPr>
          <w:p w14:paraId="0A368649" w14:textId="77777777" w:rsidR="00553430" w:rsidRDefault="00212577">
            <w:pPr>
              <w:pStyle w:val="P68B1DB1-Normal102"/>
              <w:spacing w:line="276" w:lineRule="auto"/>
              <w:jc w:val="center"/>
              <w:rPr>
                <w:noProof/>
              </w:rPr>
            </w:pPr>
            <w:r>
              <w:rPr>
                <w:noProof/>
              </w:rPr>
              <w:t>2025</w:t>
            </w:r>
          </w:p>
        </w:tc>
        <w:tc>
          <w:tcPr>
            <w:tcW w:w="4111" w:type="dxa"/>
            <w:tcBorders>
              <w:top w:val="nil"/>
              <w:left w:val="nil"/>
              <w:bottom w:val="single" w:sz="4" w:space="0" w:color="auto"/>
              <w:right w:val="single" w:sz="4" w:space="0" w:color="auto"/>
            </w:tcBorders>
            <w:shd w:val="clear" w:color="auto" w:fill="C6EFCE"/>
            <w:noWrap/>
          </w:tcPr>
          <w:p w14:paraId="68CA4568" w14:textId="77777777" w:rsidR="00553430" w:rsidRDefault="00212577">
            <w:pPr>
              <w:pStyle w:val="P68B1DB1-Normal102"/>
              <w:spacing w:line="276" w:lineRule="auto"/>
              <w:rPr>
                <w:noProof/>
              </w:rPr>
            </w:pPr>
            <w:r>
              <w:rPr>
                <w:noProof/>
              </w:rPr>
              <w:t>Entrée en vigueur d'une politique de propriété indiquant les raisons pour lesquelles les entreprises publiques sont détenues intégralement ou majoritairement par l'État au nive</w:t>
            </w:r>
            <w:r>
              <w:rPr>
                <w:noProof/>
              </w:rPr>
              <w:t>au national et établissant le processus de révision de la liste des entreprises publiques présentant un intérêt particulier pour la Croatie.</w:t>
            </w:r>
          </w:p>
        </w:tc>
      </w:tr>
      <w:tr w:rsidR="00553430" w14:paraId="52C72D77" w14:textId="77777777">
        <w:trPr>
          <w:trHeight w:val="283"/>
          <w:jc w:val="center"/>
        </w:trPr>
        <w:tc>
          <w:tcPr>
            <w:tcW w:w="960" w:type="dxa"/>
            <w:tcBorders>
              <w:top w:val="nil"/>
              <w:left w:val="single" w:sz="4" w:space="0" w:color="auto"/>
              <w:bottom w:val="single" w:sz="4" w:space="0" w:color="auto"/>
              <w:right w:val="single" w:sz="4" w:space="0" w:color="auto"/>
            </w:tcBorders>
            <w:shd w:val="clear" w:color="auto" w:fill="C6EFCE"/>
            <w:noWrap/>
          </w:tcPr>
          <w:p w14:paraId="4543B375" w14:textId="77777777" w:rsidR="00553430" w:rsidRDefault="00212577">
            <w:pPr>
              <w:pStyle w:val="P68B1DB1-Normal102"/>
              <w:spacing w:line="276" w:lineRule="auto"/>
              <w:jc w:val="center"/>
              <w:rPr>
                <w:noProof/>
              </w:rPr>
            </w:pPr>
            <w:r>
              <w:rPr>
                <w:noProof/>
              </w:rPr>
              <w:t>209</w:t>
            </w:r>
          </w:p>
        </w:tc>
        <w:tc>
          <w:tcPr>
            <w:tcW w:w="1134" w:type="dxa"/>
            <w:tcBorders>
              <w:top w:val="nil"/>
              <w:left w:val="nil"/>
              <w:bottom w:val="single" w:sz="4" w:space="0" w:color="auto"/>
              <w:right w:val="single" w:sz="4" w:space="0" w:color="auto"/>
            </w:tcBorders>
            <w:shd w:val="clear" w:color="auto" w:fill="C6EFCE"/>
            <w:noWrap/>
          </w:tcPr>
          <w:p w14:paraId="51486B84" w14:textId="77777777" w:rsidR="00553430" w:rsidRDefault="00212577">
            <w:pPr>
              <w:pStyle w:val="P68B1DB1-Normal102"/>
              <w:spacing w:line="276" w:lineRule="auto"/>
              <w:jc w:val="center"/>
              <w:rPr>
                <w:noProof/>
              </w:rPr>
            </w:pPr>
            <w:r>
              <w:rPr>
                <w:noProof/>
              </w:rPr>
              <w:t>C2.4. R3</w:t>
            </w:r>
          </w:p>
        </w:tc>
        <w:tc>
          <w:tcPr>
            <w:tcW w:w="1037" w:type="dxa"/>
            <w:tcBorders>
              <w:top w:val="nil"/>
              <w:left w:val="nil"/>
              <w:bottom w:val="single" w:sz="4" w:space="0" w:color="auto"/>
              <w:right w:val="single" w:sz="4" w:space="0" w:color="auto"/>
            </w:tcBorders>
            <w:shd w:val="clear" w:color="auto" w:fill="C6EFCE"/>
            <w:noWrap/>
          </w:tcPr>
          <w:p w14:paraId="625182E3" w14:textId="77777777" w:rsidR="00553430" w:rsidRDefault="00212577">
            <w:pPr>
              <w:pStyle w:val="P68B1DB1-Normal102"/>
              <w:spacing w:line="276" w:lineRule="auto"/>
              <w:jc w:val="center"/>
              <w:rPr>
                <w:noProof/>
              </w:rPr>
            </w:pPr>
            <w:r>
              <w:rPr>
                <w:noProof/>
              </w:rPr>
              <w:t>T</w:t>
            </w:r>
          </w:p>
        </w:tc>
        <w:tc>
          <w:tcPr>
            <w:tcW w:w="1656" w:type="dxa"/>
            <w:tcBorders>
              <w:top w:val="nil"/>
              <w:left w:val="nil"/>
              <w:bottom w:val="single" w:sz="4" w:space="0" w:color="auto"/>
              <w:right w:val="single" w:sz="4" w:space="0" w:color="auto"/>
            </w:tcBorders>
            <w:shd w:val="clear" w:color="auto" w:fill="C6EFCE"/>
            <w:noWrap/>
          </w:tcPr>
          <w:p w14:paraId="6C1739CB" w14:textId="77777777" w:rsidR="00553430" w:rsidRDefault="00212577">
            <w:pPr>
              <w:pStyle w:val="P68B1DB1-Normal102"/>
              <w:spacing w:line="276" w:lineRule="auto"/>
              <w:rPr>
                <w:noProof/>
              </w:rPr>
            </w:pPr>
            <w:r>
              <w:rPr>
                <w:noProof/>
              </w:rPr>
              <w:t xml:space="preserve">Formation des ministères d'exécution et des unités centrales de coordination aux activités de </w:t>
            </w:r>
            <w:r>
              <w:rPr>
                <w:noProof/>
              </w:rPr>
              <w:t>gouvernance d'entreprise</w:t>
            </w:r>
          </w:p>
        </w:tc>
        <w:tc>
          <w:tcPr>
            <w:tcW w:w="1985" w:type="dxa"/>
            <w:tcBorders>
              <w:top w:val="nil"/>
              <w:left w:val="nil"/>
              <w:bottom w:val="single" w:sz="4" w:space="0" w:color="auto"/>
              <w:right w:val="single" w:sz="4" w:space="0" w:color="auto"/>
            </w:tcBorders>
            <w:shd w:val="clear" w:color="auto" w:fill="C6EFCE"/>
            <w:noWrap/>
          </w:tcPr>
          <w:p w14:paraId="52112033" w14:textId="77777777" w:rsidR="00553430" w:rsidRDefault="00553430">
            <w:pPr>
              <w:spacing w:line="276" w:lineRule="auto"/>
              <w:rPr>
                <w:rFonts w:ascii="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760D1D50" w14:textId="77777777" w:rsidR="00553430" w:rsidRDefault="00212577">
            <w:pPr>
              <w:pStyle w:val="P68B1DB1-Normal102"/>
              <w:spacing w:line="276" w:lineRule="auto"/>
              <w:jc w:val="center"/>
              <w:rPr>
                <w:noProof/>
              </w:rPr>
            </w:pPr>
            <w:r>
              <w:rPr>
                <w:noProof/>
              </w:rPr>
              <w:t>Numéro</w:t>
            </w:r>
          </w:p>
        </w:tc>
        <w:tc>
          <w:tcPr>
            <w:tcW w:w="1134" w:type="dxa"/>
            <w:tcBorders>
              <w:top w:val="nil"/>
              <w:left w:val="nil"/>
              <w:bottom w:val="single" w:sz="4" w:space="0" w:color="auto"/>
              <w:right w:val="single" w:sz="4" w:space="0" w:color="auto"/>
            </w:tcBorders>
            <w:shd w:val="clear" w:color="auto" w:fill="C6EFCE"/>
            <w:noWrap/>
          </w:tcPr>
          <w:p w14:paraId="702A8FA1" w14:textId="77777777" w:rsidR="00553430" w:rsidRDefault="00212577">
            <w:pPr>
              <w:pStyle w:val="P68B1DB1-Normal102"/>
              <w:spacing w:line="276" w:lineRule="auto"/>
              <w:jc w:val="center"/>
              <w:rPr>
                <w:noProof/>
              </w:rPr>
            </w:pPr>
            <w:r>
              <w:rPr>
                <w:noProof/>
              </w:rPr>
              <w:t>0</w:t>
            </w:r>
          </w:p>
        </w:tc>
        <w:tc>
          <w:tcPr>
            <w:tcW w:w="850" w:type="dxa"/>
            <w:tcBorders>
              <w:top w:val="nil"/>
              <w:left w:val="nil"/>
              <w:bottom w:val="single" w:sz="4" w:space="0" w:color="auto"/>
              <w:right w:val="single" w:sz="4" w:space="0" w:color="auto"/>
            </w:tcBorders>
            <w:shd w:val="clear" w:color="auto" w:fill="C6EFCE"/>
            <w:noWrap/>
          </w:tcPr>
          <w:p w14:paraId="2BD50036" w14:textId="77777777" w:rsidR="00553430" w:rsidRDefault="00212577">
            <w:pPr>
              <w:pStyle w:val="P68B1DB1-Normal102"/>
              <w:spacing w:line="276" w:lineRule="auto"/>
              <w:jc w:val="center"/>
              <w:rPr>
                <w:noProof/>
              </w:rPr>
            </w:pPr>
            <w:r>
              <w:rPr>
                <w:noProof/>
              </w:rPr>
              <w:t>40</w:t>
            </w:r>
          </w:p>
        </w:tc>
        <w:tc>
          <w:tcPr>
            <w:tcW w:w="756" w:type="dxa"/>
            <w:tcBorders>
              <w:top w:val="nil"/>
              <w:left w:val="nil"/>
              <w:bottom w:val="single" w:sz="4" w:space="0" w:color="auto"/>
              <w:right w:val="single" w:sz="4" w:space="0" w:color="auto"/>
            </w:tcBorders>
            <w:shd w:val="clear" w:color="auto" w:fill="C6EFCE"/>
            <w:noWrap/>
          </w:tcPr>
          <w:p w14:paraId="2575E0AD" w14:textId="77777777" w:rsidR="00553430" w:rsidRDefault="00212577">
            <w:pPr>
              <w:pStyle w:val="P68B1DB1-Normal102"/>
              <w:spacing w:line="276"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noWrap/>
          </w:tcPr>
          <w:p w14:paraId="36390425" w14:textId="77777777" w:rsidR="00553430" w:rsidRDefault="00212577">
            <w:pPr>
              <w:pStyle w:val="P68B1DB1-Normal102"/>
              <w:spacing w:line="276" w:lineRule="auto"/>
              <w:jc w:val="center"/>
              <w:rPr>
                <w:noProof/>
              </w:rPr>
            </w:pPr>
            <w:r>
              <w:rPr>
                <w:noProof/>
              </w:rPr>
              <w:t>2026</w:t>
            </w:r>
          </w:p>
        </w:tc>
        <w:tc>
          <w:tcPr>
            <w:tcW w:w="4111" w:type="dxa"/>
            <w:tcBorders>
              <w:top w:val="nil"/>
              <w:left w:val="nil"/>
              <w:bottom w:val="single" w:sz="4" w:space="0" w:color="auto"/>
              <w:right w:val="single" w:sz="4" w:space="0" w:color="auto"/>
            </w:tcBorders>
            <w:shd w:val="clear" w:color="auto" w:fill="C6EFCE"/>
            <w:noWrap/>
          </w:tcPr>
          <w:p w14:paraId="4460DB3B" w14:textId="59D8C48D" w:rsidR="00553430" w:rsidRDefault="00212577">
            <w:pPr>
              <w:pStyle w:val="P68B1DB1-Normal102"/>
              <w:spacing w:line="276" w:lineRule="auto"/>
              <w:rPr>
                <w:noProof/>
              </w:rPr>
            </w:pPr>
            <w:r>
              <w:rPr>
                <w:noProof/>
              </w:rPr>
              <w:t>Une formation relative à la gestion des entreprises publiques est dispensée à au moins 40 personnes.</w:t>
            </w:r>
          </w:p>
        </w:tc>
      </w:tr>
      <w:tr w:rsidR="00553430" w14:paraId="026CF7AF" w14:textId="77777777">
        <w:trPr>
          <w:trHeight w:val="283"/>
          <w:jc w:val="center"/>
        </w:trPr>
        <w:tc>
          <w:tcPr>
            <w:tcW w:w="960" w:type="dxa"/>
            <w:tcBorders>
              <w:top w:val="nil"/>
              <w:left w:val="single" w:sz="4" w:space="0" w:color="auto"/>
              <w:bottom w:val="single" w:sz="4" w:space="0" w:color="auto"/>
              <w:right w:val="single" w:sz="4" w:space="0" w:color="auto"/>
            </w:tcBorders>
            <w:shd w:val="clear" w:color="auto" w:fill="C6EFCE"/>
            <w:noWrap/>
          </w:tcPr>
          <w:p w14:paraId="3E280F90" w14:textId="77777777" w:rsidR="00553430" w:rsidRDefault="00212577">
            <w:pPr>
              <w:pStyle w:val="P68B1DB1-Normal102"/>
              <w:spacing w:line="276" w:lineRule="auto"/>
              <w:jc w:val="center"/>
              <w:rPr>
                <w:noProof/>
              </w:rPr>
            </w:pPr>
            <w:bookmarkStart w:id="7" w:name="_Hlk211422288"/>
            <w:r>
              <w:rPr>
                <w:noProof/>
              </w:rPr>
              <w:t>210</w:t>
            </w:r>
          </w:p>
        </w:tc>
        <w:tc>
          <w:tcPr>
            <w:tcW w:w="1134" w:type="dxa"/>
            <w:tcBorders>
              <w:top w:val="nil"/>
              <w:left w:val="nil"/>
              <w:bottom w:val="single" w:sz="4" w:space="0" w:color="auto"/>
              <w:right w:val="single" w:sz="4" w:space="0" w:color="auto"/>
            </w:tcBorders>
            <w:shd w:val="clear" w:color="auto" w:fill="C6EFCE"/>
            <w:noWrap/>
          </w:tcPr>
          <w:p w14:paraId="21E9DF48" w14:textId="77777777" w:rsidR="00553430" w:rsidRDefault="00212577">
            <w:pPr>
              <w:pStyle w:val="P68B1DB1-Normal102"/>
              <w:spacing w:line="276" w:lineRule="auto"/>
              <w:jc w:val="center"/>
              <w:rPr>
                <w:noProof/>
              </w:rPr>
            </w:pPr>
            <w:r>
              <w:rPr>
                <w:noProof/>
              </w:rPr>
              <w:t>C2.4. R4</w:t>
            </w:r>
          </w:p>
        </w:tc>
        <w:tc>
          <w:tcPr>
            <w:tcW w:w="1037" w:type="dxa"/>
            <w:tcBorders>
              <w:top w:val="nil"/>
              <w:left w:val="nil"/>
              <w:bottom w:val="single" w:sz="4" w:space="0" w:color="auto"/>
              <w:right w:val="single" w:sz="4" w:space="0" w:color="auto"/>
            </w:tcBorders>
            <w:shd w:val="clear" w:color="auto" w:fill="C6EFCE"/>
            <w:noWrap/>
          </w:tcPr>
          <w:p w14:paraId="24278A13" w14:textId="77777777" w:rsidR="00553430" w:rsidRDefault="00212577">
            <w:pPr>
              <w:pStyle w:val="P68B1DB1-Normal102"/>
              <w:spacing w:line="276" w:lineRule="auto"/>
              <w:jc w:val="center"/>
              <w:rPr>
                <w:noProof/>
              </w:rPr>
            </w:pPr>
            <w:r>
              <w:rPr>
                <w:noProof/>
              </w:rPr>
              <w:t>T</w:t>
            </w:r>
          </w:p>
        </w:tc>
        <w:tc>
          <w:tcPr>
            <w:tcW w:w="1656" w:type="dxa"/>
            <w:tcBorders>
              <w:top w:val="nil"/>
              <w:left w:val="nil"/>
              <w:bottom w:val="single" w:sz="4" w:space="0" w:color="auto"/>
              <w:right w:val="single" w:sz="4" w:space="0" w:color="auto"/>
            </w:tcBorders>
            <w:shd w:val="clear" w:color="auto" w:fill="C6EFCE"/>
            <w:noWrap/>
          </w:tcPr>
          <w:p w14:paraId="1BE8C83B" w14:textId="77777777" w:rsidR="00553430" w:rsidRDefault="00212577">
            <w:pPr>
              <w:pStyle w:val="P68B1DB1-Normal102"/>
              <w:spacing w:line="276" w:lineRule="auto"/>
              <w:rPr>
                <w:noProof/>
              </w:rPr>
            </w:pPr>
            <w:r>
              <w:rPr>
                <w:noProof/>
              </w:rPr>
              <w:t xml:space="preserve">La réalisation de la vente de 90 entreprises publiques qui ne présentent pas un intérêt </w:t>
            </w:r>
            <w:r>
              <w:rPr>
                <w:noProof/>
              </w:rPr>
              <w:t>particulier pour la République de Croatie et sont gérées par CERP</w:t>
            </w:r>
          </w:p>
        </w:tc>
        <w:tc>
          <w:tcPr>
            <w:tcW w:w="1985" w:type="dxa"/>
            <w:tcBorders>
              <w:top w:val="nil"/>
              <w:left w:val="nil"/>
              <w:bottom w:val="single" w:sz="4" w:space="0" w:color="auto"/>
              <w:right w:val="single" w:sz="4" w:space="0" w:color="auto"/>
            </w:tcBorders>
            <w:shd w:val="clear" w:color="auto" w:fill="C6EFCE"/>
            <w:noWrap/>
          </w:tcPr>
          <w:p w14:paraId="4C56444B" w14:textId="77777777" w:rsidR="00553430" w:rsidRDefault="00212577">
            <w:pPr>
              <w:pStyle w:val="P68B1DB1-Normal102"/>
              <w:spacing w:line="276" w:lineRule="auto"/>
              <w:rPr>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2486C851" w14:textId="77777777" w:rsidR="00553430" w:rsidRDefault="00212577">
            <w:pPr>
              <w:pStyle w:val="P68B1DB1-Normal102"/>
              <w:spacing w:line="276" w:lineRule="auto"/>
              <w:jc w:val="center"/>
              <w:rPr>
                <w:noProof/>
              </w:rPr>
            </w:pPr>
            <w:r>
              <w:rPr>
                <w:noProof/>
              </w:rPr>
              <w:t>Numéro</w:t>
            </w:r>
          </w:p>
        </w:tc>
        <w:tc>
          <w:tcPr>
            <w:tcW w:w="1134" w:type="dxa"/>
            <w:tcBorders>
              <w:top w:val="nil"/>
              <w:left w:val="nil"/>
              <w:bottom w:val="single" w:sz="4" w:space="0" w:color="auto"/>
              <w:right w:val="single" w:sz="4" w:space="0" w:color="auto"/>
            </w:tcBorders>
            <w:shd w:val="clear" w:color="auto" w:fill="C6EFCE"/>
            <w:noWrap/>
          </w:tcPr>
          <w:p w14:paraId="61BF8173" w14:textId="77777777" w:rsidR="00553430" w:rsidRDefault="00212577">
            <w:pPr>
              <w:pStyle w:val="P68B1DB1-Normal102"/>
              <w:spacing w:line="276" w:lineRule="auto"/>
              <w:jc w:val="center"/>
              <w:rPr>
                <w:noProof/>
              </w:rPr>
            </w:pPr>
            <w:r>
              <w:rPr>
                <w:noProof/>
              </w:rPr>
              <w:t>0</w:t>
            </w:r>
          </w:p>
        </w:tc>
        <w:tc>
          <w:tcPr>
            <w:tcW w:w="850" w:type="dxa"/>
            <w:tcBorders>
              <w:top w:val="nil"/>
              <w:left w:val="nil"/>
              <w:bottom w:val="single" w:sz="4" w:space="0" w:color="auto"/>
              <w:right w:val="single" w:sz="4" w:space="0" w:color="auto"/>
            </w:tcBorders>
            <w:shd w:val="clear" w:color="auto" w:fill="C6EFCE"/>
            <w:noWrap/>
          </w:tcPr>
          <w:p w14:paraId="0AD5F132" w14:textId="77777777" w:rsidR="00553430" w:rsidRDefault="00212577">
            <w:pPr>
              <w:pStyle w:val="P68B1DB1-Normal102"/>
              <w:spacing w:line="276" w:lineRule="auto"/>
              <w:jc w:val="center"/>
              <w:rPr>
                <w:noProof/>
              </w:rPr>
            </w:pPr>
            <w:r>
              <w:rPr>
                <w:noProof/>
              </w:rPr>
              <w:t>90</w:t>
            </w:r>
          </w:p>
        </w:tc>
        <w:tc>
          <w:tcPr>
            <w:tcW w:w="756" w:type="dxa"/>
            <w:tcBorders>
              <w:top w:val="nil"/>
              <w:left w:val="nil"/>
              <w:bottom w:val="single" w:sz="4" w:space="0" w:color="auto"/>
              <w:right w:val="single" w:sz="4" w:space="0" w:color="auto"/>
            </w:tcBorders>
            <w:shd w:val="clear" w:color="auto" w:fill="C6EFCE"/>
            <w:noWrap/>
          </w:tcPr>
          <w:p w14:paraId="4C92CB87" w14:textId="77777777" w:rsidR="00553430" w:rsidRDefault="00212577">
            <w:pPr>
              <w:pStyle w:val="P68B1DB1-Normal102"/>
              <w:spacing w:line="276" w:lineRule="auto"/>
              <w:jc w:val="center"/>
              <w:rPr>
                <w:noProof/>
              </w:rPr>
            </w:pPr>
            <w:r>
              <w:rPr>
                <w:noProof/>
              </w:rPr>
              <w:t>T4</w:t>
            </w:r>
          </w:p>
        </w:tc>
        <w:tc>
          <w:tcPr>
            <w:tcW w:w="709" w:type="dxa"/>
            <w:tcBorders>
              <w:top w:val="nil"/>
              <w:left w:val="nil"/>
              <w:bottom w:val="single" w:sz="4" w:space="0" w:color="auto"/>
              <w:right w:val="single" w:sz="4" w:space="0" w:color="auto"/>
            </w:tcBorders>
            <w:shd w:val="clear" w:color="auto" w:fill="C6EFCE"/>
            <w:noWrap/>
          </w:tcPr>
          <w:p w14:paraId="3696D502" w14:textId="77777777" w:rsidR="00553430" w:rsidRDefault="00212577">
            <w:pPr>
              <w:pStyle w:val="P68B1DB1-Normal102"/>
              <w:spacing w:line="276" w:lineRule="auto"/>
              <w:jc w:val="center"/>
              <w:rPr>
                <w:noProof/>
              </w:rPr>
            </w:pPr>
            <w:r>
              <w:rPr>
                <w:noProof/>
              </w:rPr>
              <w:t>2024</w:t>
            </w:r>
          </w:p>
        </w:tc>
        <w:tc>
          <w:tcPr>
            <w:tcW w:w="4111" w:type="dxa"/>
            <w:tcBorders>
              <w:top w:val="nil"/>
              <w:left w:val="nil"/>
              <w:bottom w:val="single" w:sz="4" w:space="0" w:color="auto"/>
              <w:right w:val="single" w:sz="4" w:space="0" w:color="auto"/>
            </w:tcBorders>
            <w:shd w:val="clear" w:color="auto" w:fill="C6EFCE"/>
            <w:noWrap/>
          </w:tcPr>
          <w:p w14:paraId="537674D5" w14:textId="77777777" w:rsidR="00553430" w:rsidRDefault="00212577">
            <w:pPr>
              <w:pStyle w:val="P68B1DB1-Normal102"/>
              <w:spacing w:line="276" w:lineRule="auto"/>
              <w:rPr>
                <w:noProof/>
              </w:rPr>
            </w:pPr>
            <w:r>
              <w:rPr>
                <w:noProof/>
              </w:rPr>
              <w:t>Au moins 90 entreprises publiques gérées par CERP, qui ne présentent pas un intérêt particulier pour la Croatie, sont vendues.</w:t>
            </w:r>
          </w:p>
        </w:tc>
      </w:tr>
      <w:bookmarkEnd w:id="7"/>
      <w:tr w:rsidR="00553430" w14:paraId="35173FD9" w14:textId="77777777">
        <w:trPr>
          <w:trHeight w:val="283"/>
          <w:jc w:val="center"/>
        </w:trPr>
        <w:tc>
          <w:tcPr>
            <w:tcW w:w="960" w:type="dxa"/>
            <w:tcBorders>
              <w:top w:val="nil"/>
              <w:left w:val="single" w:sz="4" w:space="0" w:color="auto"/>
              <w:bottom w:val="single" w:sz="4" w:space="0" w:color="auto"/>
              <w:right w:val="single" w:sz="4" w:space="0" w:color="auto"/>
            </w:tcBorders>
            <w:shd w:val="clear" w:color="auto" w:fill="C6EFCE"/>
            <w:noWrap/>
          </w:tcPr>
          <w:p w14:paraId="2966A20F" w14:textId="77777777" w:rsidR="00553430" w:rsidRDefault="00212577">
            <w:pPr>
              <w:pStyle w:val="P68B1DB1-Normal102"/>
              <w:spacing w:line="276" w:lineRule="auto"/>
              <w:jc w:val="center"/>
              <w:rPr>
                <w:noProof/>
              </w:rPr>
            </w:pPr>
            <w:r>
              <w:rPr>
                <w:noProof/>
              </w:rPr>
              <w:t>211</w:t>
            </w:r>
          </w:p>
        </w:tc>
        <w:tc>
          <w:tcPr>
            <w:tcW w:w="1134" w:type="dxa"/>
            <w:tcBorders>
              <w:top w:val="nil"/>
              <w:left w:val="nil"/>
              <w:bottom w:val="single" w:sz="4" w:space="0" w:color="auto"/>
              <w:right w:val="single" w:sz="4" w:space="0" w:color="auto"/>
            </w:tcBorders>
            <w:shd w:val="clear" w:color="auto" w:fill="C6EFCE"/>
            <w:noWrap/>
          </w:tcPr>
          <w:p w14:paraId="6163D6BE" w14:textId="77777777" w:rsidR="00553430" w:rsidRDefault="00212577">
            <w:pPr>
              <w:pStyle w:val="P68B1DB1-Normal102"/>
              <w:spacing w:line="276" w:lineRule="auto"/>
              <w:jc w:val="center"/>
              <w:rPr>
                <w:noProof/>
              </w:rPr>
            </w:pPr>
            <w:r>
              <w:rPr>
                <w:noProof/>
              </w:rPr>
              <w:t>C2.4. R4</w:t>
            </w:r>
          </w:p>
        </w:tc>
        <w:tc>
          <w:tcPr>
            <w:tcW w:w="1037" w:type="dxa"/>
            <w:tcBorders>
              <w:top w:val="nil"/>
              <w:left w:val="nil"/>
              <w:bottom w:val="single" w:sz="4" w:space="0" w:color="auto"/>
              <w:right w:val="single" w:sz="4" w:space="0" w:color="auto"/>
            </w:tcBorders>
            <w:shd w:val="clear" w:color="auto" w:fill="C6EFCE"/>
            <w:noWrap/>
          </w:tcPr>
          <w:p w14:paraId="4E3217D5" w14:textId="77777777" w:rsidR="00553430" w:rsidRDefault="00212577">
            <w:pPr>
              <w:pStyle w:val="P68B1DB1-Normal102"/>
              <w:spacing w:line="276" w:lineRule="auto"/>
              <w:jc w:val="center"/>
              <w:rPr>
                <w:noProof/>
              </w:rPr>
            </w:pPr>
            <w:r>
              <w:rPr>
                <w:noProof/>
              </w:rPr>
              <w:t>T</w:t>
            </w:r>
          </w:p>
        </w:tc>
        <w:tc>
          <w:tcPr>
            <w:tcW w:w="1656" w:type="dxa"/>
            <w:tcBorders>
              <w:top w:val="nil"/>
              <w:left w:val="nil"/>
              <w:bottom w:val="single" w:sz="4" w:space="0" w:color="auto"/>
              <w:right w:val="single" w:sz="4" w:space="0" w:color="auto"/>
            </w:tcBorders>
            <w:shd w:val="clear" w:color="auto" w:fill="C6EFCE"/>
            <w:noWrap/>
          </w:tcPr>
          <w:p w14:paraId="72C913ED" w14:textId="77777777" w:rsidR="00553430" w:rsidRDefault="00212577">
            <w:pPr>
              <w:pStyle w:val="P68B1DB1-Normal102"/>
              <w:spacing w:line="276" w:lineRule="auto"/>
              <w:rPr>
                <w:noProof/>
              </w:rPr>
            </w:pPr>
            <w:r>
              <w:rPr>
                <w:noProof/>
              </w:rPr>
              <w:t>La réalisation des ventes</w:t>
            </w:r>
            <w:r>
              <w:rPr>
                <w:noProof/>
              </w:rPr>
              <w:t xml:space="preserve"> de 20 entreprises publiques du portefeuille CERP.</w:t>
            </w:r>
          </w:p>
        </w:tc>
        <w:tc>
          <w:tcPr>
            <w:tcW w:w="1985" w:type="dxa"/>
            <w:tcBorders>
              <w:top w:val="nil"/>
              <w:left w:val="nil"/>
              <w:bottom w:val="single" w:sz="4" w:space="0" w:color="auto"/>
              <w:right w:val="single" w:sz="4" w:space="0" w:color="auto"/>
            </w:tcBorders>
            <w:shd w:val="clear" w:color="auto" w:fill="C6EFCE"/>
            <w:noWrap/>
          </w:tcPr>
          <w:p w14:paraId="270E6B3A" w14:textId="77777777" w:rsidR="00553430" w:rsidRDefault="00212577">
            <w:pPr>
              <w:pStyle w:val="P68B1DB1-Normal102"/>
              <w:spacing w:line="276" w:lineRule="auto"/>
              <w:rPr>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6F345AEC" w14:textId="77777777" w:rsidR="00553430" w:rsidRDefault="00212577">
            <w:pPr>
              <w:pStyle w:val="P68B1DB1-Normal102"/>
              <w:spacing w:line="276" w:lineRule="auto"/>
              <w:jc w:val="center"/>
              <w:rPr>
                <w:noProof/>
              </w:rPr>
            </w:pPr>
            <w:r>
              <w:rPr>
                <w:noProof/>
              </w:rPr>
              <w:t>Numéro</w:t>
            </w:r>
          </w:p>
        </w:tc>
        <w:tc>
          <w:tcPr>
            <w:tcW w:w="1134" w:type="dxa"/>
            <w:tcBorders>
              <w:top w:val="nil"/>
              <w:left w:val="nil"/>
              <w:bottom w:val="single" w:sz="4" w:space="0" w:color="auto"/>
              <w:right w:val="single" w:sz="4" w:space="0" w:color="auto"/>
            </w:tcBorders>
            <w:shd w:val="clear" w:color="auto" w:fill="C6EFCE"/>
            <w:noWrap/>
          </w:tcPr>
          <w:p w14:paraId="4690FB2E" w14:textId="77777777" w:rsidR="00553430" w:rsidRDefault="00212577">
            <w:pPr>
              <w:pStyle w:val="P68B1DB1-Normal102"/>
              <w:spacing w:line="276" w:lineRule="auto"/>
              <w:jc w:val="center"/>
              <w:rPr>
                <w:noProof/>
              </w:rPr>
            </w:pPr>
            <w:r>
              <w:rPr>
                <w:noProof/>
              </w:rPr>
              <w:t>0</w:t>
            </w:r>
          </w:p>
        </w:tc>
        <w:tc>
          <w:tcPr>
            <w:tcW w:w="850" w:type="dxa"/>
            <w:tcBorders>
              <w:top w:val="nil"/>
              <w:left w:val="nil"/>
              <w:bottom w:val="single" w:sz="4" w:space="0" w:color="auto"/>
              <w:right w:val="single" w:sz="4" w:space="0" w:color="auto"/>
            </w:tcBorders>
            <w:shd w:val="clear" w:color="auto" w:fill="C6EFCE"/>
            <w:noWrap/>
          </w:tcPr>
          <w:p w14:paraId="4300FFD5" w14:textId="77777777" w:rsidR="00553430" w:rsidRDefault="00212577">
            <w:pPr>
              <w:pStyle w:val="P68B1DB1-Normal102"/>
              <w:spacing w:line="276" w:lineRule="auto"/>
              <w:jc w:val="center"/>
              <w:rPr>
                <w:noProof/>
              </w:rPr>
            </w:pPr>
            <w:r>
              <w:rPr>
                <w:noProof/>
              </w:rPr>
              <w:t>20</w:t>
            </w:r>
          </w:p>
        </w:tc>
        <w:tc>
          <w:tcPr>
            <w:tcW w:w="756" w:type="dxa"/>
            <w:tcBorders>
              <w:top w:val="nil"/>
              <w:left w:val="nil"/>
              <w:bottom w:val="single" w:sz="4" w:space="0" w:color="auto"/>
              <w:right w:val="single" w:sz="4" w:space="0" w:color="auto"/>
            </w:tcBorders>
            <w:shd w:val="clear" w:color="auto" w:fill="C6EFCE"/>
            <w:noWrap/>
          </w:tcPr>
          <w:p w14:paraId="18636C57" w14:textId="77777777" w:rsidR="00553430" w:rsidRDefault="00212577">
            <w:pPr>
              <w:pStyle w:val="P68B1DB1-Normal102"/>
              <w:spacing w:line="276"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noWrap/>
          </w:tcPr>
          <w:p w14:paraId="394016E7" w14:textId="77777777" w:rsidR="00553430" w:rsidRDefault="00212577">
            <w:pPr>
              <w:pStyle w:val="P68B1DB1-Normal102"/>
              <w:spacing w:line="276" w:lineRule="auto"/>
              <w:jc w:val="center"/>
              <w:rPr>
                <w:noProof/>
              </w:rPr>
            </w:pPr>
            <w:r>
              <w:rPr>
                <w:noProof/>
              </w:rPr>
              <w:t>2026</w:t>
            </w:r>
          </w:p>
        </w:tc>
        <w:tc>
          <w:tcPr>
            <w:tcW w:w="4111" w:type="dxa"/>
            <w:tcBorders>
              <w:top w:val="nil"/>
              <w:left w:val="nil"/>
              <w:bottom w:val="single" w:sz="4" w:space="0" w:color="auto"/>
              <w:right w:val="single" w:sz="4" w:space="0" w:color="auto"/>
            </w:tcBorders>
            <w:shd w:val="clear" w:color="auto" w:fill="C6EFCE"/>
            <w:noWrap/>
          </w:tcPr>
          <w:p w14:paraId="6ABB78D4" w14:textId="77777777" w:rsidR="00553430" w:rsidRDefault="00212577">
            <w:pPr>
              <w:pStyle w:val="P68B1DB1-CommentText122"/>
              <w:spacing w:before="0" w:after="0"/>
              <w:rPr>
                <w:noProof/>
              </w:rPr>
            </w:pPr>
            <w:r>
              <w:rPr>
                <w:noProof/>
              </w:rPr>
              <w:t>Vente de 20 entreprises publiques supplémentaires qui ne présentent pas un intérêt particulier pour la Croatie.</w:t>
            </w:r>
          </w:p>
        </w:tc>
      </w:tr>
      <w:tr w:rsidR="00553430" w14:paraId="0F874C81" w14:textId="77777777">
        <w:trPr>
          <w:trHeight w:val="283"/>
          <w:jc w:val="center"/>
        </w:trPr>
        <w:tc>
          <w:tcPr>
            <w:tcW w:w="960" w:type="dxa"/>
            <w:tcBorders>
              <w:top w:val="single" w:sz="4" w:space="0" w:color="auto"/>
              <w:left w:val="single" w:sz="4" w:space="0" w:color="auto"/>
              <w:bottom w:val="single" w:sz="4" w:space="0" w:color="auto"/>
              <w:right w:val="single" w:sz="4" w:space="0" w:color="auto"/>
            </w:tcBorders>
            <w:shd w:val="clear" w:color="auto" w:fill="C6EFCE"/>
            <w:noWrap/>
          </w:tcPr>
          <w:p w14:paraId="57F931B6" w14:textId="77777777" w:rsidR="00553430" w:rsidRDefault="00212577">
            <w:pPr>
              <w:pStyle w:val="P68B1DB1-Normal102"/>
              <w:spacing w:line="276" w:lineRule="auto"/>
              <w:jc w:val="center"/>
              <w:rPr>
                <w:noProof/>
              </w:rPr>
            </w:pPr>
            <w:r>
              <w:rPr>
                <w:noProof/>
              </w:rPr>
              <w:t>212</w:t>
            </w:r>
          </w:p>
        </w:tc>
        <w:tc>
          <w:tcPr>
            <w:tcW w:w="1134" w:type="dxa"/>
            <w:tcBorders>
              <w:top w:val="single" w:sz="4" w:space="0" w:color="auto"/>
              <w:left w:val="nil"/>
              <w:bottom w:val="single" w:sz="4" w:space="0" w:color="auto"/>
              <w:right w:val="single" w:sz="4" w:space="0" w:color="auto"/>
            </w:tcBorders>
            <w:shd w:val="clear" w:color="auto" w:fill="C6EFCE"/>
            <w:noWrap/>
          </w:tcPr>
          <w:p w14:paraId="0DF4F0B5" w14:textId="77777777" w:rsidR="00553430" w:rsidRDefault="00212577">
            <w:pPr>
              <w:pStyle w:val="P68B1DB1-Normal102"/>
              <w:spacing w:line="276" w:lineRule="auto"/>
              <w:jc w:val="center"/>
              <w:rPr>
                <w:noProof/>
              </w:rPr>
            </w:pPr>
            <w:r>
              <w:rPr>
                <w:noProof/>
              </w:rPr>
              <w:t>C2.4. R5</w:t>
            </w:r>
          </w:p>
        </w:tc>
        <w:tc>
          <w:tcPr>
            <w:tcW w:w="1037" w:type="dxa"/>
            <w:tcBorders>
              <w:top w:val="single" w:sz="4" w:space="0" w:color="auto"/>
              <w:left w:val="nil"/>
              <w:bottom w:val="single" w:sz="4" w:space="0" w:color="auto"/>
              <w:right w:val="single" w:sz="4" w:space="0" w:color="auto"/>
            </w:tcBorders>
            <w:shd w:val="clear" w:color="auto" w:fill="C6EFCE"/>
            <w:noWrap/>
          </w:tcPr>
          <w:p w14:paraId="08C2FE37" w14:textId="77777777" w:rsidR="00553430" w:rsidRDefault="00212577">
            <w:pPr>
              <w:pStyle w:val="P68B1DB1-Normal102"/>
              <w:spacing w:line="276" w:lineRule="auto"/>
              <w:jc w:val="center"/>
              <w:rPr>
                <w:noProof/>
              </w:rPr>
            </w:pPr>
            <w:r>
              <w:rPr>
                <w:noProof/>
              </w:rPr>
              <w:t>M</w:t>
            </w:r>
          </w:p>
        </w:tc>
        <w:tc>
          <w:tcPr>
            <w:tcW w:w="1656" w:type="dxa"/>
            <w:tcBorders>
              <w:top w:val="single" w:sz="4" w:space="0" w:color="auto"/>
              <w:left w:val="nil"/>
              <w:bottom w:val="single" w:sz="4" w:space="0" w:color="auto"/>
              <w:right w:val="single" w:sz="4" w:space="0" w:color="auto"/>
            </w:tcBorders>
            <w:shd w:val="clear" w:color="auto" w:fill="C6EFCE"/>
            <w:noWrap/>
          </w:tcPr>
          <w:p w14:paraId="3B9F28C5" w14:textId="77777777" w:rsidR="00553430" w:rsidRDefault="00212577">
            <w:pPr>
              <w:pStyle w:val="P68B1DB1-Normal102"/>
              <w:spacing w:line="276" w:lineRule="auto"/>
              <w:rPr>
                <w:noProof/>
              </w:rPr>
            </w:pPr>
            <w:r>
              <w:rPr>
                <w:noProof/>
              </w:rPr>
              <w:t xml:space="preserve">Développer un système informatique et une méthodologie pour la réduction du portefeuille immobilier de l'État et l'activation plus rapide et efficace des actifs publics inutilisés </w:t>
            </w:r>
          </w:p>
        </w:tc>
        <w:tc>
          <w:tcPr>
            <w:tcW w:w="1985" w:type="dxa"/>
            <w:tcBorders>
              <w:top w:val="single" w:sz="4" w:space="0" w:color="auto"/>
              <w:left w:val="nil"/>
              <w:bottom w:val="single" w:sz="4" w:space="0" w:color="auto"/>
              <w:right w:val="single" w:sz="4" w:space="0" w:color="auto"/>
            </w:tcBorders>
            <w:shd w:val="clear" w:color="auto" w:fill="C6EFCE"/>
            <w:noWrap/>
          </w:tcPr>
          <w:p w14:paraId="63EBEE86" w14:textId="77777777" w:rsidR="00553430" w:rsidRDefault="00212577">
            <w:pPr>
              <w:pStyle w:val="P68B1DB1-Normal102"/>
              <w:spacing w:line="276" w:lineRule="auto"/>
              <w:rPr>
                <w:noProof/>
              </w:rPr>
            </w:pPr>
            <w:r>
              <w:rPr>
                <w:noProof/>
              </w:rPr>
              <w:t>Élaboration et mise en œuvre d'un système informatique et d'une méthodologi</w:t>
            </w:r>
            <w:r>
              <w:rPr>
                <w:noProof/>
              </w:rPr>
              <w:t>e</w:t>
            </w:r>
          </w:p>
        </w:tc>
        <w:tc>
          <w:tcPr>
            <w:tcW w:w="1134" w:type="dxa"/>
            <w:tcBorders>
              <w:top w:val="single" w:sz="4" w:space="0" w:color="auto"/>
              <w:left w:val="nil"/>
              <w:bottom w:val="single" w:sz="4" w:space="0" w:color="auto"/>
              <w:right w:val="single" w:sz="4" w:space="0" w:color="auto"/>
            </w:tcBorders>
            <w:shd w:val="clear" w:color="auto" w:fill="C6EFCE"/>
            <w:noWrap/>
          </w:tcPr>
          <w:p w14:paraId="6D2A662A" w14:textId="77777777" w:rsidR="00553430" w:rsidRDefault="00212577">
            <w:pPr>
              <w:pStyle w:val="P68B1DB1-Normal102"/>
              <w:spacing w:line="276" w:lineRule="auto"/>
              <w:jc w:val="center"/>
              <w:rPr>
                <w:noProof/>
              </w:rPr>
            </w:pPr>
            <w:r>
              <w:rPr>
                <w:noProof/>
              </w:rPr>
              <w:t> </w:t>
            </w:r>
          </w:p>
        </w:tc>
        <w:tc>
          <w:tcPr>
            <w:tcW w:w="1134" w:type="dxa"/>
            <w:tcBorders>
              <w:top w:val="single" w:sz="4" w:space="0" w:color="auto"/>
              <w:left w:val="nil"/>
              <w:bottom w:val="single" w:sz="4" w:space="0" w:color="auto"/>
              <w:right w:val="single" w:sz="4" w:space="0" w:color="auto"/>
            </w:tcBorders>
            <w:shd w:val="clear" w:color="auto" w:fill="C6EFCE"/>
            <w:noWrap/>
          </w:tcPr>
          <w:p w14:paraId="0E9E5125" w14:textId="77777777" w:rsidR="00553430" w:rsidRDefault="00212577">
            <w:pPr>
              <w:pStyle w:val="P68B1DB1-Normal102"/>
              <w:spacing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6A9BC3E4" w14:textId="77777777" w:rsidR="00553430" w:rsidRDefault="00212577">
            <w:pPr>
              <w:pStyle w:val="P68B1DB1-Normal102"/>
              <w:spacing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74B6FEA8" w14:textId="77777777" w:rsidR="00553430" w:rsidRDefault="00212577">
            <w:pPr>
              <w:pStyle w:val="P68B1DB1-Normal102"/>
              <w:spacing w:line="276"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2B546466" w14:textId="77777777" w:rsidR="00553430" w:rsidRDefault="00212577">
            <w:pPr>
              <w:pStyle w:val="P68B1DB1-Normal102"/>
              <w:spacing w:line="276" w:lineRule="auto"/>
              <w:jc w:val="center"/>
              <w:rPr>
                <w:noProof/>
              </w:rPr>
            </w:pPr>
            <w:r>
              <w:rPr>
                <w:noProof/>
              </w:rPr>
              <w:t>2024</w:t>
            </w:r>
          </w:p>
        </w:tc>
        <w:tc>
          <w:tcPr>
            <w:tcW w:w="4111" w:type="dxa"/>
            <w:tcBorders>
              <w:top w:val="single" w:sz="4" w:space="0" w:color="auto"/>
              <w:left w:val="nil"/>
              <w:bottom w:val="single" w:sz="4" w:space="0" w:color="auto"/>
              <w:right w:val="single" w:sz="4" w:space="0" w:color="auto"/>
            </w:tcBorders>
            <w:shd w:val="clear" w:color="auto" w:fill="C6EFCE"/>
            <w:noWrap/>
          </w:tcPr>
          <w:p w14:paraId="5F9C7026" w14:textId="77777777" w:rsidR="00553430" w:rsidRDefault="00212577">
            <w:pPr>
              <w:pStyle w:val="P68B1DB1-Normal102"/>
              <w:spacing w:line="276" w:lineRule="auto"/>
              <w:rPr>
                <w:noProof/>
              </w:rPr>
            </w:pPr>
            <w:r>
              <w:rPr>
                <w:noProof/>
              </w:rPr>
              <w:t>La mise au point d’un système informatique pour l’administration et la gestion du portefeuille immobilier appartenant à l’État est achevée.</w:t>
            </w:r>
            <w:r>
              <w:rPr>
                <w:noProof/>
              </w:rPr>
              <w:br/>
              <w:t>Élaborer une méthodologie qui établira la manière de gérer efficacement l'aliénation des biens appar</w:t>
            </w:r>
            <w:r>
              <w:rPr>
                <w:noProof/>
              </w:rPr>
              <w:t>tenant à l'État pour toutes les formes de biens émergeant dans la gestion du ministère de l'Aménagement du territoire, de la Construction et des Biens d'État (MPGI).</w:t>
            </w:r>
            <w:r>
              <w:rPr>
                <w:noProof/>
              </w:rPr>
              <w:br/>
              <w:t>Le système informatique ainsi que la méthode permettent de réduire le portefeuille immobil</w:t>
            </w:r>
            <w:r>
              <w:rPr>
                <w:noProof/>
              </w:rPr>
              <w:t>ier appartenant à l’État et d’activer plus rapidement et efficacement les actifs publics inutilisés. Le système informatique établit une connexion électronique aux bases de données des autres administrations et institutions publiques, en améliorant les reg</w:t>
            </w:r>
            <w:r>
              <w:rPr>
                <w:noProof/>
              </w:rPr>
              <w:t>istres internes existants sur le portefeuille immobilier public du groupe cible.</w:t>
            </w:r>
          </w:p>
        </w:tc>
      </w:tr>
      <w:tr w:rsidR="00553430" w14:paraId="391EB2EC" w14:textId="77777777">
        <w:trPr>
          <w:trHeight w:val="1526"/>
          <w:jc w:val="center"/>
        </w:trPr>
        <w:tc>
          <w:tcPr>
            <w:tcW w:w="960" w:type="dxa"/>
            <w:tcBorders>
              <w:top w:val="single" w:sz="4" w:space="0" w:color="auto"/>
              <w:left w:val="single" w:sz="4" w:space="0" w:color="auto"/>
              <w:bottom w:val="single" w:sz="4" w:space="0" w:color="auto"/>
              <w:right w:val="single" w:sz="4" w:space="0" w:color="auto"/>
            </w:tcBorders>
            <w:shd w:val="clear" w:color="auto" w:fill="C6EFCE"/>
            <w:noWrap/>
          </w:tcPr>
          <w:p w14:paraId="548EBD84" w14:textId="77777777" w:rsidR="00553430" w:rsidRDefault="00212577">
            <w:pPr>
              <w:pStyle w:val="P68B1DB1-Normal102"/>
              <w:spacing w:line="276" w:lineRule="auto"/>
              <w:jc w:val="center"/>
              <w:rPr>
                <w:noProof/>
              </w:rPr>
            </w:pPr>
            <w:r>
              <w:rPr>
                <w:noProof/>
              </w:rPr>
              <w:t>213</w:t>
            </w:r>
          </w:p>
        </w:tc>
        <w:tc>
          <w:tcPr>
            <w:tcW w:w="1134" w:type="dxa"/>
            <w:tcBorders>
              <w:top w:val="single" w:sz="4" w:space="0" w:color="auto"/>
              <w:left w:val="nil"/>
              <w:bottom w:val="single" w:sz="4" w:space="0" w:color="auto"/>
              <w:right w:val="single" w:sz="4" w:space="0" w:color="auto"/>
            </w:tcBorders>
            <w:shd w:val="clear" w:color="auto" w:fill="C6EFCE"/>
            <w:noWrap/>
          </w:tcPr>
          <w:p w14:paraId="030943D4" w14:textId="77777777" w:rsidR="00553430" w:rsidRDefault="00212577">
            <w:pPr>
              <w:pStyle w:val="P68B1DB1-Normal102"/>
              <w:spacing w:line="276" w:lineRule="auto"/>
              <w:jc w:val="center"/>
              <w:rPr>
                <w:noProof/>
              </w:rPr>
            </w:pPr>
            <w:r>
              <w:rPr>
                <w:noProof/>
              </w:rPr>
              <w:t>C2.4. R5</w:t>
            </w:r>
          </w:p>
        </w:tc>
        <w:tc>
          <w:tcPr>
            <w:tcW w:w="1037" w:type="dxa"/>
            <w:tcBorders>
              <w:top w:val="single" w:sz="4" w:space="0" w:color="auto"/>
              <w:left w:val="nil"/>
              <w:bottom w:val="single" w:sz="4" w:space="0" w:color="auto"/>
              <w:right w:val="single" w:sz="4" w:space="0" w:color="auto"/>
            </w:tcBorders>
            <w:shd w:val="clear" w:color="auto" w:fill="C6EFCE"/>
            <w:noWrap/>
          </w:tcPr>
          <w:p w14:paraId="157BCB73" w14:textId="77777777" w:rsidR="00553430" w:rsidRDefault="00212577">
            <w:pPr>
              <w:pStyle w:val="P68B1DB1-Normal102"/>
              <w:spacing w:line="276" w:lineRule="auto"/>
              <w:jc w:val="center"/>
              <w:rPr>
                <w:noProof/>
              </w:rPr>
            </w:pPr>
            <w:r>
              <w:rPr>
                <w:noProof/>
              </w:rPr>
              <w:t>T</w:t>
            </w:r>
          </w:p>
        </w:tc>
        <w:tc>
          <w:tcPr>
            <w:tcW w:w="1656" w:type="dxa"/>
            <w:tcBorders>
              <w:top w:val="single" w:sz="4" w:space="0" w:color="auto"/>
              <w:left w:val="nil"/>
              <w:bottom w:val="single" w:sz="4" w:space="0" w:color="auto"/>
              <w:right w:val="single" w:sz="4" w:space="0" w:color="auto"/>
            </w:tcBorders>
            <w:shd w:val="clear" w:color="auto" w:fill="C6EFCE"/>
            <w:noWrap/>
          </w:tcPr>
          <w:p w14:paraId="4938AD6E" w14:textId="51D72740" w:rsidR="00553430" w:rsidRDefault="00212577">
            <w:pPr>
              <w:pStyle w:val="P68B1DB1-Normal102"/>
              <w:spacing w:line="276" w:lineRule="auto"/>
              <w:rPr>
                <w:noProof/>
              </w:rPr>
            </w:pPr>
            <w:r>
              <w:rPr>
                <w:noProof/>
              </w:rPr>
              <w:t>Cession de biens immobiliers appartenant à l'État</w:t>
            </w:r>
          </w:p>
        </w:tc>
        <w:tc>
          <w:tcPr>
            <w:tcW w:w="1985" w:type="dxa"/>
            <w:tcBorders>
              <w:top w:val="single" w:sz="4" w:space="0" w:color="auto"/>
              <w:left w:val="nil"/>
              <w:bottom w:val="single" w:sz="4" w:space="0" w:color="auto"/>
              <w:right w:val="single" w:sz="4" w:space="0" w:color="auto"/>
            </w:tcBorders>
            <w:shd w:val="clear" w:color="auto" w:fill="C6EFCE"/>
            <w:noWrap/>
          </w:tcPr>
          <w:p w14:paraId="1E623DB7" w14:textId="77777777" w:rsidR="00553430" w:rsidRDefault="00212577">
            <w:pPr>
              <w:pStyle w:val="P68B1DB1-Normal102"/>
              <w:spacing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39E64669" w14:textId="77777777" w:rsidR="00553430" w:rsidRDefault="00212577">
            <w:pPr>
              <w:pStyle w:val="P68B1DB1-Normal102"/>
              <w:spacing w:line="276" w:lineRule="auto"/>
              <w:jc w:val="center"/>
              <w:rPr>
                <w:noProof/>
              </w:rPr>
            </w:pPr>
            <w:r>
              <w:rPr>
                <w:noProof/>
              </w:rPr>
              <w:t>Numéro</w:t>
            </w:r>
          </w:p>
        </w:tc>
        <w:tc>
          <w:tcPr>
            <w:tcW w:w="1134" w:type="dxa"/>
            <w:tcBorders>
              <w:top w:val="single" w:sz="4" w:space="0" w:color="auto"/>
              <w:left w:val="nil"/>
              <w:bottom w:val="single" w:sz="4" w:space="0" w:color="auto"/>
              <w:right w:val="single" w:sz="4" w:space="0" w:color="auto"/>
            </w:tcBorders>
            <w:shd w:val="clear" w:color="auto" w:fill="C6EFCE"/>
            <w:noWrap/>
          </w:tcPr>
          <w:p w14:paraId="5227F512" w14:textId="77777777" w:rsidR="00553430" w:rsidRDefault="00212577">
            <w:pPr>
              <w:pStyle w:val="P68B1DB1-Normal102"/>
              <w:spacing w:line="276" w:lineRule="auto"/>
              <w:jc w:val="center"/>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61F1A5F4" w14:textId="77777777" w:rsidR="00553430" w:rsidRDefault="00212577">
            <w:pPr>
              <w:pStyle w:val="P68B1DB1-Normal102"/>
              <w:spacing w:line="276" w:lineRule="auto"/>
              <w:jc w:val="center"/>
              <w:rPr>
                <w:noProof/>
              </w:rPr>
            </w:pPr>
            <w:r>
              <w:rPr>
                <w:noProof/>
              </w:rPr>
              <w:t>4 500</w:t>
            </w:r>
          </w:p>
        </w:tc>
        <w:tc>
          <w:tcPr>
            <w:tcW w:w="756" w:type="dxa"/>
            <w:tcBorders>
              <w:top w:val="single" w:sz="4" w:space="0" w:color="auto"/>
              <w:left w:val="nil"/>
              <w:bottom w:val="single" w:sz="4" w:space="0" w:color="auto"/>
              <w:right w:val="single" w:sz="4" w:space="0" w:color="auto"/>
            </w:tcBorders>
            <w:shd w:val="clear" w:color="auto" w:fill="C6EFCE"/>
            <w:noWrap/>
          </w:tcPr>
          <w:p w14:paraId="0E78697F" w14:textId="77777777" w:rsidR="00553430" w:rsidRDefault="00212577">
            <w:pPr>
              <w:pStyle w:val="P68B1DB1-Normal102"/>
              <w:spacing w:line="276" w:lineRule="auto"/>
              <w:jc w:val="center"/>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Pr>
          <w:p w14:paraId="3C73D72C" w14:textId="77777777" w:rsidR="00553430" w:rsidRDefault="00212577">
            <w:pPr>
              <w:pStyle w:val="P68B1DB1-Normal102"/>
              <w:spacing w:line="276" w:lineRule="auto"/>
              <w:jc w:val="center"/>
              <w:rPr>
                <w:noProof/>
              </w:rPr>
            </w:pPr>
            <w:r>
              <w:rPr>
                <w:noProof/>
              </w:rPr>
              <w:t>2026</w:t>
            </w:r>
          </w:p>
        </w:tc>
        <w:tc>
          <w:tcPr>
            <w:tcW w:w="4111" w:type="dxa"/>
            <w:tcBorders>
              <w:top w:val="single" w:sz="4" w:space="0" w:color="auto"/>
              <w:left w:val="nil"/>
              <w:bottom w:val="single" w:sz="4" w:space="0" w:color="auto"/>
              <w:right w:val="single" w:sz="4" w:space="0" w:color="auto"/>
            </w:tcBorders>
            <w:shd w:val="clear" w:color="auto" w:fill="C6EFCE"/>
            <w:noWrap/>
          </w:tcPr>
          <w:p w14:paraId="43128901" w14:textId="0E6DE220" w:rsidR="00553430" w:rsidRDefault="00212577">
            <w:pPr>
              <w:pStyle w:val="P68B1DB1-Normal102"/>
              <w:spacing w:line="276" w:lineRule="auto"/>
              <w:rPr>
                <w:noProof/>
              </w:rPr>
            </w:pPr>
            <w:r>
              <w:rPr>
                <w:noProof/>
              </w:rPr>
              <w:t xml:space="preserve">Au moins 4 500 contrats, accords ou autorisations de transfert de biens pour la cession ou d’autres formes d’utilisation de biens immobiliers appartenant à l’État sont conclus. </w:t>
            </w:r>
          </w:p>
        </w:tc>
      </w:tr>
    </w:tbl>
    <w:p w14:paraId="69C2CD1E" w14:textId="77777777" w:rsidR="00553430" w:rsidRDefault="00553430">
      <w:pPr>
        <w:pStyle w:val="paragraph"/>
        <w:spacing w:before="0" w:beforeAutospacing="0" w:after="0" w:afterAutospacing="0"/>
        <w:jc w:val="both"/>
        <w:textAlignment w:val="baseline"/>
        <w:rPr>
          <w:rFonts w:ascii="Segoe UI" w:hAnsi="Segoe UI" w:cs="Segoe UI"/>
          <w:noProof/>
          <w:sz w:val="18"/>
          <w:szCs w:val="18"/>
        </w:rPr>
      </w:pPr>
    </w:p>
    <w:p w14:paraId="7143D961" w14:textId="77777777" w:rsidR="00553430" w:rsidRDefault="00553430">
      <w:pPr>
        <w:rPr>
          <w:noProof/>
        </w:rPr>
      </w:pPr>
    </w:p>
    <w:p w14:paraId="52F74424" w14:textId="77777777" w:rsidR="00553430" w:rsidRDefault="00553430">
      <w:pPr>
        <w:spacing w:line="240" w:lineRule="auto"/>
        <w:ind w:left="709"/>
        <w:jc w:val="both"/>
        <w:rPr>
          <w:rFonts w:ascii="Times New Roman" w:eastAsia="Calibri" w:hAnsi="Times New Roman" w:cs="Times New Roman"/>
          <w:b/>
          <w:smallCaps/>
          <w:noProof/>
          <w:sz w:val="24"/>
          <w:szCs w:val="24"/>
        </w:rPr>
        <w:sectPr w:rsidR="00553430" w:rsidSect="00FA29B2">
          <w:headerReference w:type="even" r:id="rId201"/>
          <w:headerReference w:type="default" r:id="rId202"/>
          <w:footerReference w:type="even" r:id="rId203"/>
          <w:footerReference w:type="default" r:id="rId204"/>
          <w:headerReference w:type="first" r:id="rId205"/>
          <w:footerReference w:type="first" r:id="rId206"/>
          <w:pgSz w:w="16838" w:h="11906" w:orient="landscape"/>
          <w:pgMar w:top="1134" w:right="1134" w:bottom="1134" w:left="1134" w:header="567" w:footer="567" w:gutter="0"/>
          <w:cols w:space="708"/>
          <w:docGrid w:linePitch="360"/>
        </w:sectPr>
      </w:pPr>
    </w:p>
    <w:p w14:paraId="72FDF41D" w14:textId="77777777" w:rsidR="00553430" w:rsidRDefault="00212577">
      <w:pPr>
        <w:pStyle w:val="P68B1DB1-Normal32"/>
        <w:spacing w:line="240" w:lineRule="auto"/>
        <w:ind w:left="709"/>
        <w:jc w:val="both"/>
        <w:rPr>
          <w:noProof/>
        </w:rPr>
      </w:pPr>
      <w:r>
        <w:rPr>
          <w:noProof/>
        </w:rPr>
        <w:tab/>
        <w:t>K. Élément</w:t>
      </w:r>
      <w:r>
        <w:rPr>
          <w:noProof/>
        </w:rPr>
        <w:t xml:space="preserve"> 2.5: UNE JUSTICE MODERNE POUR LES DÉFIS FUTURES</w:t>
      </w:r>
    </w:p>
    <w:p w14:paraId="138AF0FA" w14:textId="77777777" w:rsidR="00553430" w:rsidRDefault="00212577">
      <w:pPr>
        <w:pStyle w:val="P68B1DB1-Normal33"/>
        <w:spacing w:line="240" w:lineRule="auto"/>
        <w:jc w:val="both"/>
        <w:rPr>
          <w:noProof/>
        </w:rPr>
      </w:pPr>
      <w:r>
        <w:rPr>
          <w:noProof/>
        </w:rPr>
        <w:t>L’un des principaux objectifs stratégiques définis dans le plan croate pour la reprise et la résilience est de mettre en place un système judiciaire efficient et efficace qui contribue au développement de l’</w:t>
      </w:r>
      <w:r>
        <w:rPr>
          <w:noProof/>
        </w:rPr>
        <w:t xml:space="preserve">économie et réponde aux attentes des citoyens en matière de renforcement de l’état de droit. Ce volet comprend une réforme principale, qui contribuera à réduire les arriérés et à raccourcir les procédures judiciaires. </w:t>
      </w:r>
    </w:p>
    <w:p w14:paraId="544B64C9" w14:textId="77777777" w:rsidR="00553430" w:rsidRDefault="00212577">
      <w:pPr>
        <w:pStyle w:val="P68B1DB1-Normal33"/>
        <w:spacing w:line="240" w:lineRule="auto"/>
        <w:jc w:val="both"/>
        <w:rPr>
          <w:noProof/>
        </w:rPr>
      </w:pPr>
      <w:r>
        <w:rPr>
          <w:noProof/>
        </w:rPr>
        <w:t>La composante soutient la mise en œuv</w:t>
      </w:r>
      <w:r>
        <w:rPr>
          <w:noProof/>
        </w:rPr>
        <w:t>re de la recommandation par pays sur la nécessité de réduire encore la durée des procédures judiciaires et d’améliorer la communication électronique au sein des juridictions (recommandation par pays 4, 2019 et recommandation par pays 4, 2020).</w:t>
      </w:r>
    </w:p>
    <w:p w14:paraId="6B66552C" w14:textId="77777777" w:rsidR="00553430" w:rsidRDefault="00212577">
      <w:pPr>
        <w:pStyle w:val="P68B1DB1-Normal33"/>
        <w:spacing w:line="240" w:lineRule="auto"/>
        <w:jc w:val="both"/>
        <w:rPr>
          <w:noProof/>
        </w:rPr>
      </w:pPr>
      <w:r>
        <w:rPr>
          <w:noProof/>
        </w:rPr>
        <w:t>Ce volet com</w:t>
      </w:r>
      <w:r>
        <w:rPr>
          <w:noProof/>
        </w:rPr>
        <w:t>prend une réforme et six investissements.</w:t>
      </w:r>
    </w:p>
    <w:p w14:paraId="4FDE773D" w14:textId="77777777" w:rsidR="00553430" w:rsidRDefault="00212577">
      <w:pPr>
        <w:pStyle w:val="P68B1DB1-Normal57"/>
        <w:keepNext/>
        <w:spacing w:before="40" w:after="0"/>
        <w:ind w:left="851"/>
        <w:jc w:val="both"/>
        <w:outlineLvl w:val="1"/>
        <w:rPr>
          <w:noProof/>
        </w:rPr>
      </w:pPr>
      <w:r>
        <w:rPr>
          <w:noProof/>
        </w:rPr>
        <w:t xml:space="preserve">K.1. </w:t>
      </w:r>
      <w:r>
        <w:rPr>
          <w:noProof/>
        </w:rPr>
        <w:tab/>
        <w:t>Description des réformes et des investissements pour le soutien financier non remboursable</w:t>
      </w:r>
    </w:p>
    <w:p w14:paraId="24913B8C" w14:textId="77777777" w:rsidR="00553430" w:rsidRDefault="00553430">
      <w:pPr>
        <w:spacing w:line="240" w:lineRule="auto"/>
        <w:ind w:left="850"/>
        <w:jc w:val="both"/>
        <w:rPr>
          <w:rFonts w:ascii="Times New Roman" w:eastAsia="Calibri" w:hAnsi="Times New Roman" w:cs="Times New Roman"/>
          <w:noProof/>
          <w:sz w:val="24"/>
          <w:szCs w:val="24"/>
          <w:u w:val="single"/>
        </w:rPr>
      </w:pPr>
    </w:p>
    <w:p w14:paraId="72A64246" w14:textId="77777777" w:rsidR="00553430" w:rsidRDefault="00212577">
      <w:pPr>
        <w:pStyle w:val="P68B1DB1-Normal42"/>
        <w:spacing w:line="240" w:lineRule="auto"/>
        <w:ind w:left="850"/>
        <w:jc w:val="both"/>
        <w:rPr>
          <w:noProof/>
        </w:rPr>
      </w:pPr>
      <w:r>
        <w:rPr>
          <w:noProof/>
        </w:rPr>
        <w:t>Réforme C2.5 R1 – Accroître l’efficacité du système judiciaire afin d’accroître la confiance des citoyens.</w:t>
      </w:r>
    </w:p>
    <w:p w14:paraId="6F495E27" w14:textId="77777777" w:rsidR="00553430" w:rsidRDefault="00212577">
      <w:pPr>
        <w:pStyle w:val="P68B1DB1-Normal33"/>
        <w:spacing w:line="240" w:lineRule="auto"/>
        <w:jc w:val="both"/>
        <w:rPr>
          <w:noProof/>
        </w:rPr>
      </w:pPr>
      <w:r>
        <w:rPr>
          <w:noProof/>
        </w:rPr>
        <w:t>L’objecti</w:t>
      </w:r>
      <w:r>
        <w:rPr>
          <w:noProof/>
        </w:rPr>
        <w:t xml:space="preserve">f de cette mesure est d’établir un cadre juridique, organisationnel et technologique contribuant à réduire les arriérés et à raccourcir la durée des procédures judiciaires. </w:t>
      </w:r>
    </w:p>
    <w:p w14:paraId="6CADFF91" w14:textId="77777777" w:rsidR="00553430" w:rsidRDefault="00212577">
      <w:pPr>
        <w:pStyle w:val="P68B1DB1-Normal33"/>
        <w:spacing w:line="240" w:lineRule="auto"/>
        <w:jc w:val="both"/>
        <w:rPr>
          <w:noProof/>
        </w:rPr>
      </w:pPr>
      <w:r>
        <w:rPr>
          <w:noProof/>
        </w:rPr>
        <w:t xml:space="preserve">La réforme consiste à modifier le cadre législatif dans le domaine de la justice, </w:t>
      </w:r>
      <w:r>
        <w:rPr>
          <w:noProof/>
        </w:rPr>
        <w:t>à adopter</w:t>
      </w:r>
      <w:r>
        <w:rPr>
          <w:noProof/>
          <w:color w:val="000000" w:themeColor="text1"/>
        </w:rPr>
        <w:t xml:space="preserve"> de nouveaux critères-cadres pour le travail des juges et à procéder à des changements organisationnels.</w:t>
      </w:r>
      <w:r>
        <w:rPr>
          <w:noProof/>
        </w:rPr>
        <w:t xml:space="preserve"> </w:t>
      </w:r>
    </w:p>
    <w:p w14:paraId="6A325230" w14:textId="77777777" w:rsidR="00553430" w:rsidRDefault="00212577">
      <w:pPr>
        <w:pStyle w:val="P68B1DB1-Normal42"/>
        <w:spacing w:line="240" w:lineRule="auto"/>
        <w:ind w:left="850"/>
        <w:jc w:val="both"/>
        <w:rPr>
          <w:noProof/>
        </w:rPr>
      </w:pPr>
      <w:r>
        <w:rPr>
          <w:noProof/>
        </w:rPr>
        <w:t>Investissement C2.5 R1-I1 - Améliorer le système de gestion des affaires judiciaires (eSpis).</w:t>
      </w:r>
    </w:p>
    <w:p w14:paraId="2787E6A9" w14:textId="77777777" w:rsidR="00553430" w:rsidRDefault="00212577">
      <w:pPr>
        <w:pStyle w:val="P68B1DB1-Normal33"/>
        <w:spacing w:line="240" w:lineRule="auto"/>
        <w:jc w:val="both"/>
        <w:rPr>
          <w:noProof/>
        </w:rPr>
      </w:pPr>
      <w:r>
        <w:rPr>
          <w:noProof/>
        </w:rPr>
        <w:t>L’objectif de l’investissement est de poursuivr</w:t>
      </w:r>
      <w:r>
        <w:rPr>
          <w:noProof/>
        </w:rPr>
        <w:t>e la mise à niveau du système eSpis (ainsi que de tous les modules, en particulier la communication électronique afin de permettre la communication électronique pour toutes les parties impliquées dans les procédures judiciaires) et d’évoluer vers une solut</w:t>
      </w:r>
      <w:r>
        <w:rPr>
          <w:noProof/>
        </w:rPr>
        <w:t xml:space="preserve">ion matérielle et logicielle centralisée afin de permettre des mises à niveau futures meilleures et moins coûteuses et la durabilité du développement, mais aussi la stabilité, l’opérabilité et la sécurité du système eSpis. </w:t>
      </w:r>
    </w:p>
    <w:p w14:paraId="23A8B877" w14:textId="77777777" w:rsidR="00553430" w:rsidRDefault="00212577">
      <w:pPr>
        <w:pStyle w:val="P68B1DB1-Normal33"/>
        <w:spacing w:line="240" w:lineRule="auto"/>
        <w:jc w:val="both"/>
        <w:rPr>
          <w:noProof/>
        </w:rPr>
      </w:pPr>
      <w:r>
        <w:rPr>
          <w:noProof/>
        </w:rPr>
        <w:t>L’investissement comprend l’ajou</w:t>
      </w:r>
      <w:r>
        <w:rPr>
          <w:noProof/>
        </w:rPr>
        <w:t>t de nouvelles fonctionnalités au système eSpis dans le but d’améliorer la numérisation du système judiciaire:</w:t>
      </w:r>
    </w:p>
    <w:p w14:paraId="1AB96342" w14:textId="77777777" w:rsidR="00553430" w:rsidRDefault="00212577">
      <w:pPr>
        <w:pStyle w:val="P68B1DB1-Normal33"/>
        <w:numPr>
          <w:ilvl w:val="0"/>
          <w:numId w:val="66"/>
        </w:numPr>
        <w:spacing w:before="120" w:after="120" w:line="240" w:lineRule="auto"/>
        <w:jc w:val="both"/>
        <w:rPr>
          <w:noProof/>
        </w:rPr>
      </w:pPr>
      <w:r>
        <w:rPr>
          <w:noProof/>
        </w:rPr>
        <w:t xml:space="preserve">Livraison électronique complète des documents aux citoyens en ligne avec boîte aux lettres de l'utilisateur et informations sur la livraison électronique en cas de transmission de documents par livraison physique; </w:t>
      </w:r>
    </w:p>
    <w:p w14:paraId="55218D07" w14:textId="77777777" w:rsidR="00553430" w:rsidRDefault="00212577">
      <w:pPr>
        <w:pStyle w:val="P68B1DB1-Normal33"/>
        <w:numPr>
          <w:ilvl w:val="0"/>
          <w:numId w:val="66"/>
        </w:numPr>
        <w:spacing w:before="120" w:after="120" w:line="240" w:lineRule="auto"/>
        <w:jc w:val="both"/>
        <w:rPr>
          <w:noProof/>
        </w:rPr>
      </w:pPr>
      <w:r>
        <w:rPr>
          <w:noProof/>
        </w:rPr>
        <w:t xml:space="preserve">amélioration de l’expérience utilisateur </w:t>
      </w:r>
      <w:r>
        <w:rPr>
          <w:noProof/>
        </w:rPr>
        <w:t>grâce à la mise en œuvre d’un plan d’action contenant des recommandations sur les aspects techniques et de gestion informatique (recommandations sur les processus administratifs et opérationnels et recommandations techniques);</w:t>
      </w:r>
    </w:p>
    <w:p w14:paraId="032C2C46" w14:textId="77777777" w:rsidR="00553430" w:rsidRDefault="00212577">
      <w:pPr>
        <w:pStyle w:val="P68B1DB1-Normal33"/>
        <w:numPr>
          <w:ilvl w:val="0"/>
          <w:numId w:val="66"/>
        </w:numPr>
        <w:spacing w:before="120" w:after="120" w:line="240" w:lineRule="auto"/>
        <w:jc w:val="both"/>
        <w:rPr>
          <w:noProof/>
        </w:rPr>
      </w:pPr>
      <w:r>
        <w:rPr>
          <w:noProof/>
        </w:rPr>
        <w:t>Une nouvelle architecture int</w:t>
      </w:r>
      <w:r>
        <w:rPr>
          <w:noProof/>
        </w:rPr>
        <w:t>égrée dans le Centre de services partagés (State Cloud) pour réduire les goulets d'étranglement du système, accroître la stabilité et permettre l'interopérabilité avec d'autres systèmes.</w:t>
      </w:r>
    </w:p>
    <w:p w14:paraId="50AB2E07" w14:textId="77777777" w:rsidR="00553430" w:rsidRDefault="00212577">
      <w:pPr>
        <w:pStyle w:val="P68B1DB1-Normal33"/>
        <w:spacing w:line="240" w:lineRule="auto"/>
        <w:jc w:val="both"/>
        <w:rPr>
          <w:noProof/>
        </w:rPr>
      </w:pPr>
      <w:r>
        <w:rPr>
          <w:noProof/>
        </w:rPr>
        <w:t>Cet investissement est achevé au plus tard le 31 décembre 2024.</w:t>
      </w:r>
    </w:p>
    <w:p w14:paraId="5211B004" w14:textId="77777777" w:rsidR="00553430" w:rsidRDefault="00212577">
      <w:pPr>
        <w:pStyle w:val="P68B1DB1-Normal42"/>
        <w:spacing w:line="240" w:lineRule="auto"/>
        <w:ind w:left="850"/>
        <w:jc w:val="both"/>
        <w:rPr>
          <w:noProof/>
        </w:rPr>
      </w:pPr>
      <w:r>
        <w:rPr>
          <w:noProof/>
        </w:rPr>
        <w:t>Inves</w:t>
      </w:r>
      <w:r>
        <w:rPr>
          <w:noProof/>
        </w:rPr>
        <w:t>tissement C2.5 R1-I2 - Amélioration du système d'information foncière et du cadastre.</w:t>
      </w:r>
    </w:p>
    <w:p w14:paraId="0B9A6266" w14:textId="77777777" w:rsidR="00553430" w:rsidRDefault="00212577">
      <w:pPr>
        <w:pStyle w:val="P68B1DB1-Normal33"/>
        <w:spacing w:line="240" w:lineRule="auto"/>
        <w:jc w:val="both"/>
        <w:rPr>
          <w:noProof/>
        </w:rPr>
      </w:pPr>
      <w:r>
        <w:rPr>
          <w:noProof/>
        </w:rPr>
        <w:t>L’objectif de cette mesure est d’accroître le volume et la qualité des données liées entre les données du registre foncier et celles du cadastre dans la base de données f</w:t>
      </w:r>
      <w:r>
        <w:rPr>
          <w:noProof/>
        </w:rPr>
        <w:t>oncières (BZP).</w:t>
      </w:r>
    </w:p>
    <w:p w14:paraId="3CBD8778" w14:textId="1D32376D" w:rsidR="00553430" w:rsidRDefault="00212577">
      <w:pPr>
        <w:pStyle w:val="P68B1DB1-Normal33"/>
        <w:spacing w:line="240" w:lineRule="auto"/>
        <w:jc w:val="both"/>
        <w:rPr>
          <w:noProof/>
        </w:rPr>
      </w:pPr>
      <w:r>
        <w:rPr>
          <w:noProof/>
        </w:rPr>
        <w:t xml:space="preserve">L'investissement consiste à faire passer les données intégrées de 3,86 % à 60 %. </w:t>
      </w:r>
    </w:p>
    <w:p w14:paraId="1F63D290" w14:textId="77777777" w:rsidR="00553430" w:rsidRDefault="00212577">
      <w:pPr>
        <w:pStyle w:val="P68B1DB1-Normal42"/>
        <w:spacing w:line="240" w:lineRule="auto"/>
        <w:ind w:left="850"/>
        <w:jc w:val="both"/>
        <w:rPr>
          <w:noProof/>
        </w:rPr>
      </w:pPr>
      <w:r>
        <w:rPr>
          <w:noProof/>
        </w:rPr>
        <w:t>Investissement C2.5 R1-I3 - Élaborer une trousse d'outils pour la publication publique et la recherche de décisions judiciaires.</w:t>
      </w:r>
    </w:p>
    <w:p w14:paraId="5391A8DE" w14:textId="77777777" w:rsidR="00553430" w:rsidRDefault="00212577">
      <w:pPr>
        <w:pStyle w:val="P68B1DB1-Normal33"/>
        <w:spacing w:line="240" w:lineRule="auto"/>
        <w:jc w:val="both"/>
        <w:rPr>
          <w:noProof/>
        </w:rPr>
      </w:pPr>
      <w:r>
        <w:rPr>
          <w:noProof/>
        </w:rPr>
        <w:t>L’objectif de l’investissemen</w:t>
      </w:r>
      <w:r>
        <w:rPr>
          <w:noProof/>
        </w:rPr>
        <w:t>t est de mettre en place un système permettant de publier toutes les décisions de justice avec préanonymisation automatique au moyen d’un logiciel spécifique et de les publier sur un portail unique accessible au public avec des options de recherche élaboré</w:t>
      </w:r>
      <w:r>
        <w:rPr>
          <w:noProof/>
        </w:rPr>
        <w:t xml:space="preserve">es, dans le respect des règles relatives à la protection des données à caractère personnel. </w:t>
      </w:r>
    </w:p>
    <w:p w14:paraId="16081C3A" w14:textId="77777777" w:rsidR="00553430" w:rsidRDefault="00212577">
      <w:pPr>
        <w:pStyle w:val="P68B1DB1-Normal33"/>
        <w:spacing w:line="240" w:lineRule="auto"/>
        <w:jc w:val="both"/>
        <w:rPr>
          <w:noProof/>
        </w:rPr>
      </w:pPr>
      <w:r>
        <w:rPr>
          <w:noProof/>
        </w:rPr>
        <w:t>Cet investissement est achevé au plus tard le 31 décembre 2024.</w:t>
      </w:r>
    </w:p>
    <w:p w14:paraId="502F8CCD" w14:textId="5094A98D" w:rsidR="00553430" w:rsidRDefault="00212577">
      <w:pPr>
        <w:pStyle w:val="P68B1DB1-Normal42"/>
        <w:spacing w:line="240" w:lineRule="auto"/>
        <w:ind w:firstLine="840"/>
        <w:jc w:val="both"/>
        <w:rPr>
          <w:noProof/>
        </w:rPr>
      </w:pPr>
      <w:r>
        <w:rPr>
          <w:noProof/>
        </w:rPr>
        <w:t xml:space="preserve">Investissement C2.5 R1-I4 - Mise en œuvre du projet de place de la justice à Zagreb </w:t>
      </w:r>
    </w:p>
    <w:p w14:paraId="4B3962FF" w14:textId="77777777" w:rsidR="00553430" w:rsidRDefault="00212577">
      <w:pPr>
        <w:pStyle w:val="P68B1DB1-Normal33"/>
        <w:spacing w:line="240" w:lineRule="auto"/>
        <w:jc w:val="both"/>
        <w:rPr>
          <w:noProof/>
        </w:rPr>
      </w:pPr>
      <w:r>
        <w:rPr>
          <w:noProof/>
        </w:rPr>
        <w:t xml:space="preserve">L’objectif de </w:t>
      </w:r>
      <w:r>
        <w:rPr>
          <w:noProof/>
        </w:rPr>
        <w:t xml:space="preserve">l’investissement est de moderniser l’infrastructure physique en mettant en œuvre le projet de place de la justice à Zagreb. </w:t>
      </w:r>
    </w:p>
    <w:p w14:paraId="7397B842" w14:textId="77777777" w:rsidR="00553430" w:rsidRDefault="00212577">
      <w:pPr>
        <w:pStyle w:val="P68B1DB1-Normal33"/>
        <w:spacing w:line="240" w:lineRule="auto"/>
        <w:jc w:val="both"/>
        <w:rPr>
          <w:noProof/>
        </w:rPr>
      </w:pPr>
      <w:r>
        <w:rPr>
          <w:noProof/>
        </w:rPr>
        <w:t>L'investissement consiste en la construction d'un garage souterrain de 45 000 m2.</w:t>
      </w:r>
    </w:p>
    <w:p w14:paraId="1E84C433" w14:textId="77777777" w:rsidR="00553430" w:rsidRDefault="00212577">
      <w:pPr>
        <w:pStyle w:val="P68B1DB1-Normal42"/>
        <w:spacing w:line="240" w:lineRule="auto"/>
        <w:ind w:left="850"/>
        <w:jc w:val="both"/>
        <w:rPr>
          <w:noProof/>
        </w:rPr>
      </w:pPr>
      <w:r>
        <w:rPr>
          <w:noProof/>
        </w:rPr>
        <w:t>Investissement C2.5 R1-I5 - Mise en œuvre de mesu</w:t>
      </w:r>
      <w:r>
        <w:rPr>
          <w:noProof/>
        </w:rPr>
        <w:t>res d’efficacité énergétique visant à rénover les installations obsolètes des autorités judiciaires.</w:t>
      </w:r>
    </w:p>
    <w:p w14:paraId="666794B1" w14:textId="1DD69B1C" w:rsidR="00553430" w:rsidRDefault="00212577">
      <w:pPr>
        <w:pStyle w:val="P68B1DB1-Normal33"/>
        <w:spacing w:line="240" w:lineRule="auto"/>
        <w:jc w:val="both"/>
        <w:rPr>
          <w:noProof/>
        </w:rPr>
      </w:pPr>
      <w:r>
        <w:rPr>
          <w:noProof/>
        </w:rPr>
        <w:t>L’objectif de l’investissement est de moderniser et d’accroître l’efficacité des travaux de certaines autorités judiciaires et pénales sur le territoire cr</w:t>
      </w:r>
      <w:r>
        <w:rPr>
          <w:noProof/>
        </w:rPr>
        <w:t xml:space="preserve">oate en mettant en œuvre des mesures d’efficacité énergétique, qui contribueront à la transition écologique. 20 bâtiments du système judiciaire doivent répondre aux normes d'utilisation rationnelle de l'énergie et de protection thermique. L’investissement </w:t>
      </w:r>
      <w:r>
        <w:rPr>
          <w:noProof/>
        </w:rPr>
        <w:t>concerne, en moyenne, au moins une rénovation de moyenne profondeur telle que définie dans la recommandation de la Commission sur la rénovation des bâtiments (UE) 2019/786, ce qui permet de parvenir à une réduction d’au moins 30 % de la demande d’énergie p</w:t>
      </w:r>
      <w:r>
        <w:rPr>
          <w:noProof/>
        </w:rPr>
        <w:t>rimaire; ou permettra, en moyenne, de réduire d’au moins 30 % les émissions directes et indirectes de gaz à effet de serre (GES) par rapport aux émissions ex ante. En outre, l’accès aux bâtiments doit être adapté aux personnes handicapées. Pour cet investi</w:t>
      </w:r>
      <w:r>
        <w:rPr>
          <w:noProof/>
        </w:rPr>
        <w:t>ssement, la priorité est accordée à la localisation des autorités judiciaires dans les parties économiquement moins développées de la Croatie.</w:t>
      </w:r>
    </w:p>
    <w:p w14:paraId="2EC04509" w14:textId="77777777" w:rsidR="00553430" w:rsidRDefault="00212577">
      <w:pPr>
        <w:pStyle w:val="P68B1DB1-Normal33"/>
        <w:spacing w:line="240" w:lineRule="auto"/>
        <w:jc w:val="both"/>
        <w:rPr>
          <w:noProof/>
        </w:rPr>
      </w:pPr>
      <w:r>
        <w:rPr>
          <w:noProof/>
        </w:rPr>
        <w:t>Cet investissement est achevé au plus tard le 30 juin 2024.</w:t>
      </w:r>
    </w:p>
    <w:p w14:paraId="212531FA" w14:textId="7B765BD9" w:rsidR="00553430" w:rsidRDefault="00212577">
      <w:pPr>
        <w:pStyle w:val="P68B1DB1-Normal42"/>
        <w:spacing w:line="240" w:lineRule="auto"/>
        <w:ind w:left="850"/>
        <w:jc w:val="both"/>
        <w:rPr>
          <w:noProof/>
        </w:rPr>
      </w:pPr>
      <w:r>
        <w:rPr>
          <w:noProof/>
        </w:rPr>
        <w:t>Investissement C2.5 R1-I6 – Amélioration de l’infrast</w:t>
      </w:r>
      <w:r>
        <w:rPr>
          <w:noProof/>
        </w:rPr>
        <w:t>ructure informatique des organes judiciaires.</w:t>
      </w:r>
    </w:p>
    <w:p w14:paraId="2AFB1724" w14:textId="77777777" w:rsidR="00553430" w:rsidRDefault="00212577">
      <w:pPr>
        <w:pStyle w:val="P68B1DB1-Normal33"/>
        <w:spacing w:line="240" w:lineRule="auto"/>
        <w:jc w:val="both"/>
        <w:rPr>
          <w:noProof/>
        </w:rPr>
      </w:pPr>
      <w:r>
        <w:rPr>
          <w:noProof/>
        </w:rPr>
        <w:t>L'objectif de cet investissement est d'améliorer l'infrastructure des systèmes d'information dans le système judiciaire.</w:t>
      </w:r>
    </w:p>
    <w:p w14:paraId="7DB39950" w14:textId="77777777" w:rsidR="00553430" w:rsidRDefault="00212577">
      <w:pPr>
        <w:pStyle w:val="P68B1DB1-Normal33"/>
        <w:spacing w:line="240" w:lineRule="auto"/>
        <w:jc w:val="both"/>
        <w:rPr>
          <w:noProof/>
        </w:rPr>
        <w:sectPr w:rsidR="00553430" w:rsidSect="00FA29B2">
          <w:headerReference w:type="even" r:id="rId207"/>
          <w:headerReference w:type="default" r:id="rId208"/>
          <w:footerReference w:type="even" r:id="rId209"/>
          <w:footerReference w:type="default" r:id="rId210"/>
          <w:headerReference w:type="first" r:id="rId211"/>
          <w:footerReference w:type="first" r:id="rId212"/>
          <w:pgSz w:w="11906" w:h="16838"/>
          <w:pgMar w:top="1134" w:right="1134" w:bottom="1134" w:left="1134" w:header="567" w:footer="567" w:gutter="0"/>
          <w:cols w:space="708"/>
          <w:docGrid w:linePitch="360"/>
        </w:sectPr>
      </w:pPr>
      <w:r>
        <w:rPr>
          <w:noProof/>
        </w:rPr>
        <w:t xml:space="preserve">L'investissement consiste en une infrastructure de réseau améliorée et de nouveaux équipements de réseau. </w:t>
      </w:r>
    </w:p>
    <w:p w14:paraId="6E0D9F13" w14:textId="77777777" w:rsidR="00553430" w:rsidRDefault="00212577">
      <w:pPr>
        <w:pStyle w:val="P68B1DB1-Normal80"/>
        <w:keepNext/>
        <w:tabs>
          <w:tab w:val="num" w:pos="850"/>
        </w:tabs>
        <w:spacing w:after="0" w:line="240" w:lineRule="auto"/>
        <w:ind w:left="851"/>
        <w:jc w:val="both"/>
        <w:outlineLvl w:val="1"/>
        <w:rPr>
          <w:rFonts w:ascii="Times New Roman" w:eastAsia="SimSun" w:hAnsi="Times New Roman" w:cs="Times New Roman"/>
          <w:b/>
          <w:noProof/>
        </w:rPr>
      </w:pPr>
      <w:r>
        <w:rPr>
          <w:rFonts w:ascii="Times New Roman" w:eastAsia="SimSun" w:hAnsi="Times New Roman" w:cs="Times New Roman"/>
          <w:b/>
          <w:noProof/>
        </w:rPr>
        <w:t xml:space="preserve">K.2. </w:t>
      </w:r>
      <w:r>
        <w:rPr>
          <w:rFonts w:ascii="Times New Roman" w:hAnsi="Times New Roman" w:cs="Times New Roman"/>
          <w:noProof/>
        </w:rPr>
        <w:t xml:space="preserve"> </w:t>
      </w:r>
      <w:r>
        <w:rPr>
          <w:rFonts w:ascii="Times New Roman" w:eastAsia="SimSun" w:hAnsi="Times New Roman" w:cs="Times New Roman"/>
          <w:b/>
          <w:noProof/>
        </w:rPr>
        <w:t>Étapes, cibles, indicateurs et calendrier pour le suivi et la mise en œuvre du soutien financier non remboursable</w:t>
      </w:r>
    </w:p>
    <w:p w14:paraId="1B9C966A" w14:textId="77777777" w:rsidR="00553430" w:rsidRDefault="00553430">
      <w:pPr>
        <w:keepNext/>
        <w:tabs>
          <w:tab w:val="num" w:pos="850"/>
        </w:tabs>
        <w:spacing w:after="0" w:line="240" w:lineRule="auto"/>
        <w:ind w:left="851"/>
        <w:jc w:val="both"/>
        <w:outlineLvl w:val="1"/>
        <w:rPr>
          <w:rFonts w:ascii="Times New Roman" w:eastAsia="SimSun" w:hAnsi="Times New Roman" w:cs="Times New Roman"/>
          <w:b/>
          <w:noProof/>
          <w:sz w:val="24"/>
          <w:szCs w:val="24"/>
          <w:u w:val="single"/>
        </w:rPr>
      </w:pPr>
    </w:p>
    <w:tbl>
      <w:tblPr>
        <w:tblW w:w="16160"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10"/>
        <w:gridCol w:w="1284"/>
        <w:gridCol w:w="1134"/>
        <w:gridCol w:w="1842"/>
        <w:gridCol w:w="2268"/>
        <w:gridCol w:w="1167"/>
        <w:gridCol w:w="1134"/>
        <w:gridCol w:w="756"/>
        <w:gridCol w:w="893"/>
        <w:gridCol w:w="859"/>
        <w:gridCol w:w="4013"/>
      </w:tblGrid>
      <w:tr w:rsidR="00553430" w14:paraId="425B7B2E" w14:textId="77777777" w:rsidTr="009F2E71">
        <w:trPr>
          <w:trHeight w:val="636"/>
          <w:tblHeader/>
        </w:trPr>
        <w:tc>
          <w:tcPr>
            <w:tcW w:w="810" w:type="dxa"/>
            <w:vMerge w:val="restart"/>
            <w:shd w:val="clear" w:color="auto" w:fill="BDD7EE"/>
            <w:vAlign w:val="center"/>
            <w:hideMark/>
          </w:tcPr>
          <w:p w14:paraId="61431362" w14:textId="77777777" w:rsidR="00553430" w:rsidRDefault="00212577">
            <w:pPr>
              <w:pStyle w:val="P68B1DB1-Normal58"/>
              <w:spacing w:after="0" w:line="276" w:lineRule="auto"/>
              <w:jc w:val="center"/>
              <w:rPr>
                <w:bCs/>
                <w:noProof/>
              </w:rPr>
            </w:pPr>
            <w:r>
              <w:rPr>
                <w:noProof/>
              </w:rPr>
              <w:t>Numéro</w:t>
            </w:r>
          </w:p>
        </w:tc>
        <w:tc>
          <w:tcPr>
            <w:tcW w:w="1284" w:type="dxa"/>
            <w:vMerge w:val="restart"/>
            <w:shd w:val="clear" w:color="auto" w:fill="BDD7EE"/>
            <w:vAlign w:val="center"/>
            <w:hideMark/>
          </w:tcPr>
          <w:p w14:paraId="654B7D40" w14:textId="77777777" w:rsidR="00553430" w:rsidRDefault="00212577">
            <w:pPr>
              <w:pStyle w:val="P68B1DB1-Normal58"/>
              <w:spacing w:after="0" w:line="276" w:lineRule="auto"/>
              <w:jc w:val="center"/>
              <w:rPr>
                <w:noProof/>
              </w:rPr>
            </w:pPr>
            <w:r>
              <w:rPr>
                <w:noProof/>
              </w:rPr>
              <w:t>Mesure</w:t>
            </w:r>
          </w:p>
        </w:tc>
        <w:tc>
          <w:tcPr>
            <w:tcW w:w="1134" w:type="dxa"/>
            <w:vMerge w:val="restart"/>
            <w:shd w:val="clear" w:color="auto" w:fill="BDD7EE"/>
            <w:vAlign w:val="center"/>
            <w:hideMark/>
          </w:tcPr>
          <w:p w14:paraId="1C10FA9C" w14:textId="77777777" w:rsidR="00553430" w:rsidRDefault="00212577">
            <w:pPr>
              <w:pStyle w:val="P68B1DB1-Normal58"/>
              <w:spacing w:after="0" w:line="276" w:lineRule="auto"/>
              <w:jc w:val="center"/>
              <w:rPr>
                <w:noProof/>
              </w:rPr>
            </w:pPr>
            <w:r>
              <w:rPr>
                <w:noProof/>
              </w:rPr>
              <w:t>Étape/cible</w:t>
            </w:r>
          </w:p>
        </w:tc>
        <w:tc>
          <w:tcPr>
            <w:tcW w:w="1842" w:type="dxa"/>
            <w:vMerge w:val="restart"/>
            <w:shd w:val="clear" w:color="auto" w:fill="BDD7EE"/>
            <w:vAlign w:val="center"/>
            <w:hideMark/>
          </w:tcPr>
          <w:p w14:paraId="526AFDE6" w14:textId="77777777" w:rsidR="00553430" w:rsidRDefault="00212577">
            <w:pPr>
              <w:pStyle w:val="P68B1DB1-Normal58"/>
              <w:spacing w:after="0" w:line="276" w:lineRule="auto"/>
              <w:jc w:val="center"/>
              <w:rPr>
                <w:noProof/>
              </w:rPr>
            </w:pPr>
            <w:r>
              <w:rPr>
                <w:noProof/>
              </w:rPr>
              <w:t>No</w:t>
            </w:r>
            <w:r>
              <w:rPr>
                <w:noProof/>
              </w:rPr>
              <w:t>m</w:t>
            </w:r>
          </w:p>
        </w:tc>
        <w:tc>
          <w:tcPr>
            <w:tcW w:w="2268" w:type="dxa"/>
            <w:vMerge w:val="restart"/>
            <w:shd w:val="clear" w:color="auto" w:fill="BDD7EE"/>
            <w:vAlign w:val="center"/>
            <w:hideMark/>
          </w:tcPr>
          <w:p w14:paraId="6D9B487A" w14:textId="77777777" w:rsidR="00553430" w:rsidRDefault="00212577">
            <w:pPr>
              <w:pStyle w:val="P68B1DB1-Normal58"/>
              <w:spacing w:after="0" w:line="276" w:lineRule="auto"/>
              <w:jc w:val="center"/>
              <w:rPr>
                <w:noProof/>
              </w:rPr>
            </w:pPr>
            <w:r>
              <w:rPr>
                <w:noProof/>
              </w:rPr>
              <w:t xml:space="preserve">Indicateurs qualitatifs </w:t>
            </w:r>
            <w:r>
              <w:rPr>
                <w:noProof/>
              </w:rPr>
              <w:br/>
              <w:t>(pour les jalons)</w:t>
            </w:r>
          </w:p>
        </w:tc>
        <w:tc>
          <w:tcPr>
            <w:tcW w:w="3057" w:type="dxa"/>
            <w:gridSpan w:val="3"/>
            <w:shd w:val="clear" w:color="auto" w:fill="BDD7EE"/>
            <w:vAlign w:val="center"/>
            <w:hideMark/>
          </w:tcPr>
          <w:p w14:paraId="79386E0C" w14:textId="77777777" w:rsidR="00553430" w:rsidRDefault="00212577">
            <w:pPr>
              <w:pStyle w:val="P68B1DB1-Normal58"/>
              <w:spacing w:after="0" w:line="276" w:lineRule="auto"/>
              <w:jc w:val="center"/>
              <w:rPr>
                <w:noProof/>
              </w:rPr>
            </w:pPr>
            <w:r>
              <w:rPr>
                <w:noProof/>
              </w:rPr>
              <w:t xml:space="preserve">Indicateurs quantitatifs </w:t>
            </w:r>
            <w:r>
              <w:rPr>
                <w:noProof/>
              </w:rPr>
              <w:br/>
              <w:t>(pour les objectifs)</w:t>
            </w:r>
          </w:p>
        </w:tc>
        <w:tc>
          <w:tcPr>
            <w:tcW w:w="1752" w:type="dxa"/>
            <w:gridSpan w:val="2"/>
            <w:shd w:val="clear" w:color="auto" w:fill="BDD7EE"/>
            <w:vAlign w:val="center"/>
            <w:hideMark/>
          </w:tcPr>
          <w:p w14:paraId="04E2BAC6" w14:textId="77777777" w:rsidR="00553430" w:rsidRDefault="00212577">
            <w:pPr>
              <w:pStyle w:val="P68B1DB1-Normal58"/>
              <w:spacing w:after="0" w:line="276" w:lineRule="auto"/>
              <w:jc w:val="center"/>
              <w:rPr>
                <w:noProof/>
              </w:rPr>
            </w:pPr>
            <w:r>
              <w:rPr>
                <w:noProof/>
              </w:rPr>
              <w:t>Temps</w:t>
            </w:r>
          </w:p>
        </w:tc>
        <w:tc>
          <w:tcPr>
            <w:tcW w:w="4013" w:type="dxa"/>
            <w:vMerge w:val="restart"/>
            <w:shd w:val="clear" w:color="auto" w:fill="BDD7EE"/>
            <w:vAlign w:val="center"/>
            <w:hideMark/>
          </w:tcPr>
          <w:p w14:paraId="0923ED83" w14:textId="77777777" w:rsidR="00553430" w:rsidRDefault="00212577">
            <w:pPr>
              <w:pStyle w:val="P68B1DB1-Normal58"/>
              <w:spacing w:after="0" w:line="276" w:lineRule="auto"/>
              <w:jc w:val="center"/>
              <w:rPr>
                <w:noProof/>
              </w:rPr>
            </w:pPr>
            <w:r>
              <w:rPr>
                <w:noProof/>
              </w:rPr>
              <w:t>Description de chaque jalon et cible</w:t>
            </w:r>
          </w:p>
        </w:tc>
      </w:tr>
      <w:tr w:rsidR="00553430" w14:paraId="2CC61A64" w14:textId="77777777" w:rsidTr="009F2E71">
        <w:trPr>
          <w:trHeight w:val="503"/>
          <w:tblHeader/>
        </w:trPr>
        <w:tc>
          <w:tcPr>
            <w:tcW w:w="810" w:type="dxa"/>
            <w:vMerge/>
            <w:hideMark/>
          </w:tcPr>
          <w:p w14:paraId="4A915D37"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284" w:type="dxa"/>
            <w:vMerge/>
            <w:hideMark/>
          </w:tcPr>
          <w:p w14:paraId="45B1E816"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134" w:type="dxa"/>
            <w:vMerge/>
            <w:hideMark/>
          </w:tcPr>
          <w:p w14:paraId="55217D6A"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842" w:type="dxa"/>
            <w:vMerge/>
            <w:hideMark/>
          </w:tcPr>
          <w:p w14:paraId="00D53B28" w14:textId="77777777" w:rsidR="00553430" w:rsidRDefault="00553430">
            <w:pPr>
              <w:spacing w:after="0" w:line="276" w:lineRule="auto"/>
              <w:rPr>
                <w:rFonts w:ascii="Times New Roman" w:eastAsia="Times New Roman" w:hAnsi="Times New Roman" w:cs="Times New Roman"/>
                <w:b/>
                <w:noProof/>
                <w:sz w:val="20"/>
                <w:szCs w:val="20"/>
              </w:rPr>
            </w:pPr>
          </w:p>
        </w:tc>
        <w:tc>
          <w:tcPr>
            <w:tcW w:w="2268" w:type="dxa"/>
            <w:vMerge/>
            <w:hideMark/>
          </w:tcPr>
          <w:p w14:paraId="0F4B1360" w14:textId="77777777" w:rsidR="00553430" w:rsidRDefault="00553430">
            <w:pPr>
              <w:spacing w:after="0" w:line="276" w:lineRule="auto"/>
              <w:rPr>
                <w:rFonts w:ascii="Times New Roman" w:eastAsia="Times New Roman" w:hAnsi="Times New Roman" w:cs="Times New Roman"/>
                <w:b/>
                <w:noProof/>
                <w:sz w:val="20"/>
                <w:szCs w:val="20"/>
              </w:rPr>
            </w:pPr>
          </w:p>
        </w:tc>
        <w:tc>
          <w:tcPr>
            <w:tcW w:w="1167" w:type="dxa"/>
            <w:shd w:val="clear" w:color="auto" w:fill="BDD7EE"/>
            <w:vAlign w:val="center"/>
            <w:hideMark/>
          </w:tcPr>
          <w:p w14:paraId="4E32F2F0" w14:textId="77777777" w:rsidR="00553430" w:rsidRDefault="00212577">
            <w:pPr>
              <w:pStyle w:val="P68B1DB1-Normal58"/>
              <w:spacing w:after="0" w:line="276" w:lineRule="auto"/>
              <w:jc w:val="center"/>
              <w:rPr>
                <w:noProof/>
              </w:rPr>
            </w:pPr>
            <w:r>
              <w:rPr>
                <w:noProof/>
              </w:rPr>
              <w:t>Unité</w:t>
            </w:r>
          </w:p>
        </w:tc>
        <w:tc>
          <w:tcPr>
            <w:tcW w:w="1134" w:type="dxa"/>
            <w:shd w:val="clear" w:color="auto" w:fill="BDD7EE"/>
            <w:vAlign w:val="center"/>
            <w:hideMark/>
          </w:tcPr>
          <w:p w14:paraId="139EB4D9" w14:textId="77777777" w:rsidR="00553430" w:rsidRDefault="00212577">
            <w:pPr>
              <w:pStyle w:val="P68B1DB1-Normal58"/>
              <w:spacing w:after="0" w:line="276" w:lineRule="auto"/>
              <w:jc w:val="center"/>
              <w:rPr>
                <w:noProof/>
              </w:rPr>
            </w:pPr>
            <w:r>
              <w:rPr>
                <w:noProof/>
              </w:rPr>
              <w:t>Données de référence</w:t>
            </w:r>
          </w:p>
        </w:tc>
        <w:tc>
          <w:tcPr>
            <w:tcW w:w="756" w:type="dxa"/>
            <w:shd w:val="clear" w:color="auto" w:fill="BDD7EE"/>
            <w:vAlign w:val="center"/>
            <w:hideMark/>
          </w:tcPr>
          <w:p w14:paraId="4A8CA7EC" w14:textId="77777777" w:rsidR="00553430" w:rsidRDefault="00212577">
            <w:pPr>
              <w:pStyle w:val="P68B1DB1-Normal58"/>
              <w:spacing w:after="0" w:line="276" w:lineRule="auto"/>
              <w:jc w:val="center"/>
              <w:rPr>
                <w:noProof/>
              </w:rPr>
            </w:pPr>
            <w:r>
              <w:rPr>
                <w:noProof/>
              </w:rPr>
              <w:t>Objectif</w:t>
            </w:r>
          </w:p>
        </w:tc>
        <w:tc>
          <w:tcPr>
            <w:tcW w:w="893" w:type="dxa"/>
            <w:shd w:val="clear" w:color="auto" w:fill="BDD7EE"/>
            <w:vAlign w:val="center"/>
            <w:hideMark/>
          </w:tcPr>
          <w:p w14:paraId="1112E054" w14:textId="77777777" w:rsidR="00553430" w:rsidRDefault="00212577">
            <w:pPr>
              <w:pStyle w:val="P68B1DB1-Normal58"/>
              <w:spacing w:after="0" w:line="276" w:lineRule="auto"/>
              <w:jc w:val="center"/>
              <w:rPr>
                <w:noProof/>
              </w:rPr>
            </w:pPr>
            <w:r>
              <w:rPr>
                <w:noProof/>
              </w:rPr>
              <w:t>Trimestre</w:t>
            </w:r>
          </w:p>
        </w:tc>
        <w:tc>
          <w:tcPr>
            <w:tcW w:w="859" w:type="dxa"/>
            <w:shd w:val="clear" w:color="auto" w:fill="BDD7EE"/>
            <w:vAlign w:val="center"/>
            <w:hideMark/>
          </w:tcPr>
          <w:p w14:paraId="1C34B6F5" w14:textId="77777777" w:rsidR="00553430" w:rsidRDefault="00212577">
            <w:pPr>
              <w:pStyle w:val="P68B1DB1-Normal58"/>
              <w:spacing w:after="0" w:line="276" w:lineRule="auto"/>
              <w:jc w:val="center"/>
              <w:rPr>
                <w:noProof/>
              </w:rPr>
            </w:pPr>
            <w:r>
              <w:rPr>
                <w:noProof/>
              </w:rPr>
              <w:t>Année</w:t>
            </w:r>
          </w:p>
        </w:tc>
        <w:tc>
          <w:tcPr>
            <w:tcW w:w="4013" w:type="dxa"/>
            <w:vMerge/>
            <w:hideMark/>
          </w:tcPr>
          <w:p w14:paraId="2D5B9093"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7CAB5C4F" w14:textId="77777777" w:rsidTr="009F2E71">
        <w:trPr>
          <w:trHeight w:val="283"/>
        </w:trPr>
        <w:tc>
          <w:tcPr>
            <w:tcW w:w="810" w:type="dxa"/>
            <w:shd w:val="clear" w:color="auto" w:fill="C6EFCE"/>
            <w:noWrap/>
          </w:tcPr>
          <w:p w14:paraId="46EF30A4" w14:textId="77777777" w:rsidR="00553430" w:rsidRDefault="00212577">
            <w:pPr>
              <w:pStyle w:val="P68B1DB1-Normal66"/>
              <w:spacing w:after="200" w:line="276" w:lineRule="auto"/>
              <w:jc w:val="center"/>
              <w:rPr>
                <w:noProof/>
              </w:rPr>
            </w:pPr>
            <w:r>
              <w:rPr>
                <w:noProof/>
              </w:rPr>
              <w:t>214</w:t>
            </w:r>
          </w:p>
        </w:tc>
        <w:tc>
          <w:tcPr>
            <w:tcW w:w="1284" w:type="dxa"/>
            <w:shd w:val="clear" w:color="auto" w:fill="C6EFCE"/>
            <w:noWrap/>
          </w:tcPr>
          <w:p w14:paraId="6129D3E6" w14:textId="77777777" w:rsidR="00553430" w:rsidRDefault="00212577">
            <w:pPr>
              <w:pStyle w:val="P68B1DB1-Normal66"/>
              <w:spacing w:after="200" w:line="276" w:lineRule="auto"/>
              <w:jc w:val="center"/>
              <w:rPr>
                <w:noProof/>
              </w:rPr>
            </w:pPr>
            <w:r>
              <w:rPr>
                <w:noProof/>
              </w:rPr>
              <w:t>C2.5. R1</w:t>
            </w:r>
          </w:p>
        </w:tc>
        <w:tc>
          <w:tcPr>
            <w:tcW w:w="1134" w:type="dxa"/>
            <w:shd w:val="clear" w:color="auto" w:fill="C6EFCE"/>
            <w:noWrap/>
          </w:tcPr>
          <w:p w14:paraId="1CB313F8" w14:textId="77777777" w:rsidR="00553430" w:rsidRDefault="00212577">
            <w:pPr>
              <w:pStyle w:val="P68B1DB1-Normal66"/>
              <w:spacing w:after="200" w:line="276" w:lineRule="auto"/>
              <w:jc w:val="center"/>
              <w:rPr>
                <w:noProof/>
              </w:rPr>
            </w:pPr>
            <w:r>
              <w:rPr>
                <w:noProof/>
              </w:rPr>
              <w:t>M</w:t>
            </w:r>
          </w:p>
        </w:tc>
        <w:tc>
          <w:tcPr>
            <w:tcW w:w="1842" w:type="dxa"/>
            <w:shd w:val="clear" w:color="auto" w:fill="C6EFCE"/>
            <w:noWrap/>
          </w:tcPr>
          <w:p w14:paraId="1D11DCC6" w14:textId="77777777" w:rsidR="00553430" w:rsidRDefault="00212577">
            <w:pPr>
              <w:pStyle w:val="P68B1DB1-Normal66"/>
              <w:spacing w:after="200" w:line="276" w:lineRule="auto"/>
              <w:rPr>
                <w:noProof/>
              </w:rPr>
            </w:pPr>
            <w:r>
              <w:rPr>
                <w:noProof/>
              </w:rPr>
              <w:t xml:space="preserve">Outils électroniques fournis et capacités </w:t>
            </w:r>
            <w:r>
              <w:rPr>
                <w:noProof/>
              </w:rPr>
              <w:t>administratives adéquates pour le Conseil national de la magistrature (Državno sudbeno vijeće, DSV) et le Conseil du procureur général (Državnoodvjetničko vijeće, DOV)</w:t>
            </w:r>
          </w:p>
        </w:tc>
        <w:tc>
          <w:tcPr>
            <w:tcW w:w="2268" w:type="dxa"/>
            <w:shd w:val="clear" w:color="auto" w:fill="C6EFCE"/>
            <w:noWrap/>
          </w:tcPr>
          <w:p w14:paraId="514F5CF0" w14:textId="77777777" w:rsidR="00553430" w:rsidRDefault="00212577">
            <w:pPr>
              <w:pStyle w:val="P68B1DB1-Normal66"/>
              <w:spacing w:after="200" w:line="276" w:lineRule="auto"/>
              <w:rPr>
                <w:noProof/>
              </w:rPr>
            </w:pPr>
            <w:r>
              <w:rPr>
                <w:noProof/>
              </w:rPr>
              <w:t xml:space="preserve">Outils électroniques et capacités administratives adéquates fournis au Conseil national </w:t>
            </w:r>
            <w:r>
              <w:rPr>
                <w:noProof/>
              </w:rPr>
              <w:t>de la magistrature (Državno sudbeno vijeće, DSV) et au Conseil du procureur général (Državnoodvjetničko vijeće, DOV)</w:t>
            </w:r>
          </w:p>
        </w:tc>
        <w:tc>
          <w:tcPr>
            <w:tcW w:w="1167" w:type="dxa"/>
            <w:shd w:val="clear" w:color="auto" w:fill="C6EFCE"/>
            <w:noWrap/>
          </w:tcPr>
          <w:p w14:paraId="6CAD4830" w14:textId="77777777" w:rsidR="00553430" w:rsidRDefault="00212577">
            <w:pPr>
              <w:pStyle w:val="P68B1DB1-Normal66"/>
              <w:spacing w:after="200" w:line="276" w:lineRule="auto"/>
              <w:jc w:val="center"/>
              <w:rPr>
                <w:noProof/>
              </w:rPr>
            </w:pPr>
            <w:r>
              <w:rPr>
                <w:noProof/>
              </w:rPr>
              <w:t> </w:t>
            </w:r>
          </w:p>
        </w:tc>
        <w:tc>
          <w:tcPr>
            <w:tcW w:w="1134" w:type="dxa"/>
            <w:shd w:val="clear" w:color="auto" w:fill="C6EFCE"/>
            <w:noWrap/>
          </w:tcPr>
          <w:p w14:paraId="4EB753F2" w14:textId="77777777" w:rsidR="00553430" w:rsidRDefault="00212577">
            <w:pPr>
              <w:pStyle w:val="P68B1DB1-Normal66"/>
              <w:spacing w:after="200" w:line="276" w:lineRule="auto"/>
              <w:jc w:val="center"/>
              <w:rPr>
                <w:noProof/>
              </w:rPr>
            </w:pPr>
            <w:r>
              <w:rPr>
                <w:noProof/>
              </w:rPr>
              <w:t> </w:t>
            </w:r>
          </w:p>
        </w:tc>
        <w:tc>
          <w:tcPr>
            <w:tcW w:w="756" w:type="dxa"/>
            <w:shd w:val="clear" w:color="auto" w:fill="C6EFCE"/>
            <w:noWrap/>
          </w:tcPr>
          <w:p w14:paraId="6A1C4427" w14:textId="77777777" w:rsidR="00553430" w:rsidRDefault="00212577">
            <w:pPr>
              <w:pStyle w:val="P68B1DB1-Normal66"/>
              <w:spacing w:after="200" w:line="276" w:lineRule="auto"/>
              <w:jc w:val="center"/>
              <w:rPr>
                <w:noProof/>
              </w:rPr>
            </w:pPr>
            <w:r>
              <w:rPr>
                <w:noProof/>
              </w:rPr>
              <w:t> </w:t>
            </w:r>
          </w:p>
        </w:tc>
        <w:tc>
          <w:tcPr>
            <w:tcW w:w="893" w:type="dxa"/>
            <w:shd w:val="clear" w:color="auto" w:fill="C6EFCE"/>
            <w:noWrap/>
          </w:tcPr>
          <w:p w14:paraId="596F72D2" w14:textId="77777777" w:rsidR="00553430" w:rsidRDefault="00212577">
            <w:pPr>
              <w:pStyle w:val="P68B1DB1-Normal66"/>
              <w:spacing w:after="200" w:line="276" w:lineRule="auto"/>
              <w:jc w:val="center"/>
              <w:rPr>
                <w:noProof/>
              </w:rPr>
            </w:pPr>
            <w:r>
              <w:rPr>
                <w:noProof/>
              </w:rPr>
              <w:t>T1</w:t>
            </w:r>
          </w:p>
        </w:tc>
        <w:tc>
          <w:tcPr>
            <w:tcW w:w="859" w:type="dxa"/>
            <w:shd w:val="clear" w:color="auto" w:fill="C6EFCE"/>
            <w:noWrap/>
          </w:tcPr>
          <w:p w14:paraId="2394B649" w14:textId="77777777" w:rsidR="00553430" w:rsidRDefault="00212577">
            <w:pPr>
              <w:pStyle w:val="P68B1DB1-Normal66"/>
              <w:spacing w:after="200" w:line="276" w:lineRule="auto"/>
              <w:jc w:val="center"/>
              <w:rPr>
                <w:noProof/>
              </w:rPr>
            </w:pPr>
            <w:r>
              <w:rPr>
                <w:noProof/>
              </w:rPr>
              <w:t>2022</w:t>
            </w:r>
          </w:p>
        </w:tc>
        <w:tc>
          <w:tcPr>
            <w:tcW w:w="4013" w:type="dxa"/>
            <w:shd w:val="clear" w:color="auto" w:fill="C6EFCE"/>
            <w:noWrap/>
          </w:tcPr>
          <w:p w14:paraId="1B21D9C0" w14:textId="77777777" w:rsidR="00553430" w:rsidRDefault="00212577">
            <w:pPr>
              <w:pStyle w:val="P68B1DB1-Normal66"/>
              <w:spacing w:after="200" w:line="276" w:lineRule="auto"/>
              <w:rPr>
                <w:noProof/>
              </w:rPr>
            </w:pPr>
            <w:r>
              <w:rPr>
                <w:noProof/>
              </w:rPr>
              <w:t>Des outils électroniques et des capacités administratives adéquates sont mis en place pour le Conseil national de la magistra</w:t>
            </w:r>
            <w:r>
              <w:rPr>
                <w:noProof/>
              </w:rPr>
              <w:t xml:space="preserve">ture (Državno sudbeno vijeće, DSV) et le Conseil du procureur général (Državnoodvjetničko vijeće, DOV), afin d’améliorer la qualité des travaux des deux conseils. Leurs ressources humaines sont augmentées de 50 % par rapport au niveau de référence de 2021 </w:t>
            </w:r>
            <w:r>
              <w:rPr>
                <w:noProof/>
              </w:rPr>
              <w:t xml:space="preserve">(en recrutant au moins 4 personnes) et le lien entre la DSV et la DOV, d’une part, et le registre foncier commun et le cadastre commun (ZIS) et le système d’information de l’administration fiscale, d’autre part, est mis en œuvre afin de mettre en place un </w:t>
            </w:r>
            <w:r>
              <w:rPr>
                <w:noProof/>
              </w:rPr>
              <w:t>mécanisme efficace de vérification des déclarations de patrimoine des fonctionnaires de l’État.</w:t>
            </w:r>
          </w:p>
        </w:tc>
      </w:tr>
      <w:tr w:rsidR="00553430" w14:paraId="0DE23A24" w14:textId="77777777" w:rsidTr="009F2E71">
        <w:trPr>
          <w:trHeight w:val="283"/>
        </w:trPr>
        <w:tc>
          <w:tcPr>
            <w:tcW w:w="810" w:type="dxa"/>
            <w:shd w:val="clear" w:color="auto" w:fill="C6EFCE"/>
            <w:noWrap/>
          </w:tcPr>
          <w:p w14:paraId="5501406E" w14:textId="77777777" w:rsidR="00553430" w:rsidRDefault="00212577">
            <w:pPr>
              <w:pStyle w:val="P68B1DB1-Normal66"/>
              <w:spacing w:after="200" w:line="276" w:lineRule="auto"/>
              <w:jc w:val="center"/>
              <w:rPr>
                <w:noProof/>
              </w:rPr>
            </w:pPr>
            <w:r>
              <w:rPr>
                <w:noProof/>
              </w:rPr>
              <w:t>215</w:t>
            </w:r>
          </w:p>
        </w:tc>
        <w:tc>
          <w:tcPr>
            <w:tcW w:w="1284" w:type="dxa"/>
            <w:shd w:val="clear" w:color="auto" w:fill="C6EFCE"/>
            <w:noWrap/>
          </w:tcPr>
          <w:p w14:paraId="2C118E02" w14:textId="77777777" w:rsidR="00553430" w:rsidRDefault="00212577">
            <w:pPr>
              <w:pStyle w:val="P68B1DB1-Normal66"/>
              <w:spacing w:after="200" w:line="276" w:lineRule="auto"/>
              <w:jc w:val="center"/>
              <w:rPr>
                <w:noProof/>
              </w:rPr>
            </w:pPr>
            <w:r>
              <w:rPr>
                <w:noProof/>
              </w:rPr>
              <w:t>C2.5. R1</w:t>
            </w:r>
          </w:p>
        </w:tc>
        <w:tc>
          <w:tcPr>
            <w:tcW w:w="1134" w:type="dxa"/>
            <w:shd w:val="clear" w:color="auto" w:fill="C6EFCE"/>
            <w:noWrap/>
          </w:tcPr>
          <w:p w14:paraId="3881B898" w14:textId="77777777" w:rsidR="00553430" w:rsidRDefault="00212577">
            <w:pPr>
              <w:pStyle w:val="P68B1DB1-Normal66"/>
              <w:spacing w:after="200" w:line="276" w:lineRule="auto"/>
              <w:jc w:val="center"/>
              <w:rPr>
                <w:noProof/>
              </w:rPr>
            </w:pPr>
            <w:r>
              <w:rPr>
                <w:noProof/>
              </w:rPr>
              <w:t>M</w:t>
            </w:r>
          </w:p>
        </w:tc>
        <w:tc>
          <w:tcPr>
            <w:tcW w:w="1842" w:type="dxa"/>
            <w:shd w:val="clear" w:color="auto" w:fill="C6EFCE"/>
            <w:noWrap/>
          </w:tcPr>
          <w:p w14:paraId="63937F33" w14:textId="77777777" w:rsidR="00553430" w:rsidRDefault="00212577">
            <w:pPr>
              <w:pStyle w:val="P68B1DB1-Normal66"/>
              <w:spacing w:after="200" w:line="276" w:lineRule="auto"/>
              <w:rPr>
                <w:noProof/>
              </w:rPr>
            </w:pPr>
            <w:r>
              <w:rPr>
                <w:noProof/>
              </w:rPr>
              <w:t>Modifications adoptées à la Loi sur la faillite et à la Loi sur l'insolvabilité des consommateurs</w:t>
            </w:r>
          </w:p>
        </w:tc>
        <w:tc>
          <w:tcPr>
            <w:tcW w:w="2268" w:type="dxa"/>
            <w:shd w:val="clear" w:color="auto" w:fill="C6EFCE"/>
            <w:noWrap/>
          </w:tcPr>
          <w:p w14:paraId="2C83BB85" w14:textId="77777777" w:rsidR="00553430" w:rsidRDefault="00212577">
            <w:pPr>
              <w:pStyle w:val="P68B1DB1-Normal66"/>
              <w:spacing w:after="200" w:line="276" w:lineRule="auto"/>
              <w:rPr>
                <w:noProof/>
              </w:rPr>
            </w:pPr>
            <w:r>
              <w:rPr>
                <w:noProof/>
              </w:rPr>
              <w:t xml:space="preserve">Entrée en vigueur de la Loi sur la faillite et de la Loi sur la faillite des consommateurs </w:t>
            </w:r>
          </w:p>
        </w:tc>
        <w:tc>
          <w:tcPr>
            <w:tcW w:w="1167" w:type="dxa"/>
            <w:shd w:val="clear" w:color="auto" w:fill="C6EFCE"/>
            <w:noWrap/>
          </w:tcPr>
          <w:p w14:paraId="54BD97AF" w14:textId="77777777" w:rsidR="00553430" w:rsidRDefault="00212577">
            <w:pPr>
              <w:pStyle w:val="P68B1DB1-Normal66"/>
              <w:spacing w:after="200" w:line="276" w:lineRule="auto"/>
              <w:jc w:val="center"/>
              <w:rPr>
                <w:noProof/>
              </w:rPr>
            </w:pPr>
            <w:r>
              <w:rPr>
                <w:noProof/>
              </w:rPr>
              <w:t> </w:t>
            </w:r>
          </w:p>
        </w:tc>
        <w:tc>
          <w:tcPr>
            <w:tcW w:w="1134" w:type="dxa"/>
            <w:shd w:val="clear" w:color="auto" w:fill="C6EFCE"/>
            <w:noWrap/>
          </w:tcPr>
          <w:p w14:paraId="08710186" w14:textId="77777777" w:rsidR="00553430" w:rsidRDefault="00212577">
            <w:pPr>
              <w:pStyle w:val="P68B1DB1-Normal66"/>
              <w:spacing w:after="200" w:line="276" w:lineRule="auto"/>
              <w:jc w:val="center"/>
              <w:rPr>
                <w:noProof/>
              </w:rPr>
            </w:pPr>
            <w:r>
              <w:rPr>
                <w:noProof/>
              </w:rPr>
              <w:t> </w:t>
            </w:r>
          </w:p>
        </w:tc>
        <w:tc>
          <w:tcPr>
            <w:tcW w:w="756" w:type="dxa"/>
            <w:shd w:val="clear" w:color="auto" w:fill="C6EFCE"/>
            <w:noWrap/>
          </w:tcPr>
          <w:p w14:paraId="72542933" w14:textId="77777777" w:rsidR="00553430" w:rsidRDefault="00212577">
            <w:pPr>
              <w:pStyle w:val="P68B1DB1-Normal66"/>
              <w:spacing w:after="200" w:line="276" w:lineRule="auto"/>
              <w:jc w:val="center"/>
              <w:rPr>
                <w:noProof/>
              </w:rPr>
            </w:pPr>
            <w:r>
              <w:rPr>
                <w:noProof/>
              </w:rPr>
              <w:t> </w:t>
            </w:r>
          </w:p>
        </w:tc>
        <w:tc>
          <w:tcPr>
            <w:tcW w:w="893" w:type="dxa"/>
            <w:shd w:val="clear" w:color="auto" w:fill="C6EFCE"/>
            <w:noWrap/>
          </w:tcPr>
          <w:p w14:paraId="3167F7D1" w14:textId="2359252E" w:rsidR="00553430" w:rsidRDefault="00212577">
            <w:pPr>
              <w:pStyle w:val="P68B1DB1-Normal66"/>
              <w:spacing w:after="200" w:line="276" w:lineRule="auto"/>
              <w:jc w:val="center"/>
              <w:rPr>
                <w:noProof/>
              </w:rPr>
            </w:pPr>
            <w:r>
              <w:rPr>
                <w:noProof/>
              </w:rPr>
              <w:t>T2</w:t>
            </w:r>
          </w:p>
        </w:tc>
        <w:tc>
          <w:tcPr>
            <w:tcW w:w="859" w:type="dxa"/>
            <w:shd w:val="clear" w:color="auto" w:fill="C6EFCE"/>
            <w:noWrap/>
          </w:tcPr>
          <w:p w14:paraId="7C9AE9FC" w14:textId="77777777" w:rsidR="00553430" w:rsidRDefault="00212577">
            <w:pPr>
              <w:pStyle w:val="P68B1DB1-Normal66"/>
              <w:spacing w:after="200" w:line="276" w:lineRule="auto"/>
              <w:jc w:val="center"/>
              <w:rPr>
                <w:noProof/>
              </w:rPr>
            </w:pPr>
            <w:r>
              <w:rPr>
                <w:noProof/>
              </w:rPr>
              <w:t>2022</w:t>
            </w:r>
          </w:p>
        </w:tc>
        <w:tc>
          <w:tcPr>
            <w:tcW w:w="4013" w:type="dxa"/>
            <w:shd w:val="clear" w:color="auto" w:fill="C6EFCE"/>
            <w:noWrap/>
          </w:tcPr>
          <w:p w14:paraId="5E0F5950" w14:textId="77777777" w:rsidR="00553430" w:rsidRDefault="00212577">
            <w:pPr>
              <w:pStyle w:val="P68B1DB1-Normal66"/>
              <w:spacing w:after="200" w:line="276" w:lineRule="auto"/>
              <w:rPr>
                <w:noProof/>
              </w:rPr>
            </w:pPr>
            <w:r>
              <w:rPr>
                <w:noProof/>
              </w:rPr>
              <w:t>Les modifications apportées à la loi sur la faillite et à la loi sur l’insolvabilité des consommateurs (publication au Journal officiel), qui garantis</w:t>
            </w:r>
            <w:r>
              <w:rPr>
                <w:noProof/>
              </w:rPr>
              <w:t>sent une plus grande efficacité des procédures d’insolvabilité, améliorent le système d’organisation et de désignation des praticiens de l’insolvabilité et la surveillance de l’exécution du service, ont un effet dissuasif contre une augmentation potentiell</w:t>
            </w:r>
            <w:r>
              <w:rPr>
                <w:noProof/>
              </w:rPr>
              <w:t>e du nombre de cas due aux conditions de la pandémie de COVID-19 et la modification de l’article 212 de la loi sur la faillite relatif aux procédures d’annulation.</w:t>
            </w:r>
          </w:p>
        </w:tc>
      </w:tr>
      <w:tr w:rsidR="00553430" w14:paraId="4765CD9E" w14:textId="77777777" w:rsidTr="009F2E71">
        <w:trPr>
          <w:trHeight w:val="283"/>
        </w:trPr>
        <w:tc>
          <w:tcPr>
            <w:tcW w:w="810" w:type="dxa"/>
            <w:shd w:val="clear" w:color="auto" w:fill="C6EFCE"/>
            <w:noWrap/>
          </w:tcPr>
          <w:p w14:paraId="3ADD3605" w14:textId="77777777" w:rsidR="00553430" w:rsidRDefault="00212577">
            <w:pPr>
              <w:pStyle w:val="P68B1DB1-Normal66"/>
              <w:spacing w:after="200" w:line="276" w:lineRule="auto"/>
              <w:jc w:val="center"/>
              <w:rPr>
                <w:noProof/>
              </w:rPr>
            </w:pPr>
            <w:r>
              <w:rPr>
                <w:noProof/>
              </w:rPr>
              <w:t>216</w:t>
            </w:r>
          </w:p>
        </w:tc>
        <w:tc>
          <w:tcPr>
            <w:tcW w:w="1284" w:type="dxa"/>
            <w:shd w:val="clear" w:color="auto" w:fill="C6EFCE"/>
            <w:noWrap/>
          </w:tcPr>
          <w:p w14:paraId="536E2778" w14:textId="77777777" w:rsidR="00553430" w:rsidRDefault="00212577">
            <w:pPr>
              <w:pStyle w:val="P68B1DB1-Normal66"/>
              <w:spacing w:after="200" w:line="276" w:lineRule="auto"/>
              <w:jc w:val="center"/>
              <w:rPr>
                <w:noProof/>
              </w:rPr>
            </w:pPr>
            <w:r>
              <w:rPr>
                <w:noProof/>
              </w:rPr>
              <w:t>C2.5. R1</w:t>
            </w:r>
          </w:p>
        </w:tc>
        <w:tc>
          <w:tcPr>
            <w:tcW w:w="1134" w:type="dxa"/>
            <w:shd w:val="clear" w:color="auto" w:fill="C6EFCE"/>
            <w:noWrap/>
          </w:tcPr>
          <w:p w14:paraId="43ED15A3" w14:textId="77777777" w:rsidR="00553430" w:rsidRDefault="00212577">
            <w:pPr>
              <w:pStyle w:val="P68B1DB1-Normal66"/>
              <w:spacing w:after="200" w:line="276" w:lineRule="auto"/>
              <w:jc w:val="center"/>
              <w:rPr>
                <w:noProof/>
              </w:rPr>
            </w:pPr>
            <w:r>
              <w:rPr>
                <w:noProof/>
              </w:rPr>
              <w:t>M</w:t>
            </w:r>
          </w:p>
        </w:tc>
        <w:tc>
          <w:tcPr>
            <w:tcW w:w="1842" w:type="dxa"/>
            <w:shd w:val="clear" w:color="auto" w:fill="C6EFCE"/>
            <w:noWrap/>
          </w:tcPr>
          <w:p w14:paraId="7963EF65" w14:textId="77777777" w:rsidR="00553430" w:rsidRDefault="00212577">
            <w:pPr>
              <w:pStyle w:val="P68B1DB1-Normal66"/>
              <w:spacing w:after="200" w:line="276" w:lineRule="auto"/>
              <w:rPr>
                <w:noProof/>
              </w:rPr>
            </w:pPr>
            <w:r>
              <w:rPr>
                <w:noProof/>
              </w:rPr>
              <w:t>Amendements adoptés au Code de procédure pénale</w:t>
            </w:r>
          </w:p>
        </w:tc>
        <w:tc>
          <w:tcPr>
            <w:tcW w:w="2268" w:type="dxa"/>
            <w:shd w:val="clear" w:color="auto" w:fill="C6EFCE"/>
            <w:noWrap/>
          </w:tcPr>
          <w:p w14:paraId="09E3E616" w14:textId="77777777" w:rsidR="00553430" w:rsidRDefault="00212577">
            <w:pPr>
              <w:pStyle w:val="P68B1DB1-Normal66"/>
              <w:spacing w:after="200" w:line="276" w:lineRule="auto"/>
              <w:rPr>
                <w:noProof/>
              </w:rPr>
            </w:pPr>
            <w:r>
              <w:rPr>
                <w:noProof/>
              </w:rPr>
              <w:t xml:space="preserve">Entrée en vigueur des </w:t>
            </w:r>
            <w:r>
              <w:rPr>
                <w:noProof/>
              </w:rPr>
              <w:t>amendements au Code de procédure pénale</w:t>
            </w:r>
          </w:p>
        </w:tc>
        <w:tc>
          <w:tcPr>
            <w:tcW w:w="1167" w:type="dxa"/>
            <w:shd w:val="clear" w:color="auto" w:fill="C6EFCE"/>
            <w:noWrap/>
          </w:tcPr>
          <w:p w14:paraId="06FE9F28" w14:textId="77777777" w:rsidR="00553430" w:rsidRDefault="00212577">
            <w:pPr>
              <w:pStyle w:val="P68B1DB1-Normal66"/>
              <w:spacing w:after="200" w:line="276" w:lineRule="auto"/>
              <w:jc w:val="center"/>
              <w:rPr>
                <w:noProof/>
              </w:rPr>
            </w:pPr>
            <w:r>
              <w:rPr>
                <w:noProof/>
              </w:rPr>
              <w:t> </w:t>
            </w:r>
          </w:p>
        </w:tc>
        <w:tc>
          <w:tcPr>
            <w:tcW w:w="1134" w:type="dxa"/>
            <w:shd w:val="clear" w:color="auto" w:fill="C6EFCE"/>
            <w:noWrap/>
          </w:tcPr>
          <w:p w14:paraId="712C67BE" w14:textId="77777777" w:rsidR="00553430" w:rsidRDefault="00212577">
            <w:pPr>
              <w:pStyle w:val="P68B1DB1-Normal66"/>
              <w:spacing w:after="200" w:line="276" w:lineRule="auto"/>
              <w:jc w:val="center"/>
              <w:rPr>
                <w:noProof/>
              </w:rPr>
            </w:pPr>
            <w:r>
              <w:rPr>
                <w:noProof/>
              </w:rPr>
              <w:t> </w:t>
            </w:r>
          </w:p>
        </w:tc>
        <w:tc>
          <w:tcPr>
            <w:tcW w:w="756" w:type="dxa"/>
            <w:shd w:val="clear" w:color="auto" w:fill="C6EFCE"/>
            <w:noWrap/>
          </w:tcPr>
          <w:p w14:paraId="4F94D64A" w14:textId="77777777" w:rsidR="00553430" w:rsidRDefault="00212577">
            <w:pPr>
              <w:pStyle w:val="P68B1DB1-Normal66"/>
              <w:spacing w:after="200" w:line="276" w:lineRule="auto"/>
              <w:jc w:val="center"/>
              <w:rPr>
                <w:noProof/>
              </w:rPr>
            </w:pPr>
            <w:r>
              <w:rPr>
                <w:noProof/>
              </w:rPr>
              <w:t> </w:t>
            </w:r>
          </w:p>
        </w:tc>
        <w:tc>
          <w:tcPr>
            <w:tcW w:w="893" w:type="dxa"/>
            <w:shd w:val="clear" w:color="auto" w:fill="C6EFCE"/>
            <w:noWrap/>
          </w:tcPr>
          <w:p w14:paraId="1BEDAEE0" w14:textId="77777777" w:rsidR="00553430" w:rsidRDefault="00212577">
            <w:pPr>
              <w:pStyle w:val="P68B1DB1-Normal66"/>
              <w:spacing w:after="200" w:line="276" w:lineRule="auto"/>
              <w:jc w:val="center"/>
              <w:rPr>
                <w:noProof/>
              </w:rPr>
            </w:pPr>
            <w:r>
              <w:rPr>
                <w:noProof/>
              </w:rPr>
              <w:t>T2</w:t>
            </w:r>
          </w:p>
        </w:tc>
        <w:tc>
          <w:tcPr>
            <w:tcW w:w="859" w:type="dxa"/>
            <w:shd w:val="clear" w:color="auto" w:fill="C6EFCE"/>
            <w:noWrap/>
          </w:tcPr>
          <w:p w14:paraId="085A80A0" w14:textId="77777777" w:rsidR="00553430" w:rsidRDefault="00212577">
            <w:pPr>
              <w:pStyle w:val="P68B1DB1-Normal66"/>
              <w:spacing w:after="200" w:line="276" w:lineRule="auto"/>
              <w:jc w:val="center"/>
              <w:rPr>
                <w:noProof/>
              </w:rPr>
            </w:pPr>
            <w:r>
              <w:rPr>
                <w:noProof/>
              </w:rPr>
              <w:t>2022</w:t>
            </w:r>
          </w:p>
        </w:tc>
        <w:tc>
          <w:tcPr>
            <w:tcW w:w="4013" w:type="dxa"/>
            <w:shd w:val="clear" w:color="auto" w:fill="C6EFCE"/>
            <w:noWrap/>
          </w:tcPr>
          <w:p w14:paraId="130524EA" w14:textId="77777777" w:rsidR="00553430" w:rsidRDefault="00212577">
            <w:pPr>
              <w:pStyle w:val="P68B1DB1-Normal66"/>
              <w:spacing w:after="200" w:line="276" w:lineRule="auto"/>
              <w:rPr>
                <w:noProof/>
              </w:rPr>
            </w:pPr>
            <w:r>
              <w:rPr>
                <w:noProof/>
              </w:rPr>
              <w:t>Amendements à la loi sur la procédure pénale permettant l’utilisation des TIC dans les procédures pénales, y compris l’introduction d’auditions à distance, l’extension de la possibilité de donner des té</w:t>
            </w:r>
            <w:r>
              <w:rPr>
                <w:noProof/>
              </w:rPr>
              <w:t>moignages en ligne aux victimes d’infractions, la possibilité de communiquer avec les avocats au moyen d’un lien vidéo sécurisé et la préparation d’auditions pour les personnes poursuivies en détention provisoire, et l’introduction de communications électr</w:t>
            </w:r>
            <w:r>
              <w:rPr>
                <w:noProof/>
              </w:rPr>
              <w:t>oniques.</w:t>
            </w:r>
          </w:p>
        </w:tc>
      </w:tr>
      <w:tr w:rsidR="00553430" w14:paraId="4F1FD961" w14:textId="77777777" w:rsidTr="009F2E71">
        <w:trPr>
          <w:trHeight w:val="283"/>
        </w:trPr>
        <w:tc>
          <w:tcPr>
            <w:tcW w:w="810" w:type="dxa"/>
            <w:shd w:val="clear" w:color="auto" w:fill="C6EFCE"/>
            <w:noWrap/>
          </w:tcPr>
          <w:p w14:paraId="278E1179" w14:textId="77777777" w:rsidR="00553430" w:rsidRDefault="00212577">
            <w:pPr>
              <w:pStyle w:val="P68B1DB1-Normal66"/>
              <w:spacing w:after="200" w:line="276" w:lineRule="auto"/>
              <w:jc w:val="center"/>
              <w:rPr>
                <w:noProof/>
              </w:rPr>
            </w:pPr>
            <w:r>
              <w:rPr>
                <w:noProof/>
              </w:rPr>
              <w:t>217</w:t>
            </w:r>
          </w:p>
        </w:tc>
        <w:tc>
          <w:tcPr>
            <w:tcW w:w="1284" w:type="dxa"/>
            <w:shd w:val="clear" w:color="auto" w:fill="C6EFCE"/>
            <w:noWrap/>
          </w:tcPr>
          <w:p w14:paraId="10411817" w14:textId="77777777" w:rsidR="00553430" w:rsidRDefault="00212577">
            <w:pPr>
              <w:pStyle w:val="P68B1DB1-Normal66"/>
              <w:spacing w:after="200" w:line="276" w:lineRule="auto"/>
              <w:jc w:val="center"/>
              <w:rPr>
                <w:noProof/>
              </w:rPr>
            </w:pPr>
            <w:r>
              <w:rPr>
                <w:noProof/>
              </w:rPr>
              <w:t>C2.5. R1</w:t>
            </w:r>
          </w:p>
        </w:tc>
        <w:tc>
          <w:tcPr>
            <w:tcW w:w="1134" w:type="dxa"/>
            <w:shd w:val="clear" w:color="auto" w:fill="C6EFCE"/>
            <w:noWrap/>
          </w:tcPr>
          <w:p w14:paraId="2C45E89F" w14:textId="77777777" w:rsidR="00553430" w:rsidRDefault="00212577">
            <w:pPr>
              <w:pStyle w:val="P68B1DB1-Normal66"/>
              <w:spacing w:after="200" w:line="276" w:lineRule="auto"/>
              <w:jc w:val="center"/>
              <w:rPr>
                <w:noProof/>
              </w:rPr>
            </w:pPr>
            <w:r>
              <w:rPr>
                <w:noProof/>
              </w:rPr>
              <w:t>T</w:t>
            </w:r>
          </w:p>
        </w:tc>
        <w:tc>
          <w:tcPr>
            <w:tcW w:w="1842" w:type="dxa"/>
            <w:shd w:val="clear" w:color="auto" w:fill="C6EFCE"/>
            <w:noWrap/>
          </w:tcPr>
          <w:p w14:paraId="10F9F36E" w14:textId="77777777" w:rsidR="00553430" w:rsidRDefault="00212577">
            <w:pPr>
              <w:pStyle w:val="P68B1DB1-Normal66"/>
              <w:spacing w:after="200" w:line="276" w:lineRule="auto"/>
              <w:rPr>
                <w:noProof/>
              </w:rPr>
            </w:pPr>
            <w:r>
              <w:rPr>
                <w:noProof/>
              </w:rPr>
              <w:t xml:space="preserve">Nouveaux programmes de formation introduits dans le cadre du programme de formation judiciaire </w:t>
            </w:r>
          </w:p>
        </w:tc>
        <w:tc>
          <w:tcPr>
            <w:tcW w:w="2268" w:type="dxa"/>
            <w:shd w:val="clear" w:color="auto" w:fill="C6EFCE"/>
            <w:noWrap/>
          </w:tcPr>
          <w:p w14:paraId="5FFC8A5E" w14:textId="77777777" w:rsidR="00553430" w:rsidRDefault="00212577">
            <w:pPr>
              <w:pStyle w:val="P68B1DB1-Normal66"/>
              <w:spacing w:after="200" w:line="276" w:lineRule="auto"/>
              <w:rPr>
                <w:noProof/>
              </w:rPr>
            </w:pPr>
            <w:r>
              <w:rPr>
                <w:noProof/>
              </w:rPr>
              <w:t xml:space="preserve"> </w:t>
            </w:r>
          </w:p>
        </w:tc>
        <w:tc>
          <w:tcPr>
            <w:tcW w:w="1167" w:type="dxa"/>
            <w:shd w:val="clear" w:color="auto" w:fill="C6EFCE"/>
            <w:noWrap/>
          </w:tcPr>
          <w:p w14:paraId="765515F5" w14:textId="77777777" w:rsidR="00553430" w:rsidRDefault="00212577">
            <w:pPr>
              <w:pStyle w:val="P68B1DB1-Normal66"/>
              <w:spacing w:after="200" w:line="276" w:lineRule="auto"/>
              <w:jc w:val="center"/>
              <w:rPr>
                <w:noProof/>
              </w:rPr>
            </w:pPr>
            <w:r>
              <w:rPr>
                <w:noProof/>
              </w:rPr>
              <w:t>Numéro</w:t>
            </w:r>
          </w:p>
        </w:tc>
        <w:tc>
          <w:tcPr>
            <w:tcW w:w="1134" w:type="dxa"/>
            <w:shd w:val="clear" w:color="auto" w:fill="C6EFCE"/>
            <w:noWrap/>
          </w:tcPr>
          <w:p w14:paraId="393841BA" w14:textId="77777777" w:rsidR="00553430" w:rsidRDefault="00212577">
            <w:pPr>
              <w:pStyle w:val="P68B1DB1-Normal66"/>
              <w:spacing w:after="200" w:line="276" w:lineRule="auto"/>
              <w:jc w:val="center"/>
              <w:rPr>
                <w:noProof/>
              </w:rPr>
            </w:pPr>
            <w:r>
              <w:rPr>
                <w:noProof/>
              </w:rPr>
              <w:t>0</w:t>
            </w:r>
          </w:p>
        </w:tc>
        <w:tc>
          <w:tcPr>
            <w:tcW w:w="756" w:type="dxa"/>
            <w:shd w:val="clear" w:color="auto" w:fill="C6EFCE"/>
            <w:noWrap/>
          </w:tcPr>
          <w:p w14:paraId="3E3E61CD" w14:textId="77777777" w:rsidR="00553430" w:rsidRDefault="00212577">
            <w:pPr>
              <w:pStyle w:val="P68B1DB1-Normal66"/>
              <w:spacing w:after="200" w:line="276" w:lineRule="auto"/>
              <w:jc w:val="center"/>
              <w:rPr>
                <w:noProof/>
              </w:rPr>
            </w:pPr>
            <w:r>
              <w:rPr>
                <w:noProof/>
              </w:rPr>
              <w:t>6</w:t>
            </w:r>
          </w:p>
        </w:tc>
        <w:tc>
          <w:tcPr>
            <w:tcW w:w="893" w:type="dxa"/>
            <w:shd w:val="clear" w:color="auto" w:fill="C6EFCE"/>
            <w:noWrap/>
          </w:tcPr>
          <w:p w14:paraId="7A3AB828" w14:textId="77777777" w:rsidR="00553430" w:rsidRDefault="00212577">
            <w:pPr>
              <w:pStyle w:val="P68B1DB1-Normal66"/>
              <w:spacing w:after="200" w:line="276" w:lineRule="auto"/>
              <w:jc w:val="center"/>
              <w:rPr>
                <w:noProof/>
              </w:rPr>
            </w:pPr>
            <w:r>
              <w:rPr>
                <w:noProof/>
              </w:rPr>
              <w:t>T1</w:t>
            </w:r>
          </w:p>
        </w:tc>
        <w:tc>
          <w:tcPr>
            <w:tcW w:w="859" w:type="dxa"/>
            <w:shd w:val="clear" w:color="auto" w:fill="C6EFCE"/>
            <w:noWrap/>
          </w:tcPr>
          <w:p w14:paraId="39B7C9B2" w14:textId="77777777" w:rsidR="00553430" w:rsidRDefault="00212577">
            <w:pPr>
              <w:pStyle w:val="P68B1DB1-Normal66"/>
              <w:spacing w:after="200" w:line="276" w:lineRule="auto"/>
              <w:jc w:val="center"/>
              <w:rPr>
                <w:noProof/>
              </w:rPr>
            </w:pPr>
            <w:r>
              <w:rPr>
                <w:noProof/>
              </w:rPr>
              <w:t>2023</w:t>
            </w:r>
          </w:p>
        </w:tc>
        <w:tc>
          <w:tcPr>
            <w:tcW w:w="4013" w:type="dxa"/>
            <w:shd w:val="clear" w:color="auto" w:fill="C6EFCE"/>
            <w:noWrap/>
          </w:tcPr>
          <w:p w14:paraId="5AC1928C" w14:textId="77777777" w:rsidR="00553430" w:rsidRDefault="00212577">
            <w:pPr>
              <w:pStyle w:val="P68B1DB1-Normal66"/>
              <w:spacing w:after="200" w:line="276" w:lineRule="auto"/>
              <w:rPr>
                <w:noProof/>
              </w:rPr>
            </w:pPr>
            <w:r>
              <w:rPr>
                <w:noProof/>
              </w:rPr>
              <w:t>Six nouveaux programmes de formation sont achevés dans le cadre du programme de formation judiciaire à l'intention</w:t>
            </w:r>
            <w:r>
              <w:rPr>
                <w:noProof/>
              </w:rPr>
              <w:t xml:space="preserve"> des fonctionnaires judiciaires et des agents des autorités judiciaires de l'Académie judiciaire:</w:t>
            </w:r>
            <w:r>
              <w:rPr>
                <w:noProof/>
              </w:rPr>
              <w:br/>
              <w:t>-Développer différentes compétences (compétences en matière de gestion et de gestion pour les présidents de tribunaux, gestion des tribunaux pour les chefs de</w:t>
            </w:r>
            <w:r>
              <w:rPr>
                <w:noProof/>
              </w:rPr>
              <w:t xml:space="preserve"> l’administration des tribunaux et compétences en communication pour le personnel des tribunaux – trois programmes).</w:t>
            </w:r>
            <w:r>
              <w:rPr>
                <w:noProof/>
              </w:rPr>
              <w:br/>
              <w:t>-Promouvoir l’état de droit et les droits fondamentaux grâce à une éducation de qualité dans le système judiciaire croate.</w:t>
            </w:r>
            <w:r>
              <w:rPr>
                <w:noProof/>
              </w:rPr>
              <w:br/>
              <w:t>-Programmes de f</w:t>
            </w:r>
            <w:r>
              <w:rPr>
                <w:noProof/>
              </w:rPr>
              <w:t>ormation spécialisés pour les juges de l’insolvabilité et cours de formation pour les juges du droit de la famille.</w:t>
            </w:r>
          </w:p>
        </w:tc>
      </w:tr>
      <w:tr w:rsidR="00553430" w14:paraId="350B37D8" w14:textId="77777777" w:rsidTr="009F2E71">
        <w:trPr>
          <w:trHeight w:val="283"/>
        </w:trPr>
        <w:tc>
          <w:tcPr>
            <w:tcW w:w="810" w:type="dxa"/>
            <w:shd w:val="clear" w:color="auto" w:fill="C6EFCE"/>
            <w:noWrap/>
          </w:tcPr>
          <w:p w14:paraId="13E333E2" w14:textId="77777777" w:rsidR="00553430" w:rsidRDefault="00212577">
            <w:pPr>
              <w:pStyle w:val="P68B1DB1-Normal66"/>
              <w:spacing w:after="200" w:line="276" w:lineRule="auto"/>
              <w:jc w:val="center"/>
              <w:rPr>
                <w:noProof/>
              </w:rPr>
            </w:pPr>
            <w:r>
              <w:rPr>
                <w:noProof/>
              </w:rPr>
              <w:t>218</w:t>
            </w:r>
          </w:p>
        </w:tc>
        <w:tc>
          <w:tcPr>
            <w:tcW w:w="1284" w:type="dxa"/>
            <w:shd w:val="clear" w:color="auto" w:fill="C6EFCE"/>
            <w:noWrap/>
          </w:tcPr>
          <w:p w14:paraId="0E4A302F" w14:textId="77777777" w:rsidR="00553430" w:rsidRDefault="00212577">
            <w:pPr>
              <w:pStyle w:val="P68B1DB1-Normal66"/>
              <w:spacing w:after="200" w:line="276" w:lineRule="auto"/>
              <w:jc w:val="center"/>
              <w:rPr>
                <w:noProof/>
              </w:rPr>
            </w:pPr>
            <w:r>
              <w:rPr>
                <w:noProof/>
              </w:rPr>
              <w:t>C2.5. R1</w:t>
            </w:r>
          </w:p>
        </w:tc>
        <w:tc>
          <w:tcPr>
            <w:tcW w:w="1134" w:type="dxa"/>
            <w:shd w:val="clear" w:color="auto" w:fill="C6EFCE"/>
            <w:noWrap/>
          </w:tcPr>
          <w:p w14:paraId="4F272EB3" w14:textId="77777777" w:rsidR="00553430" w:rsidRDefault="00212577">
            <w:pPr>
              <w:pStyle w:val="P68B1DB1-Normal66"/>
              <w:spacing w:after="200" w:line="276" w:lineRule="auto"/>
              <w:jc w:val="center"/>
              <w:rPr>
                <w:noProof/>
              </w:rPr>
            </w:pPr>
            <w:r>
              <w:rPr>
                <w:noProof/>
              </w:rPr>
              <w:t>M</w:t>
            </w:r>
          </w:p>
        </w:tc>
        <w:tc>
          <w:tcPr>
            <w:tcW w:w="1842" w:type="dxa"/>
            <w:shd w:val="clear" w:color="auto" w:fill="C6EFCE"/>
            <w:noWrap/>
          </w:tcPr>
          <w:p w14:paraId="2D3768A3" w14:textId="77777777" w:rsidR="00553430" w:rsidRDefault="00212577">
            <w:pPr>
              <w:pStyle w:val="P68B1DB1-Normal66"/>
              <w:spacing w:after="200" w:line="276" w:lineRule="auto"/>
              <w:rPr>
                <w:noProof/>
              </w:rPr>
            </w:pPr>
            <w:r>
              <w:rPr>
                <w:noProof/>
              </w:rPr>
              <w:t>Adoption de modifications du cadre législatif dans le domaine de la justice avec la nouvelle loi sur la procédure</w:t>
            </w:r>
            <w:r>
              <w:rPr>
                <w:noProof/>
              </w:rPr>
              <w:t xml:space="preserve"> non contentieuse.</w:t>
            </w:r>
          </w:p>
        </w:tc>
        <w:tc>
          <w:tcPr>
            <w:tcW w:w="2268" w:type="dxa"/>
            <w:shd w:val="clear" w:color="auto" w:fill="C6EFCE"/>
            <w:noWrap/>
          </w:tcPr>
          <w:p w14:paraId="41B6065D" w14:textId="77777777" w:rsidR="00553430" w:rsidRDefault="00212577">
            <w:pPr>
              <w:pStyle w:val="P68B1DB1-Normal66"/>
              <w:spacing w:after="200" w:line="276" w:lineRule="auto"/>
              <w:rPr>
                <w:noProof/>
              </w:rPr>
            </w:pPr>
            <w:r>
              <w:rPr>
                <w:noProof/>
              </w:rPr>
              <w:t>Entrée en vigueur des modifications apportées au Code de procédure civile, à la loi sur les litiges administratifs, à la loi sur le registre foncier, à la loi sur les tribunaux, à la loi sur la zone et le siège des tribunaux, à la loi su</w:t>
            </w:r>
            <w:r>
              <w:rPr>
                <w:noProof/>
              </w:rPr>
              <w:t>r le notariat et à la nouvelle loi sur la procédure non contentieuse.</w:t>
            </w:r>
          </w:p>
        </w:tc>
        <w:tc>
          <w:tcPr>
            <w:tcW w:w="1167" w:type="dxa"/>
            <w:shd w:val="clear" w:color="auto" w:fill="C6EFCE"/>
            <w:noWrap/>
          </w:tcPr>
          <w:p w14:paraId="7F1EECC2" w14:textId="77777777" w:rsidR="00553430" w:rsidRDefault="00212577">
            <w:pPr>
              <w:pStyle w:val="P68B1DB1-Normal66"/>
              <w:spacing w:after="200" w:line="276" w:lineRule="auto"/>
              <w:jc w:val="center"/>
              <w:rPr>
                <w:noProof/>
              </w:rPr>
            </w:pPr>
            <w:r>
              <w:rPr>
                <w:noProof/>
              </w:rPr>
              <w:t> </w:t>
            </w:r>
          </w:p>
        </w:tc>
        <w:tc>
          <w:tcPr>
            <w:tcW w:w="1134" w:type="dxa"/>
            <w:shd w:val="clear" w:color="auto" w:fill="C6EFCE"/>
            <w:noWrap/>
          </w:tcPr>
          <w:p w14:paraId="606DB98C" w14:textId="77777777" w:rsidR="00553430" w:rsidRDefault="00212577">
            <w:pPr>
              <w:pStyle w:val="P68B1DB1-Normal66"/>
              <w:spacing w:after="200" w:line="276" w:lineRule="auto"/>
              <w:jc w:val="center"/>
              <w:rPr>
                <w:noProof/>
              </w:rPr>
            </w:pPr>
            <w:r>
              <w:rPr>
                <w:noProof/>
              </w:rPr>
              <w:t> </w:t>
            </w:r>
          </w:p>
        </w:tc>
        <w:tc>
          <w:tcPr>
            <w:tcW w:w="756" w:type="dxa"/>
            <w:shd w:val="clear" w:color="auto" w:fill="C6EFCE"/>
            <w:noWrap/>
          </w:tcPr>
          <w:p w14:paraId="6C741F6D" w14:textId="77777777" w:rsidR="00553430" w:rsidRDefault="00212577">
            <w:pPr>
              <w:pStyle w:val="P68B1DB1-Normal66"/>
              <w:spacing w:after="200" w:line="276" w:lineRule="auto"/>
              <w:jc w:val="center"/>
              <w:rPr>
                <w:noProof/>
              </w:rPr>
            </w:pPr>
            <w:r>
              <w:rPr>
                <w:noProof/>
              </w:rPr>
              <w:t> </w:t>
            </w:r>
          </w:p>
        </w:tc>
        <w:tc>
          <w:tcPr>
            <w:tcW w:w="893" w:type="dxa"/>
            <w:shd w:val="clear" w:color="auto" w:fill="C6EFCE"/>
            <w:noWrap/>
          </w:tcPr>
          <w:p w14:paraId="3DE68432" w14:textId="77777777" w:rsidR="00553430" w:rsidRDefault="00212577">
            <w:pPr>
              <w:pStyle w:val="P68B1DB1-Normal66"/>
              <w:spacing w:after="200" w:line="276" w:lineRule="auto"/>
              <w:jc w:val="center"/>
              <w:rPr>
                <w:noProof/>
              </w:rPr>
            </w:pPr>
            <w:r>
              <w:rPr>
                <w:noProof/>
              </w:rPr>
              <w:t>T2</w:t>
            </w:r>
          </w:p>
        </w:tc>
        <w:tc>
          <w:tcPr>
            <w:tcW w:w="859" w:type="dxa"/>
            <w:shd w:val="clear" w:color="auto" w:fill="C6EFCE"/>
            <w:noWrap/>
          </w:tcPr>
          <w:p w14:paraId="4F6A45B5" w14:textId="77777777" w:rsidR="00553430" w:rsidRDefault="00212577">
            <w:pPr>
              <w:pStyle w:val="P68B1DB1-Normal66"/>
              <w:spacing w:after="200" w:line="276" w:lineRule="auto"/>
              <w:jc w:val="center"/>
              <w:rPr>
                <w:noProof/>
              </w:rPr>
            </w:pPr>
            <w:r>
              <w:rPr>
                <w:noProof/>
              </w:rPr>
              <w:t>2023</w:t>
            </w:r>
          </w:p>
        </w:tc>
        <w:tc>
          <w:tcPr>
            <w:tcW w:w="4013" w:type="dxa"/>
            <w:shd w:val="clear" w:color="auto" w:fill="C6EFCE"/>
            <w:noWrap/>
          </w:tcPr>
          <w:p w14:paraId="3B011EE6" w14:textId="77777777" w:rsidR="00553430" w:rsidRDefault="00212577">
            <w:pPr>
              <w:pStyle w:val="P68B1DB1-Normal66"/>
              <w:spacing w:after="200" w:line="276" w:lineRule="auto"/>
              <w:rPr>
                <w:noProof/>
              </w:rPr>
            </w:pPr>
            <w:r>
              <w:rPr>
                <w:noProof/>
              </w:rPr>
              <w:t>I) Des amendements au Code de procédure civile et à la loi sur les litiges administratifs, qui contribuent à raccourcir les procédures judiciaires, à accélérer le règlement</w:t>
            </w:r>
            <w:r>
              <w:rPr>
                <w:noProof/>
              </w:rPr>
              <w:t xml:space="preserve"> des litiges administratifs, à réduire le flux des affaires et à réduire les coûts; </w:t>
            </w:r>
            <w:r>
              <w:rPr>
                <w:noProof/>
              </w:rPr>
              <w:br/>
              <w:t>II) la nouvelle loi sur la procédure non contentieuse, qui facilite l'accès des citoyens aux tribunaux, garantit des recours de qualité et transparents et supprime l'inséc</w:t>
            </w:r>
            <w:r>
              <w:rPr>
                <w:noProof/>
              </w:rPr>
              <w:t>urité juridique;</w:t>
            </w:r>
            <w:r>
              <w:rPr>
                <w:noProof/>
              </w:rPr>
              <w:br/>
              <w:t>III) Modifications de la loi sur les notaires afin de moderniser l'activité des notaires grâce à des solutions TIC;</w:t>
            </w:r>
            <w:r>
              <w:rPr>
                <w:noProof/>
              </w:rPr>
              <w:br/>
              <w:t>IV) La loi modifiant la loi sur le registre foncier pour le traitement électronique des affaires et permettant une redistri</w:t>
            </w:r>
            <w:r>
              <w:rPr>
                <w:noProof/>
              </w:rPr>
              <w:t>bution plus efficace des affaires au sein des tribunaux;</w:t>
            </w:r>
            <w:r>
              <w:rPr>
                <w:noProof/>
              </w:rPr>
              <w:br/>
              <w:t>V) la loi modifiant la loi sur les tribunaux et la loi sur les domaines et les sièges des tribunaux, qui permettra la spécialisation des juges et la création d'unités familiales spécialisées dans les</w:t>
            </w:r>
            <w:r>
              <w:rPr>
                <w:noProof/>
              </w:rPr>
              <w:t xml:space="preserve"> tribunaux municipaux, en vue d'assurer un niveau plus efficace de protection judiciaire pour les groupes sociaux les plus vulnérables, les enfants, et qui révisera les conditions d'expertise et d'interprétation, dont le système de formation professionnell</w:t>
            </w:r>
            <w:r>
              <w:rPr>
                <w:noProof/>
              </w:rPr>
              <w:t>e obligatoire constituera une caractéristique importante. La compétence pour statuer sur les questions de statut est transférée des tribunaux au ministère de la justice et de l’administration publique et le système de contrôle et de responsabilité est renf</w:t>
            </w:r>
            <w:r>
              <w:rPr>
                <w:noProof/>
              </w:rPr>
              <w:t>orcé.</w:t>
            </w:r>
          </w:p>
        </w:tc>
      </w:tr>
      <w:tr w:rsidR="00553430" w14:paraId="0BD847A8" w14:textId="77777777" w:rsidTr="009F2E71">
        <w:trPr>
          <w:trHeight w:val="283"/>
        </w:trPr>
        <w:tc>
          <w:tcPr>
            <w:tcW w:w="810" w:type="dxa"/>
            <w:shd w:val="clear" w:color="auto" w:fill="C6EFCE"/>
            <w:noWrap/>
          </w:tcPr>
          <w:p w14:paraId="0A6A2E97" w14:textId="77777777" w:rsidR="00553430" w:rsidRDefault="00212577">
            <w:pPr>
              <w:pStyle w:val="P68B1DB1-Normal66"/>
              <w:spacing w:after="200" w:line="276" w:lineRule="auto"/>
              <w:jc w:val="center"/>
              <w:rPr>
                <w:noProof/>
              </w:rPr>
            </w:pPr>
            <w:r>
              <w:rPr>
                <w:noProof/>
              </w:rPr>
              <w:t>219</w:t>
            </w:r>
          </w:p>
        </w:tc>
        <w:tc>
          <w:tcPr>
            <w:tcW w:w="1284" w:type="dxa"/>
            <w:shd w:val="clear" w:color="auto" w:fill="C6EFCE"/>
            <w:noWrap/>
          </w:tcPr>
          <w:p w14:paraId="268A1785" w14:textId="77777777" w:rsidR="00553430" w:rsidRDefault="00212577">
            <w:pPr>
              <w:pStyle w:val="P68B1DB1-Normal66"/>
              <w:spacing w:after="200" w:line="276" w:lineRule="auto"/>
              <w:jc w:val="center"/>
              <w:rPr>
                <w:noProof/>
              </w:rPr>
            </w:pPr>
            <w:r>
              <w:rPr>
                <w:noProof/>
              </w:rPr>
              <w:t>C2.5. R1</w:t>
            </w:r>
          </w:p>
        </w:tc>
        <w:tc>
          <w:tcPr>
            <w:tcW w:w="1134" w:type="dxa"/>
            <w:shd w:val="clear" w:color="auto" w:fill="C6EFCE"/>
            <w:noWrap/>
          </w:tcPr>
          <w:p w14:paraId="1AB519CB" w14:textId="77777777" w:rsidR="00553430" w:rsidRDefault="00212577">
            <w:pPr>
              <w:pStyle w:val="P68B1DB1-Normal66"/>
              <w:spacing w:after="200" w:line="276" w:lineRule="auto"/>
              <w:jc w:val="center"/>
              <w:rPr>
                <w:noProof/>
              </w:rPr>
            </w:pPr>
            <w:r>
              <w:rPr>
                <w:noProof/>
              </w:rPr>
              <w:t>T</w:t>
            </w:r>
          </w:p>
        </w:tc>
        <w:tc>
          <w:tcPr>
            <w:tcW w:w="1842" w:type="dxa"/>
            <w:shd w:val="clear" w:color="auto" w:fill="C6EFCE"/>
            <w:noWrap/>
          </w:tcPr>
          <w:p w14:paraId="30AB375F" w14:textId="77777777" w:rsidR="00553430" w:rsidRDefault="00212577">
            <w:pPr>
              <w:pStyle w:val="P68B1DB1-Normal66"/>
              <w:spacing w:after="200" w:line="276" w:lineRule="auto"/>
              <w:rPr>
                <w:noProof/>
              </w:rPr>
            </w:pPr>
            <w:r>
              <w:rPr>
                <w:noProof/>
              </w:rPr>
              <w:t xml:space="preserve">Création de quatre centres de médiation dans les tribunaux de commerce de Zagreb, Split, Osijek et Rijeka et adoption de modifications à la loi sur la médiation </w:t>
            </w:r>
          </w:p>
        </w:tc>
        <w:tc>
          <w:tcPr>
            <w:tcW w:w="2268" w:type="dxa"/>
            <w:shd w:val="clear" w:color="auto" w:fill="C6EFCE"/>
            <w:noWrap/>
          </w:tcPr>
          <w:p w14:paraId="3377FAF3" w14:textId="77777777" w:rsidR="00553430" w:rsidRDefault="00212577">
            <w:pPr>
              <w:pStyle w:val="P68B1DB1-Normal66"/>
              <w:spacing w:after="200" w:line="276" w:lineRule="auto"/>
              <w:rPr>
                <w:noProof/>
              </w:rPr>
            </w:pPr>
            <w:r>
              <w:rPr>
                <w:noProof/>
              </w:rPr>
              <w:t xml:space="preserve"> </w:t>
            </w:r>
          </w:p>
        </w:tc>
        <w:tc>
          <w:tcPr>
            <w:tcW w:w="1167" w:type="dxa"/>
            <w:shd w:val="clear" w:color="auto" w:fill="C6EFCE"/>
            <w:noWrap/>
          </w:tcPr>
          <w:p w14:paraId="1CE3020A" w14:textId="77777777" w:rsidR="00553430" w:rsidRDefault="00212577">
            <w:pPr>
              <w:pStyle w:val="P68B1DB1-Normal66"/>
              <w:spacing w:after="200" w:line="276" w:lineRule="auto"/>
              <w:jc w:val="center"/>
              <w:rPr>
                <w:noProof/>
              </w:rPr>
            </w:pPr>
            <w:r>
              <w:rPr>
                <w:noProof/>
              </w:rPr>
              <w:t>Numéro</w:t>
            </w:r>
          </w:p>
        </w:tc>
        <w:tc>
          <w:tcPr>
            <w:tcW w:w="1134" w:type="dxa"/>
            <w:shd w:val="clear" w:color="auto" w:fill="C6EFCE"/>
            <w:noWrap/>
          </w:tcPr>
          <w:p w14:paraId="4BD1F13B" w14:textId="77777777" w:rsidR="00553430" w:rsidRDefault="00212577">
            <w:pPr>
              <w:pStyle w:val="P68B1DB1-Normal66"/>
              <w:spacing w:after="200" w:line="276" w:lineRule="auto"/>
              <w:jc w:val="center"/>
              <w:rPr>
                <w:noProof/>
              </w:rPr>
            </w:pPr>
            <w:r>
              <w:rPr>
                <w:noProof/>
              </w:rPr>
              <w:t>0</w:t>
            </w:r>
          </w:p>
        </w:tc>
        <w:tc>
          <w:tcPr>
            <w:tcW w:w="756" w:type="dxa"/>
            <w:shd w:val="clear" w:color="auto" w:fill="C6EFCE"/>
            <w:noWrap/>
          </w:tcPr>
          <w:p w14:paraId="502035BB" w14:textId="77777777" w:rsidR="00553430" w:rsidRDefault="00212577">
            <w:pPr>
              <w:pStyle w:val="P68B1DB1-Normal66"/>
              <w:spacing w:after="200" w:line="276" w:lineRule="auto"/>
              <w:jc w:val="center"/>
              <w:rPr>
                <w:noProof/>
              </w:rPr>
            </w:pPr>
            <w:r>
              <w:rPr>
                <w:noProof/>
              </w:rPr>
              <w:t>4</w:t>
            </w:r>
          </w:p>
        </w:tc>
        <w:tc>
          <w:tcPr>
            <w:tcW w:w="893" w:type="dxa"/>
            <w:shd w:val="clear" w:color="auto" w:fill="C6EFCE"/>
            <w:noWrap/>
          </w:tcPr>
          <w:p w14:paraId="7EBA23D7" w14:textId="77777777" w:rsidR="00553430" w:rsidRDefault="00212577">
            <w:pPr>
              <w:pStyle w:val="P68B1DB1-Normal66"/>
              <w:spacing w:after="200" w:line="276" w:lineRule="auto"/>
              <w:jc w:val="center"/>
              <w:rPr>
                <w:noProof/>
              </w:rPr>
            </w:pPr>
            <w:r>
              <w:rPr>
                <w:noProof/>
              </w:rPr>
              <w:t>T2</w:t>
            </w:r>
          </w:p>
        </w:tc>
        <w:tc>
          <w:tcPr>
            <w:tcW w:w="859" w:type="dxa"/>
            <w:shd w:val="clear" w:color="auto" w:fill="C6EFCE"/>
            <w:noWrap/>
          </w:tcPr>
          <w:p w14:paraId="45FDF84D" w14:textId="77777777" w:rsidR="00553430" w:rsidRDefault="00212577">
            <w:pPr>
              <w:pStyle w:val="P68B1DB1-Normal66"/>
              <w:spacing w:after="200" w:line="276" w:lineRule="auto"/>
              <w:jc w:val="center"/>
              <w:rPr>
                <w:noProof/>
              </w:rPr>
            </w:pPr>
            <w:r>
              <w:rPr>
                <w:noProof/>
              </w:rPr>
              <w:t>2023</w:t>
            </w:r>
          </w:p>
        </w:tc>
        <w:tc>
          <w:tcPr>
            <w:tcW w:w="4013" w:type="dxa"/>
            <w:shd w:val="clear" w:color="auto" w:fill="C6EFCE"/>
            <w:noWrap/>
          </w:tcPr>
          <w:p w14:paraId="3B2B6BED" w14:textId="77777777" w:rsidR="00553430" w:rsidRDefault="00212577">
            <w:pPr>
              <w:pStyle w:val="P68B1DB1-Normal66"/>
              <w:spacing w:after="200" w:line="276" w:lineRule="auto"/>
              <w:rPr>
                <w:noProof/>
              </w:rPr>
            </w:pPr>
            <w:r>
              <w:rPr>
                <w:noProof/>
              </w:rPr>
              <w:t xml:space="preserve">Amendements à la loi sur la médiation visant à </w:t>
            </w:r>
            <w:r>
              <w:rPr>
                <w:noProof/>
              </w:rPr>
              <w:t xml:space="preserve">promouvoir davantage la médiation volontaire dans les affaires contentieuses et les litiges administratifs, en réduisant la durée et les coûts des affaires. Quatre centres de médiation seront mis en place et entreront en service à Zagreb, Split, Osijek et </w:t>
            </w:r>
            <w:r>
              <w:rPr>
                <w:noProof/>
              </w:rPr>
              <w:t>Rijeka, où les médiateurs seront formés et les procédures de médiation conduites. Le centre central de Zagreb et les centres régionaux de Split, Osijek et Rijeka seront situés au même endroit que les tribunaux de commerce, la Haute Cour de commerce de la R</w:t>
            </w:r>
            <w:r>
              <w:rPr>
                <w:noProof/>
              </w:rPr>
              <w:t>épublique de Croatie, et il sera possible de fournir le soutien professionnel nécessaire aux parties.</w:t>
            </w:r>
          </w:p>
        </w:tc>
      </w:tr>
      <w:tr w:rsidR="00553430" w14:paraId="3D720AAD" w14:textId="77777777" w:rsidTr="009F2E71">
        <w:trPr>
          <w:trHeight w:val="283"/>
        </w:trPr>
        <w:tc>
          <w:tcPr>
            <w:tcW w:w="810" w:type="dxa"/>
            <w:shd w:val="clear" w:color="auto" w:fill="C6EFCE"/>
            <w:noWrap/>
          </w:tcPr>
          <w:p w14:paraId="0341A25F" w14:textId="77777777" w:rsidR="00553430" w:rsidRDefault="00212577">
            <w:pPr>
              <w:pStyle w:val="P68B1DB1-Normal66"/>
              <w:spacing w:after="200" w:line="276" w:lineRule="auto"/>
              <w:jc w:val="center"/>
              <w:rPr>
                <w:noProof/>
              </w:rPr>
            </w:pPr>
            <w:r>
              <w:rPr>
                <w:noProof/>
              </w:rPr>
              <w:t>220</w:t>
            </w:r>
          </w:p>
        </w:tc>
        <w:tc>
          <w:tcPr>
            <w:tcW w:w="1284" w:type="dxa"/>
            <w:shd w:val="clear" w:color="auto" w:fill="C6EFCE"/>
            <w:noWrap/>
          </w:tcPr>
          <w:p w14:paraId="07FEBBAE" w14:textId="77777777" w:rsidR="00553430" w:rsidRDefault="00212577">
            <w:pPr>
              <w:pStyle w:val="P68B1DB1-Normal66"/>
              <w:spacing w:after="200" w:line="276" w:lineRule="auto"/>
              <w:jc w:val="center"/>
              <w:rPr>
                <w:noProof/>
              </w:rPr>
            </w:pPr>
            <w:r>
              <w:rPr>
                <w:noProof/>
              </w:rPr>
              <w:t>C2.5. R1</w:t>
            </w:r>
          </w:p>
        </w:tc>
        <w:tc>
          <w:tcPr>
            <w:tcW w:w="1134" w:type="dxa"/>
            <w:shd w:val="clear" w:color="auto" w:fill="C6EFCE"/>
            <w:noWrap/>
          </w:tcPr>
          <w:p w14:paraId="5272B949" w14:textId="77777777" w:rsidR="00553430" w:rsidRDefault="00212577">
            <w:pPr>
              <w:pStyle w:val="P68B1DB1-Normal66"/>
              <w:spacing w:after="200" w:line="276" w:lineRule="auto"/>
              <w:jc w:val="center"/>
              <w:rPr>
                <w:noProof/>
              </w:rPr>
            </w:pPr>
            <w:r>
              <w:rPr>
                <w:noProof/>
              </w:rPr>
              <w:t>M</w:t>
            </w:r>
          </w:p>
        </w:tc>
        <w:tc>
          <w:tcPr>
            <w:tcW w:w="1842" w:type="dxa"/>
            <w:shd w:val="clear" w:color="auto" w:fill="C6EFCE"/>
            <w:noWrap/>
          </w:tcPr>
          <w:p w14:paraId="163B0366" w14:textId="77777777" w:rsidR="00553430" w:rsidRDefault="00212577">
            <w:pPr>
              <w:pStyle w:val="P68B1DB1-Normal66"/>
              <w:spacing w:after="200" w:line="276" w:lineRule="auto"/>
              <w:rPr>
                <w:noProof/>
              </w:rPr>
            </w:pPr>
            <w:r>
              <w:rPr>
                <w:noProof/>
              </w:rPr>
              <w:t>Adoption de nouveaux critères-cadres pour le travail des juges et introduction d’un outil actif de gestion des affaires judiciaires</w:t>
            </w:r>
          </w:p>
        </w:tc>
        <w:tc>
          <w:tcPr>
            <w:tcW w:w="2268" w:type="dxa"/>
            <w:shd w:val="clear" w:color="auto" w:fill="C6EFCE"/>
            <w:noWrap/>
          </w:tcPr>
          <w:p w14:paraId="70FE1B18" w14:textId="77777777" w:rsidR="00553430" w:rsidRDefault="00212577">
            <w:pPr>
              <w:pStyle w:val="P68B1DB1-Normal66"/>
              <w:spacing w:after="200" w:line="276" w:lineRule="auto"/>
              <w:rPr>
                <w:noProof/>
              </w:rPr>
            </w:pPr>
            <w:r>
              <w:rPr>
                <w:noProof/>
              </w:rPr>
              <w:t>Adoption de critères de référence indicatifs pour le travail des juges, introduction d’un outil de gestion active des affaires</w:t>
            </w:r>
          </w:p>
        </w:tc>
        <w:tc>
          <w:tcPr>
            <w:tcW w:w="1167" w:type="dxa"/>
            <w:shd w:val="clear" w:color="auto" w:fill="C6EFCE"/>
            <w:noWrap/>
          </w:tcPr>
          <w:p w14:paraId="5F626D04" w14:textId="77777777" w:rsidR="00553430" w:rsidRDefault="00212577">
            <w:pPr>
              <w:pStyle w:val="P68B1DB1-Normal66"/>
              <w:spacing w:after="200" w:line="276" w:lineRule="auto"/>
              <w:jc w:val="center"/>
              <w:rPr>
                <w:noProof/>
              </w:rPr>
            </w:pPr>
            <w:r>
              <w:rPr>
                <w:noProof/>
              </w:rPr>
              <w:t> </w:t>
            </w:r>
          </w:p>
        </w:tc>
        <w:tc>
          <w:tcPr>
            <w:tcW w:w="1134" w:type="dxa"/>
            <w:shd w:val="clear" w:color="auto" w:fill="C6EFCE"/>
            <w:noWrap/>
          </w:tcPr>
          <w:p w14:paraId="3FFA177F" w14:textId="77777777" w:rsidR="00553430" w:rsidRDefault="00553430">
            <w:pPr>
              <w:spacing w:after="200" w:line="276" w:lineRule="auto"/>
              <w:rPr>
                <w:rFonts w:ascii="Times New Roman" w:eastAsia="Calibri" w:hAnsi="Times New Roman" w:cs="Times New Roman"/>
                <w:noProof/>
                <w:sz w:val="20"/>
                <w:szCs w:val="20"/>
              </w:rPr>
            </w:pPr>
          </w:p>
        </w:tc>
        <w:tc>
          <w:tcPr>
            <w:tcW w:w="756" w:type="dxa"/>
            <w:shd w:val="clear" w:color="auto" w:fill="C6EFCE"/>
            <w:noWrap/>
          </w:tcPr>
          <w:p w14:paraId="78643BC6" w14:textId="77777777" w:rsidR="00553430" w:rsidRDefault="00212577">
            <w:pPr>
              <w:pStyle w:val="P68B1DB1-Normal66"/>
              <w:spacing w:after="200" w:line="276" w:lineRule="auto"/>
              <w:jc w:val="center"/>
              <w:rPr>
                <w:noProof/>
              </w:rPr>
            </w:pPr>
            <w:r>
              <w:rPr>
                <w:noProof/>
              </w:rPr>
              <w:t> </w:t>
            </w:r>
          </w:p>
        </w:tc>
        <w:tc>
          <w:tcPr>
            <w:tcW w:w="893" w:type="dxa"/>
            <w:shd w:val="clear" w:color="auto" w:fill="C6EFCE"/>
            <w:noWrap/>
          </w:tcPr>
          <w:p w14:paraId="38561690" w14:textId="77777777" w:rsidR="00553430" w:rsidRDefault="00212577">
            <w:pPr>
              <w:pStyle w:val="P68B1DB1-Normal66"/>
              <w:spacing w:after="200" w:line="276" w:lineRule="auto"/>
              <w:jc w:val="center"/>
              <w:rPr>
                <w:noProof/>
              </w:rPr>
            </w:pPr>
            <w:r>
              <w:rPr>
                <w:noProof/>
              </w:rPr>
              <w:t>T3</w:t>
            </w:r>
          </w:p>
        </w:tc>
        <w:tc>
          <w:tcPr>
            <w:tcW w:w="859" w:type="dxa"/>
            <w:shd w:val="clear" w:color="auto" w:fill="C6EFCE"/>
            <w:noWrap/>
          </w:tcPr>
          <w:p w14:paraId="59AC6110" w14:textId="77777777" w:rsidR="00553430" w:rsidRDefault="00212577">
            <w:pPr>
              <w:pStyle w:val="P68B1DB1-Normal66"/>
              <w:spacing w:after="200" w:line="276" w:lineRule="auto"/>
              <w:jc w:val="center"/>
              <w:rPr>
                <w:noProof/>
              </w:rPr>
            </w:pPr>
            <w:r>
              <w:rPr>
                <w:noProof/>
              </w:rPr>
              <w:t>2023</w:t>
            </w:r>
          </w:p>
        </w:tc>
        <w:tc>
          <w:tcPr>
            <w:tcW w:w="4013" w:type="dxa"/>
            <w:shd w:val="clear" w:color="auto" w:fill="C6EFCE"/>
            <w:noWrap/>
          </w:tcPr>
          <w:p w14:paraId="451478FB" w14:textId="77777777" w:rsidR="00553430" w:rsidRDefault="00212577">
            <w:pPr>
              <w:pStyle w:val="P68B1DB1-Normal66"/>
              <w:spacing w:after="200" w:line="276" w:lineRule="auto"/>
              <w:rPr>
                <w:noProof/>
              </w:rPr>
            </w:pPr>
            <w:r>
              <w:rPr>
                <w:noProof/>
              </w:rPr>
              <w:t>Des critères indicatifs pour le travail des juges, qui prévoient un nombre accru d'affaires à résoudre en vue d'enco</w:t>
            </w:r>
            <w:r>
              <w:rPr>
                <w:noProof/>
              </w:rPr>
              <w:t xml:space="preserve">urager le traitement d'un plus grand nombre d'affaires, en particulier d'affaires anciennes. L’utilisation de l’outil pour la gestion active des affaires judiciaires dans certains tribunaux, y compris le tribunal civil municipal de Zagreb, se traduira par </w:t>
            </w:r>
            <w:r>
              <w:rPr>
                <w:noProof/>
              </w:rPr>
              <w:t>une plus grande efficacité (création de listes de contrôle, en particulier d’étiquetage, d’outils d’autoévaluation fondés sur le cadre international pour l’excellence judiciaire).</w:t>
            </w:r>
          </w:p>
        </w:tc>
      </w:tr>
      <w:tr w:rsidR="00553430" w14:paraId="101A3EB8" w14:textId="77777777" w:rsidTr="009F2E71">
        <w:trPr>
          <w:trHeight w:val="283"/>
        </w:trPr>
        <w:tc>
          <w:tcPr>
            <w:tcW w:w="810" w:type="dxa"/>
            <w:shd w:val="clear" w:color="auto" w:fill="C6EFCE"/>
            <w:noWrap/>
          </w:tcPr>
          <w:p w14:paraId="5B10725A" w14:textId="77777777" w:rsidR="00553430" w:rsidRDefault="00212577">
            <w:pPr>
              <w:pStyle w:val="P68B1DB1-Normal66"/>
              <w:spacing w:after="200" w:line="276" w:lineRule="auto"/>
              <w:jc w:val="center"/>
              <w:rPr>
                <w:noProof/>
              </w:rPr>
            </w:pPr>
            <w:r>
              <w:rPr>
                <w:noProof/>
              </w:rPr>
              <w:t>221</w:t>
            </w:r>
          </w:p>
        </w:tc>
        <w:tc>
          <w:tcPr>
            <w:tcW w:w="1284" w:type="dxa"/>
            <w:shd w:val="clear" w:color="auto" w:fill="C6EFCE"/>
            <w:noWrap/>
          </w:tcPr>
          <w:p w14:paraId="20FFC8EE" w14:textId="77777777" w:rsidR="00553430" w:rsidRDefault="00212577">
            <w:pPr>
              <w:pStyle w:val="P68B1DB1-Normal66"/>
              <w:spacing w:after="200" w:line="276" w:lineRule="auto"/>
              <w:jc w:val="center"/>
              <w:rPr>
                <w:noProof/>
              </w:rPr>
            </w:pPr>
            <w:r>
              <w:rPr>
                <w:noProof/>
              </w:rPr>
              <w:t>C2.5. R1</w:t>
            </w:r>
          </w:p>
        </w:tc>
        <w:tc>
          <w:tcPr>
            <w:tcW w:w="1134" w:type="dxa"/>
            <w:shd w:val="clear" w:color="auto" w:fill="C6EFCE"/>
            <w:noWrap/>
          </w:tcPr>
          <w:p w14:paraId="0FCC0AF6" w14:textId="77777777" w:rsidR="00553430" w:rsidRDefault="00212577">
            <w:pPr>
              <w:pStyle w:val="P68B1DB1-Normal66"/>
              <w:spacing w:after="200" w:line="276" w:lineRule="auto"/>
              <w:jc w:val="center"/>
              <w:rPr>
                <w:noProof/>
              </w:rPr>
            </w:pPr>
            <w:r>
              <w:rPr>
                <w:noProof/>
              </w:rPr>
              <w:t>T</w:t>
            </w:r>
          </w:p>
        </w:tc>
        <w:tc>
          <w:tcPr>
            <w:tcW w:w="1842" w:type="dxa"/>
            <w:shd w:val="clear" w:color="auto" w:fill="C6EFCE"/>
            <w:noWrap/>
          </w:tcPr>
          <w:p w14:paraId="21CD3132" w14:textId="77777777" w:rsidR="00553430" w:rsidRDefault="00212577">
            <w:pPr>
              <w:pStyle w:val="P68B1DB1-Normal66"/>
              <w:spacing w:after="200" w:line="276" w:lineRule="auto"/>
              <w:rPr>
                <w:noProof/>
              </w:rPr>
            </w:pPr>
            <w:r>
              <w:rPr>
                <w:noProof/>
              </w:rPr>
              <w:t xml:space="preserve">Réduction de la durée des litiges et des affaires </w:t>
            </w:r>
            <w:r>
              <w:rPr>
                <w:noProof/>
              </w:rPr>
              <w:t>commerciales</w:t>
            </w:r>
          </w:p>
        </w:tc>
        <w:tc>
          <w:tcPr>
            <w:tcW w:w="2268" w:type="dxa"/>
            <w:shd w:val="clear" w:color="auto" w:fill="C6EFCE"/>
            <w:noWrap/>
          </w:tcPr>
          <w:p w14:paraId="57E51CFC" w14:textId="77777777" w:rsidR="00553430" w:rsidRDefault="00212577">
            <w:pPr>
              <w:pStyle w:val="P68B1DB1-Normal66"/>
              <w:spacing w:after="200" w:line="276" w:lineRule="auto"/>
              <w:rPr>
                <w:noProof/>
              </w:rPr>
            </w:pPr>
            <w:r>
              <w:rPr>
                <w:noProof/>
              </w:rPr>
              <w:t xml:space="preserve"> </w:t>
            </w:r>
          </w:p>
        </w:tc>
        <w:tc>
          <w:tcPr>
            <w:tcW w:w="1167" w:type="dxa"/>
            <w:shd w:val="clear" w:color="auto" w:fill="C6EFCE"/>
            <w:noWrap/>
          </w:tcPr>
          <w:p w14:paraId="0B95D6E0" w14:textId="77777777" w:rsidR="00553430" w:rsidRDefault="00212577">
            <w:pPr>
              <w:pStyle w:val="P68B1DB1-Normal66"/>
              <w:spacing w:after="200" w:line="276" w:lineRule="auto"/>
              <w:jc w:val="center"/>
              <w:rPr>
                <w:noProof/>
              </w:rPr>
            </w:pPr>
            <w:r>
              <w:rPr>
                <w:noProof/>
              </w:rPr>
              <w:t>Numéro</w:t>
            </w:r>
          </w:p>
        </w:tc>
        <w:tc>
          <w:tcPr>
            <w:tcW w:w="1134" w:type="dxa"/>
            <w:shd w:val="clear" w:color="auto" w:fill="C6EFCE"/>
            <w:noWrap/>
          </w:tcPr>
          <w:p w14:paraId="0E61155D" w14:textId="06AE9CE1" w:rsidR="00553430" w:rsidRDefault="00212577">
            <w:pPr>
              <w:pStyle w:val="P68B1DB1-Normal66"/>
              <w:spacing w:after="200" w:line="276" w:lineRule="auto"/>
              <w:jc w:val="center"/>
              <w:rPr>
                <w:noProof/>
              </w:rPr>
            </w:pPr>
            <w:r>
              <w:rPr>
                <w:noProof/>
              </w:rPr>
              <w:t>656</w:t>
            </w:r>
          </w:p>
        </w:tc>
        <w:tc>
          <w:tcPr>
            <w:tcW w:w="756" w:type="dxa"/>
            <w:shd w:val="clear" w:color="auto" w:fill="C6EFCE"/>
            <w:noWrap/>
          </w:tcPr>
          <w:p w14:paraId="3D7D36ED" w14:textId="73C51FC1" w:rsidR="00553430" w:rsidRDefault="00212577">
            <w:pPr>
              <w:pStyle w:val="P68B1DB1-Normal66"/>
              <w:spacing w:after="200" w:line="276" w:lineRule="auto"/>
              <w:jc w:val="center"/>
              <w:rPr>
                <w:noProof/>
              </w:rPr>
            </w:pPr>
            <w:r>
              <w:rPr>
                <w:noProof/>
              </w:rPr>
              <w:t>456</w:t>
            </w:r>
          </w:p>
        </w:tc>
        <w:tc>
          <w:tcPr>
            <w:tcW w:w="893" w:type="dxa"/>
            <w:shd w:val="clear" w:color="auto" w:fill="C6EFCE"/>
            <w:noWrap/>
          </w:tcPr>
          <w:p w14:paraId="07B0E709" w14:textId="77777777" w:rsidR="00553430" w:rsidRDefault="00212577">
            <w:pPr>
              <w:pStyle w:val="P68B1DB1-Normal66"/>
              <w:spacing w:after="200" w:line="276" w:lineRule="auto"/>
              <w:jc w:val="center"/>
              <w:rPr>
                <w:noProof/>
              </w:rPr>
            </w:pPr>
            <w:r>
              <w:rPr>
                <w:noProof/>
              </w:rPr>
              <w:t>T2</w:t>
            </w:r>
          </w:p>
        </w:tc>
        <w:tc>
          <w:tcPr>
            <w:tcW w:w="859" w:type="dxa"/>
            <w:shd w:val="clear" w:color="auto" w:fill="C6EFCE"/>
            <w:noWrap/>
          </w:tcPr>
          <w:p w14:paraId="289BFBF1" w14:textId="77777777" w:rsidR="00553430" w:rsidRDefault="00212577">
            <w:pPr>
              <w:pStyle w:val="P68B1DB1-Normal66"/>
              <w:spacing w:after="200" w:line="276" w:lineRule="auto"/>
              <w:jc w:val="center"/>
              <w:rPr>
                <w:noProof/>
              </w:rPr>
            </w:pPr>
            <w:r>
              <w:rPr>
                <w:noProof/>
              </w:rPr>
              <w:t>2026</w:t>
            </w:r>
          </w:p>
        </w:tc>
        <w:tc>
          <w:tcPr>
            <w:tcW w:w="4013" w:type="dxa"/>
            <w:shd w:val="clear" w:color="auto" w:fill="C6EFCE"/>
            <w:noWrap/>
          </w:tcPr>
          <w:p w14:paraId="031D24D2" w14:textId="77777777" w:rsidR="00553430" w:rsidRDefault="00212577">
            <w:pPr>
              <w:pStyle w:val="P68B1DB1-Normal66"/>
              <w:spacing w:after="200" w:line="276" w:lineRule="auto"/>
              <w:rPr>
                <w:noProof/>
              </w:rPr>
            </w:pPr>
            <w:r>
              <w:rPr>
                <w:noProof/>
              </w:rPr>
              <w:t>Par rapport à 2020: Réduction d’au moins 200 jours de la durée des litiges et des affaires commerciales, telle que définie par la méthodologie du tableau de bord de la justice dans l’UE.</w:t>
            </w:r>
          </w:p>
        </w:tc>
      </w:tr>
      <w:tr w:rsidR="00553430" w14:paraId="3ECDC30D" w14:textId="77777777" w:rsidTr="009F2E71">
        <w:trPr>
          <w:trHeight w:val="283"/>
        </w:trPr>
        <w:tc>
          <w:tcPr>
            <w:tcW w:w="810" w:type="dxa"/>
            <w:shd w:val="clear" w:color="auto" w:fill="C6EFCE"/>
            <w:noWrap/>
          </w:tcPr>
          <w:p w14:paraId="59E4D5B0" w14:textId="77777777" w:rsidR="00553430" w:rsidRDefault="00212577">
            <w:pPr>
              <w:pStyle w:val="P68B1DB1-Normal66"/>
              <w:spacing w:after="200" w:line="276" w:lineRule="auto"/>
              <w:jc w:val="center"/>
              <w:rPr>
                <w:noProof/>
              </w:rPr>
            </w:pPr>
            <w:r>
              <w:rPr>
                <w:noProof/>
              </w:rPr>
              <w:t>222</w:t>
            </w:r>
          </w:p>
        </w:tc>
        <w:tc>
          <w:tcPr>
            <w:tcW w:w="1284" w:type="dxa"/>
            <w:shd w:val="clear" w:color="auto" w:fill="C6EFCE"/>
            <w:noWrap/>
          </w:tcPr>
          <w:p w14:paraId="3AE69E4C" w14:textId="77777777" w:rsidR="00553430" w:rsidRDefault="00212577">
            <w:pPr>
              <w:pStyle w:val="P68B1DB1-Normal66"/>
              <w:spacing w:after="200" w:line="276" w:lineRule="auto"/>
              <w:jc w:val="center"/>
              <w:rPr>
                <w:noProof/>
              </w:rPr>
            </w:pPr>
            <w:r>
              <w:rPr>
                <w:noProof/>
              </w:rPr>
              <w:t>C2.5. R1</w:t>
            </w:r>
          </w:p>
        </w:tc>
        <w:tc>
          <w:tcPr>
            <w:tcW w:w="1134" w:type="dxa"/>
            <w:shd w:val="clear" w:color="auto" w:fill="C6EFCE"/>
            <w:noWrap/>
          </w:tcPr>
          <w:p w14:paraId="3C53AFE3" w14:textId="77777777" w:rsidR="00553430" w:rsidRDefault="00212577">
            <w:pPr>
              <w:pStyle w:val="P68B1DB1-Normal66"/>
              <w:spacing w:after="200" w:line="276" w:lineRule="auto"/>
              <w:jc w:val="center"/>
              <w:rPr>
                <w:noProof/>
              </w:rPr>
            </w:pPr>
            <w:r>
              <w:rPr>
                <w:noProof/>
              </w:rPr>
              <w:t>T</w:t>
            </w:r>
          </w:p>
        </w:tc>
        <w:tc>
          <w:tcPr>
            <w:tcW w:w="1842" w:type="dxa"/>
            <w:shd w:val="clear" w:color="auto" w:fill="C6EFCE"/>
            <w:noWrap/>
          </w:tcPr>
          <w:p w14:paraId="718F6EFA" w14:textId="77777777" w:rsidR="00553430" w:rsidRDefault="00212577">
            <w:pPr>
              <w:pStyle w:val="P68B1DB1-Normal66"/>
              <w:spacing w:after="200" w:line="276" w:lineRule="auto"/>
              <w:rPr>
                <w:noProof/>
              </w:rPr>
            </w:pPr>
            <w:r>
              <w:rPr>
                <w:noProof/>
              </w:rPr>
              <w:t xml:space="preserve">Réduction du </w:t>
            </w:r>
            <w:r>
              <w:rPr>
                <w:noProof/>
              </w:rPr>
              <w:t>nombre total de toutes les affaires pendantes</w:t>
            </w:r>
          </w:p>
        </w:tc>
        <w:tc>
          <w:tcPr>
            <w:tcW w:w="2268" w:type="dxa"/>
            <w:shd w:val="clear" w:color="auto" w:fill="C6EFCE"/>
            <w:noWrap/>
          </w:tcPr>
          <w:p w14:paraId="26A17305" w14:textId="77777777" w:rsidR="00553430" w:rsidRDefault="00212577">
            <w:pPr>
              <w:pStyle w:val="P68B1DB1-Normal66"/>
              <w:spacing w:after="200" w:line="276" w:lineRule="auto"/>
              <w:rPr>
                <w:noProof/>
              </w:rPr>
            </w:pPr>
            <w:r>
              <w:rPr>
                <w:noProof/>
              </w:rPr>
              <w:t xml:space="preserve"> </w:t>
            </w:r>
          </w:p>
        </w:tc>
        <w:tc>
          <w:tcPr>
            <w:tcW w:w="1167" w:type="dxa"/>
            <w:shd w:val="clear" w:color="auto" w:fill="C6EFCE"/>
            <w:noWrap/>
          </w:tcPr>
          <w:p w14:paraId="1AC64695" w14:textId="77777777" w:rsidR="00553430" w:rsidRDefault="00212577">
            <w:pPr>
              <w:pStyle w:val="P68B1DB1-Normal66"/>
              <w:spacing w:after="200" w:line="276" w:lineRule="auto"/>
              <w:jc w:val="center"/>
              <w:rPr>
                <w:noProof/>
              </w:rPr>
            </w:pPr>
            <w:r>
              <w:rPr>
                <w:noProof/>
              </w:rPr>
              <w:t>Numéro</w:t>
            </w:r>
          </w:p>
        </w:tc>
        <w:tc>
          <w:tcPr>
            <w:tcW w:w="1134" w:type="dxa"/>
            <w:shd w:val="clear" w:color="auto" w:fill="C6EFCE"/>
            <w:noWrap/>
          </w:tcPr>
          <w:p w14:paraId="438E8BB5" w14:textId="6C601BE8" w:rsidR="00553430" w:rsidRDefault="00212577">
            <w:pPr>
              <w:pStyle w:val="P68B1DB1-Normal66"/>
              <w:spacing w:after="200" w:line="276" w:lineRule="auto"/>
              <w:jc w:val="center"/>
              <w:rPr>
                <w:noProof/>
              </w:rPr>
            </w:pPr>
            <w:r>
              <w:rPr>
                <w:noProof/>
              </w:rPr>
              <w:t>468 092</w:t>
            </w:r>
          </w:p>
        </w:tc>
        <w:tc>
          <w:tcPr>
            <w:tcW w:w="756" w:type="dxa"/>
            <w:shd w:val="clear" w:color="auto" w:fill="C6EFCE"/>
            <w:noWrap/>
          </w:tcPr>
          <w:p w14:paraId="4E9286D4" w14:textId="3E1B8998" w:rsidR="00553430" w:rsidRDefault="00212577">
            <w:pPr>
              <w:pStyle w:val="P68B1DB1-Normal66"/>
              <w:spacing w:after="200" w:line="276" w:lineRule="auto"/>
              <w:jc w:val="center"/>
              <w:rPr>
                <w:noProof/>
              </w:rPr>
            </w:pPr>
            <w:r>
              <w:rPr>
                <w:noProof/>
              </w:rPr>
              <w:t>398 322</w:t>
            </w:r>
          </w:p>
        </w:tc>
        <w:tc>
          <w:tcPr>
            <w:tcW w:w="893" w:type="dxa"/>
            <w:shd w:val="clear" w:color="auto" w:fill="C6EFCE"/>
            <w:noWrap/>
          </w:tcPr>
          <w:p w14:paraId="664B5851" w14:textId="77777777" w:rsidR="00553430" w:rsidRDefault="00212577">
            <w:pPr>
              <w:pStyle w:val="P68B1DB1-Normal66"/>
              <w:spacing w:after="200" w:line="276" w:lineRule="auto"/>
              <w:jc w:val="center"/>
              <w:rPr>
                <w:noProof/>
              </w:rPr>
            </w:pPr>
            <w:r>
              <w:rPr>
                <w:noProof/>
              </w:rPr>
              <w:t>T2</w:t>
            </w:r>
          </w:p>
        </w:tc>
        <w:tc>
          <w:tcPr>
            <w:tcW w:w="859" w:type="dxa"/>
            <w:shd w:val="clear" w:color="auto" w:fill="C6EFCE"/>
            <w:noWrap/>
          </w:tcPr>
          <w:p w14:paraId="73880B71" w14:textId="77777777" w:rsidR="00553430" w:rsidRDefault="00212577">
            <w:pPr>
              <w:pStyle w:val="P68B1DB1-Normal66"/>
              <w:spacing w:after="200" w:line="276" w:lineRule="auto"/>
              <w:jc w:val="center"/>
              <w:rPr>
                <w:noProof/>
              </w:rPr>
            </w:pPr>
            <w:r>
              <w:rPr>
                <w:noProof/>
              </w:rPr>
              <w:t>2026</w:t>
            </w:r>
          </w:p>
        </w:tc>
        <w:tc>
          <w:tcPr>
            <w:tcW w:w="4013" w:type="dxa"/>
            <w:shd w:val="clear" w:color="auto" w:fill="C6EFCE"/>
            <w:noWrap/>
          </w:tcPr>
          <w:p w14:paraId="452BDD18" w14:textId="753595F9" w:rsidR="00553430" w:rsidRDefault="00212577">
            <w:pPr>
              <w:pStyle w:val="P68B1DB1-Normal70"/>
              <w:spacing w:after="200" w:line="276" w:lineRule="auto"/>
              <w:rPr>
                <w:noProof/>
              </w:rPr>
            </w:pPr>
            <w:r>
              <w:rPr>
                <w:noProof/>
                <w:color w:val="000000" w:themeColor="text1"/>
              </w:rPr>
              <w:t>Par rapport à 2020: Réduire</w:t>
            </w:r>
            <w:r>
              <w:rPr>
                <w:noProof/>
              </w:rPr>
              <w:t xml:space="preserve"> d’au moins 69 770 le nombre de toutes les affaires pendantes.</w:t>
            </w:r>
          </w:p>
        </w:tc>
      </w:tr>
      <w:tr w:rsidR="00553430" w14:paraId="1E369A14" w14:textId="77777777" w:rsidTr="009F2E71">
        <w:trPr>
          <w:trHeight w:val="283"/>
        </w:trPr>
        <w:tc>
          <w:tcPr>
            <w:tcW w:w="810" w:type="dxa"/>
            <w:shd w:val="clear" w:color="auto" w:fill="C6EFCE"/>
            <w:noWrap/>
          </w:tcPr>
          <w:p w14:paraId="76C0A1AF" w14:textId="77777777" w:rsidR="00553430" w:rsidRDefault="00212577">
            <w:pPr>
              <w:pStyle w:val="P68B1DB1-Normal66"/>
              <w:spacing w:after="200" w:line="276" w:lineRule="auto"/>
              <w:jc w:val="center"/>
              <w:rPr>
                <w:noProof/>
              </w:rPr>
            </w:pPr>
            <w:r>
              <w:rPr>
                <w:noProof/>
              </w:rPr>
              <w:t>224</w:t>
            </w:r>
          </w:p>
        </w:tc>
        <w:tc>
          <w:tcPr>
            <w:tcW w:w="1284" w:type="dxa"/>
            <w:shd w:val="clear" w:color="auto" w:fill="C6EFCE"/>
            <w:noWrap/>
          </w:tcPr>
          <w:p w14:paraId="5707C037" w14:textId="77777777" w:rsidR="00553430" w:rsidRDefault="00212577">
            <w:pPr>
              <w:pStyle w:val="P68B1DB1-Normal66"/>
              <w:spacing w:after="200" w:line="276" w:lineRule="auto"/>
              <w:jc w:val="center"/>
              <w:rPr>
                <w:noProof/>
              </w:rPr>
            </w:pPr>
            <w:r>
              <w:rPr>
                <w:noProof/>
              </w:rPr>
              <w:t>C2.5. R1-I1</w:t>
            </w:r>
          </w:p>
        </w:tc>
        <w:tc>
          <w:tcPr>
            <w:tcW w:w="1134" w:type="dxa"/>
            <w:shd w:val="clear" w:color="auto" w:fill="C6EFCE"/>
            <w:noWrap/>
          </w:tcPr>
          <w:p w14:paraId="5F65F1BE" w14:textId="77777777" w:rsidR="00553430" w:rsidRDefault="00212577">
            <w:pPr>
              <w:pStyle w:val="P68B1DB1-Normal66"/>
              <w:spacing w:after="200" w:line="276" w:lineRule="auto"/>
              <w:jc w:val="center"/>
              <w:rPr>
                <w:noProof/>
              </w:rPr>
            </w:pPr>
            <w:r>
              <w:rPr>
                <w:noProof/>
              </w:rPr>
              <w:t>M</w:t>
            </w:r>
          </w:p>
        </w:tc>
        <w:tc>
          <w:tcPr>
            <w:tcW w:w="1842" w:type="dxa"/>
            <w:shd w:val="clear" w:color="auto" w:fill="C6EFCE"/>
            <w:noWrap/>
          </w:tcPr>
          <w:p w14:paraId="64F7F836" w14:textId="77777777" w:rsidR="00553430" w:rsidRDefault="00212577">
            <w:pPr>
              <w:pStyle w:val="P68B1DB1-Normal66"/>
              <w:spacing w:after="200" w:line="276" w:lineRule="auto"/>
              <w:rPr>
                <w:noProof/>
              </w:rPr>
            </w:pPr>
            <w:r>
              <w:rPr>
                <w:noProof/>
              </w:rPr>
              <w:t xml:space="preserve">Mise à niveau du système eSpis avec de nouvelles fonctionnalités et </w:t>
            </w:r>
            <w:r>
              <w:rPr>
                <w:noProof/>
              </w:rPr>
              <w:t>une nouvelle architecture intégrée au Centre de services partagés (CDU)</w:t>
            </w:r>
          </w:p>
        </w:tc>
        <w:tc>
          <w:tcPr>
            <w:tcW w:w="2268" w:type="dxa"/>
            <w:shd w:val="clear" w:color="auto" w:fill="C6EFCE"/>
            <w:noWrap/>
          </w:tcPr>
          <w:p w14:paraId="17FA28EE" w14:textId="77777777" w:rsidR="00553430" w:rsidRDefault="00212577">
            <w:pPr>
              <w:pStyle w:val="P68B1DB1-Normal66"/>
              <w:spacing w:after="200" w:line="276" w:lineRule="auto"/>
              <w:rPr>
                <w:noProof/>
              </w:rPr>
            </w:pPr>
            <w:r>
              <w:rPr>
                <w:noProof/>
              </w:rPr>
              <w:t>De nouvelles solutions numériques sont mises en œuvre pour faire progresser la numérisation du système judiciaire, notamment un système eSpis amélioré et une nouvelle architecture inté</w:t>
            </w:r>
            <w:r>
              <w:rPr>
                <w:noProof/>
              </w:rPr>
              <w:t>grée à la CDU.</w:t>
            </w:r>
          </w:p>
        </w:tc>
        <w:tc>
          <w:tcPr>
            <w:tcW w:w="1167" w:type="dxa"/>
            <w:shd w:val="clear" w:color="auto" w:fill="C6EFCE"/>
            <w:noWrap/>
          </w:tcPr>
          <w:p w14:paraId="7300E8DB" w14:textId="77777777" w:rsidR="00553430" w:rsidRDefault="00212577">
            <w:pPr>
              <w:pStyle w:val="P68B1DB1-Normal66"/>
              <w:spacing w:after="200" w:line="276" w:lineRule="auto"/>
              <w:jc w:val="center"/>
              <w:rPr>
                <w:noProof/>
              </w:rPr>
            </w:pPr>
            <w:r>
              <w:rPr>
                <w:noProof/>
              </w:rPr>
              <w:t> </w:t>
            </w:r>
          </w:p>
        </w:tc>
        <w:tc>
          <w:tcPr>
            <w:tcW w:w="1134" w:type="dxa"/>
            <w:shd w:val="clear" w:color="auto" w:fill="C6EFCE"/>
            <w:noWrap/>
          </w:tcPr>
          <w:p w14:paraId="04F214D2" w14:textId="77777777" w:rsidR="00553430" w:rsidRDefault="00212577">
            <w:pPr>
              <w:pStyle w:val="P68B1DB1-Normal66"/>
              <w:spacing w:after="200" w:line="276" w:lineRule="auto"/>
              <w:jc w:val="center"/>
              <w:rPr>
                <w:noProof/>
              </w:rPr>
            </w:pPr>
            <w:r>
              <w:rPr>
                <w:noProof/>
              </w:rPr>
              <w:t> </w:t>
            </w:r>
          </w:p>
        </w:tc>
        <w:tc>
          <w:tcPr>
            <w:tcW w:w="756" w:type="dxa"/>
            <w:shd w:val="clear" w:color="auto" w:fill="C6EFCE"/>
            <w:noWrap/>
          </w:tcPr>
          <w:p w14:paraId="5615681F" w14:textId="77777777" w:rsidR="00553430" w:rsidRDefault="00212577">
            <w:pPr>
              <w:pStyle w:val="P68B1DB1-Normal66"/>
              <w:spacing w:after="200" w:line="276" w:lineRule="auto"/>
              <w:jc w:val="center"/>
              <w:rPr>
                <w:noProof/>
              </w:rPr>
            </w:pPr>
            <w:r>
              <w:rPr>
                <w:noProof/>
              </w:rPr>
              <w:t> </w:t>
            </w:r>
          </w:p>
        </w:tc>
        <w:tc>
          <w:tcPr>
            <w:tcW w:w="893" w:type="dxa"/>
            <w:shd w:val="clear" w:color="auto" w:fill="C6EFCE"/>
            <w:noWrap/>
          </w:tcPr>
          <w:p w14:paraId="0E485112" w14:textId="77777777" w:rsidR="00553430" w:rsidRDefault="00212577">
            <w:pPr>
              <w:pStyle w:val="P68B1DB1-Normal66"/>
              <w:spacing w:after="200" w:line="276" w:lineRule="auto"/>
              <w:jc w:val="center"/>
              <w:rPr>
                <w:noProof/>
              </w:rPr>
            </w:pPr>
            <w:r>
              <w:rPr>
                <w:noProof/>
              </w:rPr>
              <w:t>T4</w:t>
            </w:r>
          </w:p>
        </w:tc>
        <w:tc>
          <w:tcPr>
            <w:tcW w:w="859" w:type="dxa"/>
            <w:shd w:val="clear" w:color="auto" w:fill="C6EFCE"/>
            <w:noWrap/>
          </w:tcPr>
          <w:p w14:paraId="075AD0EC" w14:textId="77777777" w:rsidR="00553430" w:rsidRDefault="00212577">
            <w:pPr>
              <w:pStyle w:val="P68B1DB1-Normal66"/>
              <w:spacing w:after="200" w:line="276" w:lineRule="auto"/>
              <w:jc w:val="center"/>
              <w:rPr>
                <w:noProof/>
              </w:rPr>
            </w:pPr>
            <w:r>
              <w:rPr>
                <w:noProof/>
              </w:rPr>
              <w:t>2024</w:t>
            </w:r>
          </w:p>
        </w:tc>
        <w:tc>
          <w:tcPr>
            <w:tcW w:w="4013" w:type="dxa"/>
            <w:shd w:val="clear" w:color="auto" w:fill="C6EFCE"/>
            <w:noWrap/>
          </w:tcPr>
          <w:p w14:paraId="420D95BF" w14:textId="17404910" w:rsidR="00553430" w:rsidRDefault="00212577">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De nouvelles fonctionnalités sont mises en œuvre afin d’améliorer la numérisation du système judiciaire:</w:t>
            </w:r>
            <w:r>
              <w:rPr>
                <w:rFonts w:ascii="Times New Roman" w:hAnsi="Times New Roman" w:cs="Times New Roman"/>
                <w:noProof/>
              </w:rPr>
              <w:br/>
            </w:r>
            <w:r>
              <w:rPr>
                <w:rFonts w:ascii="Times New Roman" w:eastAsia="Calibri" w:hAnsi="Times New Roman" w:cs="Times New Roman"/>
                <w:noProof/>
                <w:color w:val="000000" w:themeColor="text1"/>
              </w:rPr>
              <w:t>-livraison électronique complète des documents aux citoyens en ligne avec boîte aux lettres de l’utilisateur et informatio</w:t>
            </w:r>
            <w:r>
              <w:rPr>
                <w:rFonts w:ascii="Times New Roman" w:eastAsia="Calibri" w:hAnsi="Times New Roman" w:cs="Times New Roman"/>
                <w:noProof/>
                <w:color w:val="000000" w:themeColor="text1"/>
              </w:rPr>
              <w:t xml:space="preserve">ns sur la livraison électronique en cas de transmission de documents par remise physique, </w:t>
            </w:r>
            <w:r>
              <w:rPr>
                <w:rFonts w:ascii="Times New Roman" w:hAnsi="Times New Roman" w:cs="Times New Roman"/>
                <w:noProof/>
              </w:rPr>
              <w:br/>
              <w:t xml:space="preserve"> </w:t>
            </w:r>
            <w:r>
              <w:rPr>
                <w:rFonts w:ascii="Times New Roman" w:eastAsia="Calibri" w:hAnsi="Times New Roman" w:cs="Times New Roman"/>
                <w:noProof/>
                <w:color w:val="000000" w:themeColor="text1"/>
              </w:rPr>
              <w:t>-Amélioration de l’expérience utilisateur par la mise en œuvre d’un plan d’action contenant des recommandations sur les aspects techniques et la gestion informatiqu</w:t>
            </w:r>
            <w:r>
              <w:rPr>
                <w:rFonts w:ascii="Times New Roman" w:eastAsia="Calibri" w:hAnsi="Times New Roman" w:cs="Times New Roman"/>
                <w:noProof/>
                <w:color w:val="000000" w:themeColor="text1"/>
              </w:rPr>
              <w:t xml:space="preserve">e (recommandations administratives et relatives aux processus opérationnels et </w:t>
            </w:r>
            <w:r>
              <w:rPr>
                <w:rFonts w:ascii="Times New Roman" w:eastAsia="Calibri" w:hAnsi="Times New Roman" w:cs="Times New Roman"/>
                <w:noProof/>
                <w:color w:val="000000" w:themeColor="text1"/>
                <w:u w:val="single"/>
              </w:rPr>
              <w:t>recommandations</w:t>
            </w:r>
            <w:r>
              <w:rPr>
                <w:rFonts w:ascii="Times New Roman" w:eastAsia="Calibri" w:hAnsi="Times New Roman" w:cs="Times New Roman"/>
                <w:noProof/>
                <w:color w:val="000000" w:themeColor="text1"/>
              </w:rPr>
              <w:t xml:space="preserve"> techniques), </w:t>
            </w:r>
            <w:r>
              <w:rPr>
                <w:rFonts w:ascii="Times New Roman" w:hAnsi="Times New Roman" w:cs="Times New Roman"/>
                <w:noProof/>
              </w:rPr>
              <w:br/>
              <w:t xml:space="preserve"> </w:t>
            </w:r>
            <w:r>
              <w:rPr>
                <w:rFonts w:ascii="Times New Roman" w:eastAsia="Calibri" w:hAnsi="Times New Roman" w:cs="Times New Roman"/>
                <w:noProof/>
                <w:color w:val="000000" w:themeColor="text1"/>
              </w:rPr>
              <w:t xml:space="preserve">-Une nouvelle architecture intégrée dans le centre de services partagés afin de réduire les goulets d’étranglement du système, d’accroître la </w:t>
            </w:r>
            <w:r>
              <w:rPr>
                <w:rFonts w:ascii="Times New Roman" w:eastAsia="Calibri" w:hAnsi="Times New Roman" w:cs="Times New Roman"/>
                <w:noProof/>
                <w:color w:val="000000" w:themeColor="text1"/>
              </w:rPr>
              <w:t>stabilité et de permettre l’interopérabilité avec d’autres systèmes.</w:t>
            </w:r>
          </w:p>
        </w:tc>
      </w:tr>
      <w:tr w:rsidR="00553430" w14:paraId="609757DC" w14:textId="77777777" w:rsidTr="009F2E71">
        <w:trPr>
          <w:trHeight w:val="283"/>
        </w:trPr>
        <w:tc>
          <w:tcPr>
            <w:tcW w:w="810" w:type="dxa"/>
            <w:shd w:val="clear" w:color="auto" w:fill="C6EFCE"/>
            <w:noWrap/>
          </w:tcPr>
          <w:p w14:paraId="2FC1B501" w14:textId="77777777" w:rsidR="00553430" w:rsidRDefault="00212577">
            <w:pPr>
              <w:pStyle w:val="P68B1DB1-Normal66"/>
              <w:spacing w:after="200" w:line="276" w:lineRule="auto"/>
              <w:jc w:val="center"/>
              <w:rPr>
                <w:noProof/>
              </w:rPr>
            </w:pPr>
            <w:r>
              <w:rPr>
                <w:noProof/>
              </w:rPr>
              <w:t>225</w:t>
            </w:r>
          </w:p>
        </w:tc>
        <w:tc>
          <w:tcPr>
            <w:tcW w:w="1284" w:type="dxa"/>
            <w:shd w:val="clear" w:color="auto" w:fill="C6EFCE"/>
            <w:noWrap/>
          </w:tcPr>
          <w:p w14:paraId="3549A2A2" w14:textId="77777777" w:rsidR="00553430" w:rsidRDefault="00212577">
            <w:pPr>
              <w:pStyle w:val="P68B1DB1-Normal66"/>
              <w:spacing w:after="200" w:line="276" w:lineRule="auto"/>
              <w:jc w:val="center"/>
              <w:rPr>
                <w:noProof/>
              </w:rPr>
            </w:pPr>
            <w:r>
              <w:rPr>
                <w:noProof/>
              </w:rPr>
              <w:t>C2.5. R1-I2</w:t>
            </w:r>
          </w:p>
        </w:tc>
        <w:tc>
          <w:tcPr>
            <w:tcW w:w="1134" w:type="dxa"/>
            <w:shd w:val="clear" w:color="auto" w:fill="C6EFCE"/>
            <w:noWrap/>
          </w:tcPr>
          <w:p w14:paraId="64F0EE53" w14:textId="77777777" w:rsidR="00553430" w:rsidRDefault="00212577">
            <w:pPr>
              <w:pStyle w:val="P68B1DB1-Normal66"/>
              <w:spacing w:after="200" w:line="276" w:lineRule="auto"/>
              <w:jc w:val="center"/>
              <w:rPr>
                <w:noProof/>
              </w:rPr>
            </w:pPr>
            <w:r>
              <w:rPr>
                <w:noProof/>
              </w:rPr>
              <w:t>T</w:t>
            </w:r>
          </w:p>
        </w:tc>
        <w:tc>
          <w:tcPr>
            <w:tcW w:w="1842" w:type="dxa"/>
            <w:shd w:val="clear" w:color="auto" w:fill="C6EFCE"/>
            <w:noWrap/>
          </w:tcPr>
          <w:p w14:paraId="09F3DF51" w14:textId="77777777" w:rsidR="00553430" w:rsidRDefault="00212577">
            <w:pPr>
              <w:pStyle w:val="P68B1DB1-Normal66"/>
              <w:spacing w:after="200" w:line="276" w:lineRule="auto"/>
              <w:rPr>
                <w:noProof/>
              </w:rPr>
            </w:pPr>
            <w:r>
              <w:rPr>
                <w:noProof/>
              </w:rPr>
              <w:t xml:space="preserve">60% de l'enregistrement foncier et des données cadastrales intégrées </w:t>
            </w:r>
          </w:p>
        </w:tc>
        <w:tc>
          <w:tcPr>
            <w:tcW w:w="2268" w:type="dxa"/>
            <w:shd w:val="clear" w:color="auto" w:fill="C6EFCE"/>
            <w:noWrap/>
          </w:tcPr>
          <w:p w14:paraId="6BCACEE2" w14:textId="77777777" w:rsidR="00553430" w:rsidRDefault="00212577">
            <w:pPr>
              <w:pStyle w:val="P68B1DB1-Normal66"/>
              <w:spacing w:after="200" w:line="276" w:lineRule="auto"/>
              <w:rPr>
                <w:noProof/>
              </w:rPr>
            </w:pPr>
            <w:r>
              <w:rPr>
                <w:noProof/>
              </w:rPr>
              <w:t xml:space="preserve"> </w:t>
            </w:r>
          </w:p>
        </w:tc>
        <w:tc>
          <w:tcPr>
            <w:tcW w:w="1167" w:type="dxa"/>
            <w:shd w:val="clear" w:color="auto" w:fill="C6EFCE"/>
            <w:noWrap/>
          </w:tcPr>
          <w:p w14:paraId="5E6FB799" w14:textId="77777777" w:rsidR="00553430" w:rsidRDefault="00212577">
            <w:pPr>
              <w:pStyle w:val="P68B1DB1-Normal66"/>
              <w:spacing w:after="200" w:line="276" w:lineRule="auto"/>
              <w:jc w:val="center"/>
              <w:rPr>
                <w:noProof/>
              </w:rPr>
            </w:pPr>
            <w:r>
              <w:rPr>
                <w:noProof/>
              </w:rPr>
              <w:t>% (pourcentage)</w:t>
            </w:r>
          </w:p>
        </w:tc>
        <w:tc>
          <w:tcPr>
            <w:tcW w:w="1134" w:type="dxa"/>
            <w:shd w:val="clear" w:color="auto" w:fill="C6EFCE"/>
            <w:noWrap/>
          </w:tcPr>
          <w:p w14:paraId="7EE36064" w14:textId="77777777" w:rsidR="00553430" w:rsidRDefault="00212577">
            <w:pPr>
              <w:pStyle w:val="P68B1DB1-Normal66"/>
              <w:spacing w:after="200" w:line="276" w:lineRule="auto"/>
              <w:jc w:val="center"/>
              <w:rPr>
                <w:noProof/>
              </w:rPr>
            </w:pPr>
            <w:r>
              <w:rPr>
                <w:noProof/>
              </w:rPr>
              <w:t>3,86</w:t>
            </w:r>
          </w:p>
        </w:tc>
        <w:tc>
          <w:tcPr>
            <w:tcW w:w="756" w:type="dxa"/>
            <w:shd w:val="clear" w:color="auto" w:fill="C6EFCE"/>
            <w:noWrap/>
          </w:tcPr>
          <w:p w14:paraId="73F5C72C" w14:textId="77777777" w:rsidR="00553430" w:rsidRDefault="00212577">
            <w:pPr>
              <w:pStyle w:val="P68B1DB1-Normal66"/>
              <w:spacing w:after="200" w:line="276" w:lineRule="auto"/>
              <w:jc w:val="center"/>
              <w:rPr>
                <w:noProof/>
              </w:rPr>
            </w:pPr>
            <w:r>
              <w:rPr>
                <w:noProof/>
              </w:rPr>
              <w:t>60</w:t>
            </w:r>
          </w:p>
        </w:tc>
        <w:tc>
          <w:tcPr>
            <w:tcW w:w="893" w:type="dxa"/>
            <w:shd w:val="clear" w:color="auto" w:fill="C6EFCE"/>
            <w:noWrap/>
          </w:tcPr>
          <w:p w14:paraId="36E6E416" w14:textId="77777777" w:rsidR="00553430" w:rsidRDefault="00212577">
            <w:pPr>
              <w:pStyle w:val="P68B1DB1-Normal66"/>
              <w:spacing w:after="200" w:line="276" w:lineRule="auto"/>
              <w:jc w:val="center"/>
              <w:rPr>
                <w:noProof/>
              </w:rPr>
            </w:pPr>
            <w:r>
              <w:rPr>
                <w:noProof/>
              </w:rPr>
              <w:t>T2</w:t>
            </w:r>
          </w:p>
        </w:tc>
        <w:tc>
          <w:tcPr>
            <w:tcW w:w="859" w:type="dxa"/>
            <w:shd w:val="clear" w:color="auto" w:fill="C6EFCE"/>
            <w:noWrap/>
          </w:tcPr>
          <w:p w14:paraId="52C8F8A2" w14:textId="77777777" w:rsidR="00553430" w:rsidRDefault="00212577">
            <w:pPr>
              <w:pStyle w:val="P68B1DB1-Normal66"/>
              <w:spacing w:after="200" w:line="276" w:lineRule="auto"/>
              <w:jc w:val="center"/>
              <w:rPr>
                <w:noProof/>
              </w:rPr>
            </w:pPr>
            <w:r>
              <w:rPr>
                <w:noProof/>
              </w:rPr>
              <w:t>2026</w:t>
            </w:r>
          </w:p>
        </w:tc>
        <w:tc>
          <w:tcPr>
            <w:tcW w:w="4013" w:type="dxa"/>
            <w:shd w:val="clear" w:color="auto" w:fill="C6EFCE"/>
            <w:noWrap/>
          </w:tcPr>
          <w:p w14:paraId="02F73420" w14:textId="77777777" w:rsidR="00553430" w:rsidRDefault="00212577">
            <w:pPr>
              <w:pStyle w:val="P68B1DB1-Normal59"/>
              <w:spacing w:after="200" w:line="276" w:lineRule="auto"/>
              <w:rPr>
                <w:rFonts w:ascii="Times New Roman" w:eastAsia="Times New Roman" w:hAnsi="Times New Roman" w:cs="Times New Roman"/>
                <w:noProof/>
              </w:rPr>
            </w:pPr>
            <w:r>
              <w:rPr>
                <w:rFonts w:ascii="Times New Roman" w:eastAsia="Times New Roman" w:hAnsi="Times New Roman" w:cs="Times New Roman"/>
                <w:noProof/>
                <w:color w:val="000000" w:themeColor="text1"/>
              </w:rPr>
              <w:t xml:space="preserve">Soumis Rapport final de l'entrepreneur contenant la liste des </w:t>
            </w:r>
            <w:r>
              <w:rPr>
                <w:rFonts w:ascii="Times New Roman" w:eastAsia="Times New Roman" w:hAnsi="Times New Roman" w:cs="Times New Roman"/>
                <w:noProof/>
                <w:color w:val="000000" w:themeColor="text1"/>
              </w:rPr>
              <w:t>municipalités du cadastre</w:t>
            </w:r>
            <w:r>
              <w:rPr>
                <w:rFonts w:ascii="Times New Roman" w:eastAsia="Times New Roman" w:hAnsi="Times New Roman" w:cs="Times New Roman"/>
                <w:noProof/>
              </w:rPr>
              <w:t xml:space="preserve"> </w:t>
            </w:r>
            <w:r>
              <w:rPr>
                <w:rFonts w:ascii="Times New Roman" w:hAnsi="Times New Roman" w:cs="Times New Roman"/>
                <w:noProof/>
                <w:color w:val="000000" w:themeColor="text1"/>
              </w:rPr>
              <w:t>avec le pourcentage de parcelles du cadastre dans la base de données foncières (BZP) pour chaque municipalité du cadastre confirmant que 60% des données d'enregistrement foncier et cadastrale ont été intégrées. Le rapport confirme</w:t>
            </w:r>
            <w:r>
              <w:rPr>
                <w:rFonts w:ascii="Times New Roman" w:hAnsi="Times New Roman" w:cs="Times New Roman"/>
                <w:noProof/>
                <w:color w:val="000000" w:themeColor="text1"/>
              </w:rPr>
              <w:t xml:space="preserve"> également la création du module </w:t>
            </w:r>
            <w:r>
              <w:rPr>
                <w:rFonts w:ascii="Times New Roman" w:eastAsia="Times New Roman" w:hAnsi="Times New Roman" w:cs="Times New Roman"/>
                <w:noProof/>
              </w:rPr>
              <w:t>logiciel (assistant virtuel) basé sur l’intelligence artificielle.</w:t>
            </w:r>
          </w:p>
        </w:tc>
      </w:tr>
      <w:tr w:rsidR="00553430" w14:paraId="071F541F" w14:textId="77777777" w:rsidTr="009F2E71">
        <w:trPr>
          <w:trHeight w:val="283"/>
        </w:trPr>
        <w:tc>
          <w:tcPr>
            <w:tcW w:w="810" w:type="dxa"/>
            <w:shd w:val="clear" w:color="auto" w:fill="C6EFCE"/>
            <w:noWrap/>
          </w:tcPr>
          <w:p w14:paraId="29128185" w14:textId="77777777" w:rsidR="00553430" w:rsidRDefault="00212577">
            <w:pPr>
              <w:pStyle w:val="P68B1DB1-Normal66"/>
              <w:spacing w:after="200" w:line="276" w:lineRule="auto"/>
              <w:jc w:val="center"/>
              <w:rPr>
                <w:noProof/>
              </w:rPr>
            </w:pPr>
            <w:r>
              <w:rPr>
                <w:noProof/>
              </w:rPr>
              <w:t>226</w:t>
            </w:r>
          </w:p>
        </w:tc>
        <w:tc>
          <w:tcPr>
            <w:tcW w:w="1284" w:type="dxa"/>
            <w:shd w:val="clear" w:color="auto" w:fill="C6EFCE"/>
            <w:noWrap/>
          </w:tcPr>
          <w:p w14:paraId="45FF99B1" w14:textId="77777777" w:rsidR="00553430" w:rsidRDefault="00212577">
            <w:pPr>
              <w:pStyle w:val="P68B1DB1-Normal66"/>
              <w:spacing w:after="200" w:line="276" w:lineRule="auto"/>
              <w:jc w:val="center"/>
              <w:rPr>
                <w:noProof/>
              </w:rPr>
            </w:pPr>
            <w:r>
              <w:rPr>
                <w:noProof/>
              </w:rPr>
              <w:t>C2.5. R1-I3</w:t>
            </w:r>
          </w:p>
        </w:tc>
        <w:tc>
          <w:tcPr>
            <w:tcW w:w="1134" w:type="dxa"/>
            <w:shd w:val="clear" w:color="auto" w:fill="C6EFCE"/>
            <w:noWrap/>
          </w:tcPr>
          <w:p w14:paraId="79B7F4FD" w14:textId="77777777" w:rsidR="00553430" w:rsidRDefault="00212577">
            <w:pPr>
              <w:pStyle w:val="P68B1DB1-Normal66"/>
              <w:spacing w:after="200" w:line="276" w:lineRule="auto"/>
              <w:jc w:val="center"/>
              <w:rPr>
                <w:noProof/>
              </w:rPr>
            </w:pPr>
            <w:r>
              <w:rPr>
                <w:noProof/>
              </w:rPr>
              <w:t>M</w:t>
            </w:r>
          </w:p>
        </w:tc>
        <w:tc>
          <w:tcPr>
            <w:tcW w:w="1842" w:type="dxa"/>
            <w:shd w:val="clear" w:color="auto" w:fill="C6EFCE"/>
            <w:noWrap/>
          </w:tcPr>
          <w:p w14:paraId="213E7803" w14:textId="739659E2" w:rsidR="00553430" w:rsidRDefault="00212577">
            <w:pPr>
              <w:pStyle w:val="P68B1DB1-Normal66"/>
              <w:spacing w:after="200" w:line="276" w:lineRule="auto"/>
              <w:rPr>
                <w:noProof/>
              </w:rPr>
            </w:pPr>
            <w:r>
              <w:rPr>
                <w:noProof/>
              </w:rPr>
              <w:t xml:space="preserve">Toutes les nouvelles décisions de première et de deuxième instance mettant fin à une procédure sont rendues anonymes et publiées sur le </w:t>
            </w:r>
            <w:r>
              <w:rPr>
                <w:noProof/>
              </w:rPr>
              <w:t>portail.</w:t>
            </w:r>
          </w:p>
        </w:tc>
        <w:tc>
          <w:tcPr>
            <w:tcW w:w="2268" w:type="dxa"/>
            <w:shd w:val="clear" w:color="auto" w:fill="C6EFCE"/>
            <w:noWrap/>
          </w:tcPr>
          <w:p w14:paraId="748EC65B" w14:textId="77777777" w:rsidR="00553430" w:rsidRDefault="00212577">
            <w:pPr>
              <w:pStyle w:val="P68B1DB1-Normal66"/>
              <w:spacing w:after="200" w:line="276" w:lineRule="auto"/>
              <w:rPr>
                <w:noProof/>
              </w:rPr>
            </w:pPr>
            <w:r>
              <w:rPr>
                <w:noProof/>
              </w:rPr>
              <w:t>Un système de publication publique et de recherche des décisions de justice est opérationnel.</w:t>
            </w:r>
          </w:p>
        </w:tc>
        <w:tc>
          <w:tcPr>
            <w:tcW w:w="1167" w:type="dxa"/>
            <w:shd w:val="clear" w:color="auto" w:fill="C6EFCE"/>
            <w:noWrap/>
          </w:tcPr>
          <w:p w14:paraId="245C84E6" w14:textId="77777777" w:rsidR="00553430" w:rsidRDefault="00212577">
            <w:pPr>
              <w:pStyle w:val="P68B1DB1-Normal66"/>
              <w:spacing w:after="200" w:line="276" w:lineRule="auto"/>
              <w:jc w:val="center"/>
              <w:rPr>
                <w:noProof/>
              </w:rPr>
            </w:pPr>
            <w:r>
              <w:rPr>
                <w:noProof/>
              </w:rPr>
              <w:t> </w:t>
            </w:r>
          </w:p>
        </w:tc>
        <w:tc>
          <w:tcPr>
            <w:tcW w:w="1134" w:type="dxa"/>
            <w:shd w:val="clear" w:color="auto" w:fill="C6EFCE"/>
            <w:noWrap/>
          </w:tcPr>
          <w:p w14:paraId="0C633E81" w14:textId="77777777" w:rsidR="00553430" w:rsidRDefault="00212577">
            <w:pPr>
              <w:pStyle w:val="P68B1DB1-Normal66"/>
              <w:spacing w:after="200" w:line="276" w:lineRule="auto"/>
              <w:jc w:val="center"/>
              <w:rPr>
                <w:noProof/>
              </w:rPr>
            </w:pPr>
            <w:r>
              <w:rPr>
                <w:noProof/>
              </w:rPr>
              <w:t> </w:t>
            </w:r>
          </w:p>
        </w:tc>
        <w:tc>
          <w:tcPr>
            <w:tcW w:w="756" w:type="dxa"/>
            <w:shd w:val="clear" w:color="auto" w:fill="C6EFCE"/>
            <w:noWrap/>
          </w:tcPr>
          <w:p w14:paraId="56619143" w14:textId="77777777" w:rsidR="00553430" w:rsidRDefault="00212577">
            <w:pPr>
              <w:pStyle w:val="P68B1DB1-Normal66"/>
              <w:spacing w:after="200" w:line="276" w:lineRule="auto"/>
              <w:jc w:val="center"/>
              <w:rPr>
                <w:noProof/>
              </w:rPr>
            </w:pPr>
            <w:r>
              <w:rPr>
                <w:noProof/>
              </w:rPr>
              <w:t> </w:t>
            </w:r>
          </w:p>
        </w:tc>
        <w:tc>
          <w:tcPr>
            <w:tcW w:w="893" w:type="dxa"/>
            <w:shd w:val="clear" w:color="auto" w:fill="C6EFCE"/>
            <w:noWrap/>
          </w:tcPr>
          <w:p w14:paraId="780E8C3B" w14:textId="77777777" w:rsidR="00553430" w:rsidRDefault="00212577">
            <w:pPr>
              <w:pStyle w:val="P68B1DB1-Normal66"/>
              <w:spacing w:after="200" w:line="276" w:lineRule="auto"/>
              <w:jc w:val="center"/>
              <w:rPr>
                <w:noProof/>
              </w:rPr>
            </w:pPr>
            <w:r>
              <w:rPr>
                <w:noProof/>
              </w:rPr>
              <w:t>T4</w:t>
            </w:r>
          </w:p>
        </w:tc>
        <w:tc>
          <w:tcPr>
            <w:tcW w:w="859" w:type="dxa"/>
            <w:shd w:val="clear" w:color="auto" w:fill="C6EFCE"/>
            <w:noWrap/>
          </w:tcPr>
          <w:p w14:paraId="6126ABEB" w14:textId="77777777" w:rsidR="00553430" w:rsidRDefault="00212577">
            <w:pPr>
              <w:pStyle w:val="P68B1DB1-Normal66"/>
              <w:spacing w:after="200" w:line="276" w:lineRule="auto"/>
              <w:jc w:val="center"/>
              <w:rPr>
                <w:noProof/>
              </w:rPr>
            </w:pPr>
            <w:r>
              <w:rPr>
                <w:noProof/>
              </w:rPr>
              <w:t>2024</w:t>
            </w:r>
          </w:p>
        </w:tc>
        <w:tc>
          <w:tcPr>
            <w:tcW w:w="4013" w:type="dxa"/>
            <w:shd w:val="clear" w:color="auto" w:fill="C6EFCE"/>
            <w:noWrap/>
          </w:tcPr>
          <w:p w14:paraId="239E3336" w14:textId="77777777" w:rsidR="00553430" w:rsidRDefault="00212577">
            <w:pPr>
              <w:pStyle w:val="P68B1DB1-Normal66"/>
              <w:spacing w:after="200" w:line="276" w:lineRule="auto"/>
              <w:rPr>
                <w:noProof/>
              </w:rPr>
            </w:pPr>
            <w:r>
              <w:rPr>
                <w:noProof/>
              </w:rPr>
              <w:t xml:space="preserve">Les nouvelles fonctionnalités comprennent la publication de tous les jugements de première et de deuxième instance sur l’internet avec des </w:t>
            </w:r>
            <w:r>
              <w:rPr>
                <w:noProof/>
              </w:rPr>
              <w:t>options de recherche élaborées et des méthodes d’anonymisation automatisée qui respectent les règles en matière de protection des données à caractère personnel.</w:t>
            </w:r>
          </w:p>
        </w:tc>
      </w:tr>
      <w:tr w:rsidR="00553430" w14:paraId="74DF7CAB" w14:textId="77777777" w:rsidTr="009F2E71">
        <w:trPr>
          <w:trHeight w:val="283"/>
        </w:trPr>
        <w:tc>
          <w:tcPr>
            <w:tcW w:w="810" w:type="dxa"/>
            <w:shd w:val="clear" w:color="auto" w:fill="C6EFCE"/>
            <w:noWrap/>
          </w:tcPr>
          <w:p w14:paraId="57EAD0E6" w14:textId="77777777" w:rsidR="00553430" w:rsidRDefault="00212577">
            <w:pPr>
              <w:pStyle w:val="P68B1DB1-Normal66"/>
              <w:spacing w:after="200" w:line="276" w:lineRule="auto"/>
              <w:jc w:val="center"/>
              <w:rPr>
                <w:noProof/>
              </w:rPr>
            </w:pPr>
            <w:r>
              <w:rPr>
                <w:noProof/>
              </w:rPr>
              <w:t>227</w:t>
            </w:r>
          </w:p>
        </w:tc>
        <w:tc>
          <w:tcPr>
            <w:tcW w:w="1284" w:type="dxa"/>
            <w:shd w:val="clear" w:color="auto" w:fill="C6EFCE"/>
            <w:noWrap/>
          </w:tcPr>
          <w:p w14:paraId="665CE4C3" w14:textId="77777777" w:rsidR="00553430" w:rsidRDefault="00212577">
            <w:pPr>
              <w:pStyle w:val="P68B1DB1-Normal66"/>
              <w:spacing w:after="200" w:line="276" w:lineRule="auto"/>
              <w:jc w:val="center"/>
              <w:rPr>
                <w:noProof/>
              </w:rPr>
            </w:pPr>
            <w:r>
              <w:rPr>
                <w:noProof/>
              </w:rPr>
              <w:t>C2.5. R1-I4</w:t>
            </w:r>
          </w:p>
        </w:tc>
        <w:tc>
          <w:tcPr>
            <w:tcW w:w="1134" w:type="dxa"/>
            <w:shd w:val="clear" w:color="auto" w:fill="C6EFCE"/>
            <w:noWrap/>
          </w:tcPr>
          <w:p w14:paraId="14C10B8C" w14:textId="77777777" w:rsidR="00553430" w:rsidRDefault="00212577">
            <w:pPr>
              <w:pStyle w:val="P68B1DB1-Normal66"/>
              <w:spacing w:after="200" w:line="276" w:lineRule="auto"/>
              <w:jc w:val="center"/>
              <w:rPr>
                <w:noProof/>
              </w:rPr>
            </w:pPr>
            <w:r>
              <w:rPr>
                <w:noProof/>
              </w:rPr>
              <w:t>T</w:t>
            </w:r>
          </w:p>
        </w:tc>
        <w:tc>
          <w:tcPr>
            <w:tcW w:w="1842" w:type="dxa"/>
            <w:shd w:val="clear" w:color="auto" w:fill="C6EFCE"/>
            <w:noWrap/>
          </w:tcPr>
          <w:p w14:paraId="4CE4B341" w14:textId="77777777" w:rsidR="00553430" w:rsidRDefault="00212577">
            <w:pPr>
              <w:pStyle w:val="P68B1DB1-Normal66"/>
              <w:spacing w:after="200" w:line="276" w:lineRule="auto"/>
              <w:rPr>
                <w:noProof/>
              </w:rPr>
            </w:pPr>
            <w:r>
              <w:rPr>
                <w:noProof/>
              </w:rPr>
              <w:t xml:space="preserve">Construction d'un garage pour la place de la Justice à Zagreb </w:t>
            </w:r>
          </w:p>
        </w:tc>
        <w:tc>
          <w:tcPr>
            <w:tcW w:w="2268" w:type="dxa"/>
            <w:shd w:val="clear" w:color="auto" w:fill="C6EFCE"/>
            <w:noWrap/>
          </w:tcPr>
          <w:p w14:paraId="7CBDA3B2" w14:textId="77777777" w:rsidR="00553430" w:rsidRDefault="00212577">
            <w:pPr>
              <w:pStyle w:val="P68B1DB1-Normal66"/>
              <w:spacing w:after="200" w:line="276" w:lineRule="auto"/>
              <w:rPr>
                <w:noProof/>
              </w:rPr>
            </w:pPr>
            <w:r>
              <w:rPr>
                <w:noProof/>
              </w:rPr>
              <w:t xml:space="preserve"> </w:t>
            </w:r>
          </w:p>
        </w:tc>
        <w:tc>
          <w:tcPr>
            <w:tcW w:w="1167" w:type="dxa"/>
            <w:shd w:val="clear" w:color="auto" w:fill="C6EFCE"/>
            <w:noWrap/>
          </w:tcPr>
          <w:p w14:paraId="123DD0C3" w14:textId="77777777" w:rsidR="00553430" w:rsidRDefault="00212577">
            <w:pPr>
              <w:pStyle w:val="P68B1DB1-Normal66"/>
              <w:spacing w:after="200" w:line="276" w:lineRule="auto"/>
              <w:jc w:val="center"/>
              <w:rPr>
                <w:noProof/>
              </w:rPr>
            </w:pPr>
            <w:r>
              <w:rPr>
                <w:noProof/>
              </w:rPr>
              <w:t xml:space="preserve">Numéro </w:t>
            </w:r>
            <w:r>
              <w:rPr>
                <w:noProof/>
              </w:rPr>
              <w:t>(brutto m2)</w:t>
            </w:r>
          </w:p>
        </w:tc>
        <w:tc>
          <w:tcPr>
            <w:tcW w:w="1134" w:type="dxa"/>
            <w:shd w:val="clear" w:color="auto" w:fill="C6EFCE"/>
            <w:noWrap/>
          </w:tcPr>
          <w:p w14:paraId="687E8E4C" w14:textId="77777777" w:rsidR="00553430" w:rsidRDefault="00212577">
            <w:pPr>
              <w:pStyle w:val="P68B1DB1-Normal66"/>
              <w:spacing w:after="200" w:line="276" w:lineRule="auto"/>
              <w:jc w:val="center"/>
              <w:rPr>
                <w:noProof/>
              </w:rPr>
            </w:pPr>
            <w:r>
              <w:rPr>
                <w:noProof/>
              </w:rPr>
              <w:t>0</w:t>
            </w:r>
          </w:p>
        </w:tc>
        <w:tc>
          <w:tcPr>
            <w:tcW w:w="756" w:type="dxa"/>
            <w:shd w:val="clear" w:color="auto" w:fill="C6EFCE"/>
            <w:noWrap/>
          </w:tcPr>
          <w:p w14:paraId="5A25E20F" w14:textId="77777777" w:rsidR="00553430" w:rsidRDefault="00212577">
            <w:pPr>
              <w:pStyle w:val="P68B1DB1-Normal66"/>
              <w:spacing w:after="200" w:line="276" w:lineRule="auto"/>
              <w:jc w:val="center"/>
              <w:rPr>
                <w:noProof/>
                <w:color w:val="000000" w:themeColor="text1"/>
              </w:rPr>
            </w:pPr>
            <w:r>
              <w:rPr>
                <w:noProof/>
              </w:rPr>
              <w:t>45 000</w:t>
            </w:r>
          </w:p>
        </w:tc>
        <w:tc>
          <w:tcPr>
            <w:tcW w:w="893" w:type="dxa"/>
            <w:shd w:val="clear" w:color="auto" w:fill="C6EFCE"/>
            <w:noWrap/>
          </w:tcPr>
          <w:p w14:paraId="7A5E3B3A" w14:textId="77777777" w:rsidR="00553430" w:rsidRDefault="00212577">
            <w:pPr>
              <w:pStyle w:val="P68B1DB1-Normal66"/>
              <w:spacing w:after="200" w:line="276" w:lineRule="auto"/>
              <w:jc w:val="center"/>
              <w:rPr>
                <w:noProof/>
              </w:rPr>
            </w:pPr>
            <w:r>
              <w:rPr>
                <w:noProof/>
              </w:rPr>
              <w:t>T2</w:t>
            </w:r>
          </w:p>
        </w:tc>
        <w:tc>
          <w:tcPr>
            <w:tcW w:w="859" w:type="dxa"/>
            <w:shd w:val="clear" w:color="auto" w:fill="C6EFCE"/>
            <w:noWrap/>
          </w:tcPr>
          <w:p w14:paraId="0C1321D9" w14:textId="77777777" w:rsidR="00553430" w:rsidRDefault="00212577">
            <w:pPr>
              <w:pStyle w:val="P68B1DB1-Normal66"/>
              <w:spacing w:after="200" w:line="276" w:lineRule="auto"/>
              <w:jc w:val="center"/>
              <w:rPr>
                <w:noProof/>
              </w:rPr>
            </w:pPr>
            <w:r>
              <w:rPr>
                <w:noProof/>
              </w:rPr>
              <w:t>2026</w:t>
            </w:r>
          </w:p>
        </w:tc>
        <w:tc>
          <w:tcPr>
            <w:tcW w:w="4013" w:type="dxa"/>
            <w:shd w:val="clear" w:color="auto" w:fill="C6EFCE"/>
            <w:noWrap/>
          </w:tcPr>
          <w:p w14:paraId="55064C62" w14:textId="6063C382" w:rsidR="00553430" w:rsidRDefault="00212577">
            <w:pPr>
              <w:pStyle w:val="P68B1DB1-Normal66"/>
              <w:spacing w:after="200" w:line="276" w:lineRule="auto"/>
              <w:rPr>
                <w:noProof/>
                <w:color w:val="000000" w:themeColor="text1"/>
              </w:rPr>
            </w:pPr>
            <w:r>
              <w:rPr>
                <w:noProof/>
              </w:rPr>
              <w:t xml:space="preserve">Un garage d'une superficie de 45 000 m² est construit, comme en témoignent: </w:t>
            </w:r>
          </w:p>
          <w:p w14:paraId="6DAD4189" w14:textId="77777777" w:rsidR="00553430" w:rsidRDefault="00212577">
            <w:pPr>
              <w:pStyle w:val="P68B1DB1-Normal59"/>
              <w:spacing w:after="200" w:line="276" w:lineRule="auto"/>
              <w:rPr>
                <w:rFonts w:ascii="Times New Roman" w:eastAsia="Calibri" w:hAnsi="Times New Roman" w:cs="Times New Roman"/>
                <w:noProof/>
                <w:color w:val="000000" w:themeColor="text1"/>
              </w:rPr>
            </w:pPr>
            <w:r>
              <w:rPr>
                <w:rFonts w:ascii="Times New Roman" w:eastAsia="Calibri" w:hAnsi="Times New Roman" w:cs="Times New Roman"/>
                <w:noProof/>
                <w:color w:val="000000" w:themeColor="text1"/>
              </w:rPr>
              <w:t>1. un rapport sur l'état de construction du bâtiment, établi par l'ingénieur superviseur, prouvant que le bâtiment a été construit</w:t>
            </w:r>
            <w:r>
              <w:rPr>
                <w:rFonts w:ascii="Times New Roman" w:hAnsi="Times New Roman" w:cs="Times New Roman"/>
                <w:noProof/>
              </w:rPr>
              <w:br/>
            </w:r>
            <w:r>
              <w:rPr>
                <w:rFonts w:ascii="Times New Roman" w:eastAsia="Calibri" w:hAnsi="Times New Roman" w:cs="Times New Roman"/>
                <w:noProof/>
                <w:color w:val="000000" w:themeColor="text1"/>
              </w:rPr>
              <w:t>2.Levé géodésique d</w:t>
            </w:r>
            <w:r>
              <w:rPr>
                <w:rFonts w:ascii="Times New Roman" w:eastAsia="Calibri" w:hAnsi="Times New Roman" w:cs="Times New Roman"/>
                <w:noProof/>
                <w:color w:val="000000" w:themeColor="text1"/>
              </w:rPr>
              <w:t>u bâtiment construit</w:t>
            </w:r>
            <w:r>
              <w:rPr>
                <w:rFonts w:ascii="Times New Roman" w:hAnsi="Times New Roman" w:cs="Times New Roman"/>
                <w:noProof/>
              </w:rPr>
              <w:br/>
              <w:t xml:space="preserve"> </w:t>
            </w:r>
            <w:r>
              <w:rPr>
                <w:rFonts w:ascii="Times New Roman" w:eastAsia="Calibri" w:hAnsi="Times New Roman" w:cs="Times New Roman"/>
                <w:noProof/>
                <w:color w:val="000000" w:themeColor="text1"/>
              </w:rPr>
              <w:t>3.Building carte de performance énergétique</w:t>
            </w:r>
          </w:p>
          <w:p w14:paraId="2AB8213A" w14:textId="77777777" w:rsidR="00553430" w:rsidRDefault="00212577">
            <w:pPr>
              <w:pStyle w:val="P68B1DB1-Normal66"/>
              <w:spacing w:after="200" w:line="276" w:lineRule="auto"/>
              <w:rPr>
                <w:noProof/>
              </w:rPr>
            </w:pPr>
            <w:r>
              <w:rPr>
                <w:noProof/>
              </w:rPr>
              <w:t>L’investissement concerne la construction d’un nouveau bâtiment, dont la demande d’énergie primaire (DEP) est inférieure d’au moins 20 % à celle du bâtiment dont la consommation d’énergie es</w:t>
            </w:r>
            <w:r>
              <w:rPr>
                <w:noProof/>
              </w:rPr>
              <w:t>t quasi nulle (NZEB).</w:t>
            </w:r>
          </w:p>
        </w:tc>
      </w:tr>
      <w:tr w:rsidR="00553430" w14:paraId="581A1A62" w14:textId="77777777" w:rsidTr="009F2E71">
        <w:trPr>
          <w:trHeight w:val="283"/>
        </w:trPr>
        <w:tc>
          <w:tcPr>
            <w:tcW w:w="810" w:type="dxa"/>
            <w:shd w:val="clear" w:color="auto" w:fill="C6EFCE"/>
            <w:noWrap/>
          </w:tcPr>
          <w:p w14:paraId="3CBE9AB7" w14:textId="77777777" w:rsidR="00553430" w:rsidRDefault="00212577">
            <w:pPr>
              <w:pStyle w:val="P68B1DB1-Normal66"/>
              <w:spacing w:after="200" w:line="276" w:lineRule="auto"/>
              <w:jc w:val="center"/>
              <w:rPr>
                <w:noProof/>
              </w:rPr>
            </w:pPr>
            <w:r>
              <w:rPr>
                <w:noProof/>
              </w:rPr>
              <w:t>228</w:t>
            </w:r>
          </w:p>
        </w:tc>
        <w:tc>
          <w:tcPr>
            <w:tcW w:w="1284" w:type="dxa"/>
            <w:shd w:val="clear" w:color="auto" w:fill="C6EFCE"/>
            <w:noWrap/>
          </w:tcPr>
          <w:p w14:paraId="77423C36" w14:textId="77777777" w:rsidR="00553430" w:rsidRDefault="00212577">
            <w:pPr>
              <w:pStyle w:val="P68B1DB1-Normal66"/>
              <w:spacing w:after="200" w:line="276" w:lineRule="auto"/>
              <w:jc w:val="center"/>
              <w:rPr>
                <w:noProof/>
              </w:rPr>
            </w:pPr>
            <w:r>
              <w:rPr>
                <w:noProof/>
              </w:rPr>
              <w:t>C2.5. R1-I5</w:t>
            </w:r>
          </w:p>
        </w:tc>
        <w:tc>
          <w:tcPr>
            <w:tcW w:w="1134" w:type="dxa"/>
            <w:shd w:val="clear" w:color="auto" w:fill="C6EFCE"/>
            <w:noWrap/>
          </w:tcPr>
          <w:p w14:paraId="430CECBC" w14:textId="77777777" w:rsidR="00553430" w:rsidRDefault="00212577">
            <w:pPr>
              <w:pStyle w:val="P68B1DB1-Normal66"/>
              <w:spacing w:after="200" w:line="276" w:lineRule="auto"/>
              <w:jc w:val="center"/>
              <w:rPr>
                <w:noProof/>
              </w:rPr>
            </w:pPr>
            <w:r>
              <w:rPr>
                <w:noProof/>
              </w:rPr>
              <w:t>T</w:t>
            </w:r>
          </w:p>
        </w:tc>
        <w:tc>
          <w:tcPr>
            <w:tcW w:w="1842" w:type="dxa"/>
            <w:shd w:val="clear" w:color="auto" w:fill="C6EFCE"/>
            <w:noWrap/>
          </w:tcPr>
          <w:p w14:paraId="61E2D1B8" w14:textId="77777777" w:rsidR="00553430" w:rsidRDefault="00212577">
            <w:pPr>
              <w:pStyle w:val="P68B1DB1-Normal66"/>
              <w:spacing w:after="200" w:line="276" w:lineRule="auto"/>
              <w:rPr>
                <w:noProof/>
              </w:rPr>
            </w:pPr>
            <w:r>
              <w:rPr>
                <w:noProof/>
              </w:rPr>
              <w:t>Bâtiments judiciaires récemment rénovés conformes au règlement technique sur l’utilisation rationnelle de l’énergie et la protection thermique dans les bâtiments</w:t>
            </w:r>
          </w:p>
        </w:tc>
        <w:tc>
          <w:tcPr>
            <w:tcW w:w="2268" w:type="dxa"/>
            <w:shd w:val="clear" w:color="auto" w:fill="C6EFCE"/>
            <w:noWrap/>
          </w:tcPr>
          <w:p w14:paraId="55946F7C" w14:textId="77777777" w:rsidR="00553430" w:rsidRDefault="00212577">
            <w:pPr>
              <w:pStyle w:val="P68B1DB1-Normal66"/>
              <w:spacing w:after="200" w:line="276" w:lineRule="auto"/>
              <w:rPr>
                <w:noProof/>
              </w:rPr>
            </w:pPr>
            <w:r>
              <w:rPr>
                <w:noProof/>
              </w:rPr>
              <w:t xml:space="preserve"> </w:t>
            </w:r>
          </w:p>
        </w:tc>
        <w:tc>
          <w:tcPr>
            <w:tcW w:w="1167" w:type="dxa"/>
            <w:shd w:val="clear" w:color="auto" w:fill="C6EFCE"/>
            <w:noWrap/>
          </w:tcPr>
          <w:p w14:paraId="3A85DA9D" w14:textId="77777777" w:rsidR="00553430" w:rsidRDefault="00212577">
            <w:pPr>
              <w:pStyle w:val="P68B1DB1-Normal66"/>
              <w:spacing w:after="200" w:line="276" w:lineRule="auto"/>
              <w:jc w:val="center"/>
              <w:rPr>
                <w:noProof/>
              </w:rPr>
            </w:pPr>
            <w:r>
              <w:rPr>
                <w:noProof/>
              </w:rPr>
              <w:t>Numéro</w:t>
            </w:r>
          </w:p>
        </w:tc>
        <w:tc>
          <w:tcPr>
            <w:tcW w:w="1134" w:type="dxa"/>
            <w:shd w:val="clear" w:color="auto" w:fill="C6EFCE"/>
            <w:noWrap/>
          </w:tcPr>
          <w:p w14:paraId="3C208876" w14:textId="77777777" w:rsidR="00553430" w:rsidRDefault="00212577">
            <w:pPr>
              <w:pStyle w:val="P68B1DB1-Normal66"/>
              <w:spacing w:after="200" w:line="276" w:lineRule="auto"/>
              <w:jc w:val="center"/>
              <w:rPr>
                <w:noProof/>
              </w:rPr>
            </w:pPr>
            <w:r>
              <w:rPr>
                <w:noProof/>
              </w:rPr>
              <w:t>0</w:t>
            </w:r>
          </w:p>
        </w:tc>
        <w:tc>
          <w:tcPr>
            <w:tcW w:w="756" w:type="dxa"/>
            <w:shd w:val="clear" w:color="auto" w:fill="C6EFCE"/>
            <w:noWrap/>
          </w:tcPr>
          <w:p w14:paraId="471FDF06" w14:textId="77777777" w:rsidR="00553430" w:rsidRDefault="00212577">
            <w:pPr>
              <w:pStyle w:val="P68B1DB1-Normal66"/>
              <w:spacing w:after="200" w:line="276" w:lineRule="auto"/>
              <w:jc w:val="center"/>
              <w:rPr>
                <w:noProof/>
              </w:rPr>
            </w:pPr>
            <w:r>
              <w:rPr>
                <w:noProof/>
              </w:rPr>
              <w:t>20</w:t>
            </w:r>
          </w:p>
        </w:tc>
        <w:tc>
          <w:tcPr>
            <w:tcW w:w="893" w:type="dxa"/>
            <w:shd w:val="clear" w:color="auto" w:fill="C6EFCE"/>
            <w:noWrap/>
          </w:tcPr>
          <w:p w14:paraId="2CBBBFF3" w14:textId="77777777" w:rsidR="00553430" w:rsidRDefault="00212577">
            <w:pPr>
              <w:pStyle w:val="P68B1DB1-Normal66"/>
              <w:spacing w:after="200" w:line="276" w:lineRule="auto"/>
              <w:jc w:val="center"/>
              <w:rPr>
                <w:noProof/>
              </w:rPr>
            </w:pPr>
            <w:r>
              <w:rPr>
                <w:noProof/>
              </w:rPr>
              <w:t>T2</w:t>
            </w:r>
          </w:p>
        </w:tc>
        <w:tc>
          <w:tcPr>
            <w:tcW w:w="859" w:type="dxa"/>
            <w:shd w:val="clear" w:color="auto" w:fill="C6EFCE"/>
            <w:noWrap/>
          </w:tcPr>
          <w:p w14:paraId="39BF8DCB" w14:textId="77777777" w:rsidR="00553430" w:rsidRDefault="00212577">
            <w:pPr>
              <w:pStyle w:val="P68B1DB1-Normal66"/>
              <w:spacing w:after="200" w:line="276" w:lineRule="auto"/>
              <w:jc w:val="center"/>
              <w:rPr>
                <w:noProof/>
              </w:rPr>
            </w:pPr>
            <w:r>
              <w:rPr>
                <w:noProof/>
              </w:rPr>
              <w:t>2024</w:t>
            </w:r>
          </w:p>
        </w:tc>
        <w:tc>
          <w:tcPr>
            <w:tcW w:w="4013" w:type="dxa"/>
            <w:shd w:val="clear" w:color="auto" w:fill="C6EFCE"/>
            <w:noWrap/>
          </w:tcPr>
          <w:p w14:paraId="04AF6749" w14:textId="35B400A9" w:rsidR="00553430" w:rsidRDefault="00212577">
            <w:pPr>
              <w:pStyle w:val="P68B1DB1-Normal66"/>
              <w:spacing w:after="200" w:line="276" w:lineRule="auto"/>
              <w:rPr>
                <w:noProof/>
              </w:rPr>
            </w:pPr>
            <w:r>
              <w:rPr>
                <w:noProof/>
              </w:rPr>
              <w:t xml:space="preserve">La rénovation de 20 bâtiments </w:t>
            </w:r>
            <w:r>
              <w:rPr>
                <w:noProof/>
              </w:rPr>
              <w:t>judiciaires sera achevée. Les bâtiments récemment rénovés doivent satisfaire aux normes en matière d’utilisation rationnelle de l’énergie et de protection thermique. L’investissement concerne, en moyenne, au moins une rénovation de moyenne profondeur telle</w:t>
            </w:r>
            <w:r>
              <w:rPr>
                <w:noProof/>
              </w:rPr>
              <w:t xml:space="preserve"> que définie dans la recommandation de la Commission sur la rénovation des bâtiments (UE) 2019/786, ce qui permet de parvenir à une réduction d’au moins 30 % de la demande d’énergie primaire; ou réalise, en moyenne, une réduction d’au moins 30 % des émissi</w:t>
            </w:r>
            <w:r>
              <w:rPr>
                <w:noProof/>
              </w:rPr>
              <w:t>ons directes et indirectes de gaz à effet de serre par rapport aux émissions ex ante. En outre, l’accès aux bâtiments doit être adapté aux personnes handicapées et cette adaptation doit s’accompagner du respect des normes de protection incendie et techniqu</w:t>
            </w:r>
            <w:r>
              <w:rPr>
                <w:noProof/>
              </w:rPr>
              <w:t xml:space="preserve">e et de la conception fonctionnelle des intérieurs. Dans le cadre de ce cycle d’investissement, la priorité est accordée à la localisation des autorités judiciaires dans les régions économiquement moins développées de Croatie. </w:t>
            </w:r>
          </w:p>
        </w:tc>
      </w:tr>
      <w:tr w:rsidR="00553430" w14:paraId="07F80B61" w14:textId="77777777" w:rsidTr="009F2E71">
        <w:trPr>
          <w:trHeight w:val="283"/>
        </w:trPr>
        <w:tc>
          <w:tcPr>
            <w:tcW w:w="810" w:type="dxa"/>
            <w:shd w:val="clear" w:color="auto" w:fill="C6EFCE"/>
            <w:noWrap/>
          </w:tcPr>
          <w:p w14:paraId="7C730AA6" w14:textId="77777777" w:rsidR="00553430" w:rsidRDefault="00212577">
            <w:pPr>
              <w:pStyle w:val="P68B1DB1-Normal66"/>
              <w:spacing w:after="200" w:line="276" w:lineRule="auto"/>
              <w:jc w:val="center"/>
              <w:rPr>
                <w:noProof/>
              </w:rPr>
            </w:pPr>
            <w:r>
              <w:rPr>
                <w:noProof/>
              </w:rPr>
              <w:t>229</w:t>
            </w:r>
          </w:p>
        </w:tc>
        <w:tc>
          <w:tcPr>
            <w:tcW w:w="1284" w:type="dxa"/>
            <w:shd w:val="clear" w:color="auto" w:fill="C6EFCE"/>
            <w:noWrap/>
          </w:tcPr>
          <w:p w14:paraId="646C7578" w14:textId="77777777" w:rsidR="00553430" w:rsidRDefault="00212577">
            <w:pPr>
              <w:pStyle w:val="P68B1DB1-Normal66"/>
              <w:spacing w:after="200" w:line="276" w:lineRule="auto"/>
              <w:jc w:val="center"/>
              <w:rPr>
                <w:noProof/>
              </w:rPr>
            </w:pPr>
            <w:r>
              <w:rPr>
                <w:noProof/>
              </w:rPr>
              <w:t>C2.5. R1-I6</w:t>
            </w:r>
          </w:p>
        </w:tc>
        <w:tc>
          <w:tcPr>
            <w:tcW w:w="1134" w:type="dxa"/>
            <w:shd w:val="clear" w:color="auto" w:fill="C6EFCE"/>
            <w:noWrap/>
          </w:tcPr>
          <w:p w14:paraId="2FE35D7A" w14:textId="77777777" w:rsidR="00553430" w:rsidRDefault="00212577">
            <w:pPr>
              <w:pStyle w:val="P68B1DB1-Normal66"/>
              <w:spacing w:after="200" w:line="276" w:lineRule="auto"/>
              <w:jc w:val="center"/>
              <w:rPr>
                <w:noProof/>
              </w:rPr>
            </w:pPr>
            <w:r>
              <w:rPr>
                <w:noProof/>
              </w:rPr>
              <w:t>M</w:t>
            </w:r>
          </w:p>
        </w:tc>
        <w:tc>
          <w:tcPr>
            <w:tcW w:w="1842" w:type="dxa"/>
            <w:shd w:val="clear" w:color="auto" w:fill="C6EFCE"/>
            <w:noWrap/>
          </w:tcPr>
          <w:p w14:paraId="4085E5D7" w14:textId="77777777" w:rsidR="00553430" w:rsidRDefault="00212577">
            <w:pPr>
              <w:pStyle w:val="P68B1DB1-Normal66"/>
              <w:spacing w:after="200" w:line="276" w:lineRule="auto"/>
              <w:rPr>
                <w:noProof/>
              </w:rPr>
            </w:pPr>
            <w:r>
              <w:rPr>
                <w:noProof/>
              </w:rPr>
              <w:t xml:space="preserve">Tous les </w:t>
            </w:r>
            <w:r>
              <w:rPr>
                <w:noProof/>
              </w:rPr>
              <w:t>tribunaux de première instance sont équipés et remplissent les conditions pour être entendus à distance.</w:t>
            </w:r>
          </w:p>
        </w:tc>
        <w:tc>
          <w:tcPr>
            <w:tcW w:w="2268" w:type="dxa"/>
            <w:shd w:val="clear" w:color="auto" w:fill="C6EFCE"/>
            <w:noWrap/>
          </w:tcPr>
          <w:p w14:paraId="6BCF3EBF" w14:textId="77777777" w:rsidR="00553430" w:rsidRDefault="00212577">
            <w:pPr>
              <w:pStyle w:val="P68B1DB1-Normal66"/>
              <w:spacing w:after="200" w:line="276" w:lineRule="auto"/>
              <w:rPr>
                <w:noProof/>
              </w:rPr>
            </w:pPr>
            <w:r>
              <w:rPr>
                <w:noProof/>
              </w:rPr>
              <w:t>Tenir des audiences à distance devant toutes les juridictions de première instance</w:t>
            </w:r>
          </w:p>
        </w:tc>
        <w:tc>
          <w:tcPr>
            <w:tcW w:w="1167" w:type="dxa"/>
            <w:shd w:val="clear" w:color="auto" w:fill="C6EFCE"/>
            <w:noWrap/>
          </w:tcPr>
          <w:p w14:paraId="08A716D5" w14:textId="77777777" w:rsidR="00553430" w:rsidRDefault="00212577">
            <w:pPr>
              <w:pStyle w:val="P68B1DB1-Normal66"/>
              <w:spacing w:after="200" w:line="276" w:lineRule="auto"/>
              <w:jc w:val="center"/>
              <w:rPr>
                <w:noProof/>
              </w:rPr>
            </w:pPr>
            <w:r>
              <w:rPr>
                <w:noProof/>
              </w:rPr>
              <w:t> </w:t>
            </w:r>
          </w:p>
        </w:tc>
        <w:tc>
          <w:tcPr>
            <w:tcW w:w="1134" w:type="dxa"/>
            <w:shd w:val="clear" w:color="auto" w:fill="C6EFCE"/>
            <w:noWrap/>
          </w:tcPr>
          <w:p w14:paraId="0D239D28" w14:textId="77777777" w:rsidR="00553430" w:rsidRDefault="00212577">
            <w:pPr>
              <w:pStyle w:val="P68B1DB1-Normal66"/>
              <w:spacing w:after="200" w:line="276" w:lineRule="auto"/>
              <w:jc w:val="center"/>
              <w:rPr>
                <w:noProof/>
              </w:rPr>
            </w:pPr>
            <w:r>
              <w:rPr>
                <w:noProof/>
              </w:rPr>
              <w:t> </w:t>
            </w:r>
          </w:p>
        </w:tc>
        <w:tc>
          <w:tcPr>
            <w:tcW w:w="756" w:type="dxa"/>
            <w:shd w:val="clear" w:color="auto" w:fill="C6EFCE"/>
            <w:noWrap/>
          </w:tcPr>
          <w:p w14:paraId="2A50CEB7" w14:textId="77777777" w:rsidR="00553430" w:rsidRDefault="00212577">
            <w:pPr>
              <w:pStyle w:val="P68B1DB1-Normal66"/>
              <w:spacing w:after="200" w:line="276" w:lineRule="auto"/>
              <w:jc w:val="center"/>
              <w:rPr>
                <w:noProof/>
              </w:rPr>
            </w:pPr>
            <w:r>
              <w:rPr>
                <w:noProof/>
              </w:rPr>
              <w:t> </w:t>
            </w:r>
          </w:p>
        </w:tc>
        <w:tc>
          <w:tcPr>
            <w:tcW w:w="893" w:type="dxa"/>
            <w:shd w:val="clear" w:color="auto" w:fill="C6EFCE"/>
            <w:noWrap/>
          </w:tcPr>
          <w:p w14:paraId="79170B62" w14:textId="77777777" w:rsidR="00553430" w:rsidRDefault="00212577">
            <w:pPr>
              <w:pStyle w:val="P68B1DB1-Normal66"/>
              <w:spacing w:after="200" w:line="276" w:lineRule="auto"/>
              <w:jc w:val="center"/>
              <w:rPr>
                <w:noProof/>
              </w:rPr>
            </w:pPr>
            <w:r>
              <w:rPr>
                <w:noProof/>
              </w:rPr>
              <w:t>T4</w:t>
            </w:r>
          </w:p>
        </w:tc>
        <w:tc>
          <w:tcPr>
            <w:tcW w:w="859" w:type="dxa"/>
            <w:shd w:val="clear" w:color="auto" w:fill="C6EFCE"/>
            <w:noWrap/>
          </w:tcPr>
          <w:p w14:paraId="041CA4B1" w14:textId="77777777" w:rsidR="00553430" w:rsidRDefault="00212577">
            <w:pPr>
              <w:pStyle w:val="P68B1DB1-Normal66"/>
              <w:spacing w:after="200" w:line="276" w:lineRule="auto"/>
              <w:jc w:val="center"/>
              <w:rPr>
                <w:noProof/>
              </w:rPr>
            </w:pPr>
            <w:r>
              <w:rPr>
                <w:noProof/>
              </w:rPr>
              <w:t>2022</w:t>
            </w:r>
          </w:p>
        </w:tc>
        <w:tc>
          <w:tcPr>
            <w:tcW w:w="4013" w:type="dxa"/>
            <w:shd w:val="clear" w:color="auto" w:fill="C6EFCE"/>
            <w:noWrap/>
          </w:tcPr>
          <w:p w14:paraId="59E6D7F7" w14:textId="77777777" w:rsidR="00553430" w:rsidRDefault="00212577">
            <w:pPr>
              <w:pStyle w:val="P68B1DB1-Normal66"/>
              <w:spacing w:after="200" w:line="276" w:lineRule="auto"/>
              <w:rPr>
                <w:noProof/>
              </w:rPr>
            </w:pPr>
            <w:r>
              <w:rPr>
                <w:noProof/>
              </w:rPr>
              <w:t>Les conditions préalables prévues pour les audiences à</w:t>
            </w:r>
            <w:r>
              <w:rPr>
                <w:noProof/>
              </w:rPr>
              <w:t xml:space="preserve"> distance devant toutes les juridictions de première instance sont opérationnelles.</w:t>
            </w:r>
          </w:p>
        </w:tc>
      </w:tr>
      <w:tr w:rsidR="00553430" w14:paraId="29CE7982" w14:textId="77777777" w:rsidTr="009F2E71">
        <w:trPr>
          <w:trHeight w:val="283"/>
        </w:trPr>
        <w:tc>
          <w:tcPr>
            <w:tcW w:w="810" w:type="dxa"/>
            <w:shd w:val="clear" w:color="auto" w:fill="C6EFCE"/>
            <w:noWrap/>
          </w:tcPr>
          <w:p w14:paraId="51D94A40" w14:textId="77777777" w:rsidR="00553430" w:rsidRDefault="00212577">
            <w:pPr>
              <w:pStyle w:val="P68B1DB1-Normal66"/>
              <w:spacing w:after="200" w:line="276" w:lineRule="auto"/>
              <w:jc w:val="center"/>
              <w:rPr>
                <w:noProof/>
              </w:rPr>
            </w:pPr>
            <w:r>
              <w:rPr>
                <w:noProof/>
              </w:rPr>
              <w:t>230</w:t>
            </w:r>
          </w:p>
        </w:tc>
        <w:tc>
          <w:tcPr>
            <w:tcW w:w="1284" w:type="dxa"/>
            <w:shd w:val="clear" w:color="auto" w:fill="C6EFCE"/>
            <w:noWrap/>
          </w:tcPr>
          <w:p w14:paraId="18025411" w14:textId="77777777" w:rsidR="00553430" w:rsidRDefault="00212577">
            <w:pPr>
              <w:pStyle w:val="P68B1DB1-Normal66"/>
              <w:spacing w:after="200" w:line="276" w:lineRule="auto"/>
              <w:jc w:val="center"/>
              <w:rPr>
                <w:noProof/>
              </w:rPr>
            </w:pPr>
            <w:r>
              <w:rPr>
                <w:noProof/>
              </w:rPr>
              <w:t>C2.5. R1-I6</w:t>
            </w:r>
          </w:p>
        </w:tc>
        <w:tc>
          <w:tcPr>
            <w:tcW w:w="1134" w:type="dxa"/>
            <w:shd w:val="clear" w:color="auto" w:fill="C6EFCE"/>
            <w:noWrap/>
          </w:tcPr>
          <w:p w14:paraId="2C5FC959" w14:textId="77777777" w:rsidR="00553430" w:rsidRDefault="00212577">
            <w:pPr>
              <w:pStyle w:val="P68B1DB1-Normal66"/>
              <w:spacing w:after="200" w:line="276" w:lineRule="auto"/>
              <w:jc w:val="center"/>
              <w:rPr>
                <w:noProof/>
              </w:rPr>
            </w:pPr>
            <w:r>
              <w:rPr>
                <w:noProof/>
              </w:rPr>
              <w:t>M</w:t>
            </w:r>
          </w:p>
        </w:tc>
        <w:tc>
          <w:tcPr>
            <w:tcW w:w="1842" w:type="dxa"/>
            <w:shd w:val="clear" w:color="auto" w:fill="C6EFCE"/>
            <w:noWrap/>
          </w:tcPr>
          <w:p w14:paraId="71BC2582" w14:textId="52ED9207" w:rsidR="00553430" w:rsidRDefault="00212577">
            <w:pPr>
              <w:pStyle w:val="P68B1DB1-Normal66"/>
              <w:spacing w:after="200" w:line="276" w:lineRule="auto"/>
              <w:rPr>
                <w:noProof/>
              </w:rPr>
            </w:pPr>
            <w:r>
              <w:rPr>
                <w:noProof/>
              </w:rPr>
              <w:t xml:space="preserve">Mise à niveau de l'infrastructure des TIC dans les organes judiciaires </w:t>
            </w:r>
          </w:p>
        </w:tc>
        <w:tc>
          <w:tcPr>
            <w:tcW w:w="2268" w:type="dxa"/>
            <w:shd w:val="clear" w:color="auto" w:fill="C6EFCE"/>
            <w:noWrap/>
          </w:tcPr>
          <w:p w14:paraId="59F7E5AF" w14:textId="77777777" w:rsidR="00553430" w:rsidRDefault="00212577">
            <w:pPr>
              <w:pStyle w:val="P68B1DB1-Normal76"/>
              <w:spacing w:after="200" w:line="276" w:lineRule="auto"/>
              <w:rPr>
                <w:noProof/>
              </w:rPr>
            </w:pPr>
            <w:r>
              <w:rPr>
                <w:noProof/>
              </w:rPr>
              <w:t>Preuve/certificat de livraison d’équipements et d’infrastructures de réseau</w:t>
            </w:r>
          </w:p>
        </w:tc>
        <w:tc>
          <w:tcPr>
            <w:tcW w:w="1167" w:type="dxa"/>
            <w:shd w:val="clear" w:color="auto" w:fill="C6EFCE"/>
            <w:noWrap/>
          </w:tcPr>
          <w:p w14:paraId="1633555A" w14:textId="77777777" w:rsidR="00553430" w:rsidRDefault="00212577">
            <w:pPr>
              <w:pStyle w:val="P68B1DB1-Normal66"/>
              <w:spacing w:after="200" w:line="276" w:lineRule="auto"/>
              <w:jc w:val="center"/>
              <w:rPr>
                <w:noProof/>
              </w:rPr>
            </w:pPr>
            <w:r>
              <w:rPr>
                <w:noProof/>
              </w:rPr>
              <w:t> </w:t>
            </w:r>
          </w:p>
        </w:tc>
        <w:tc>
          <w:tcPr>
            <w:tcW w:w="1134" w:type="dxa"/>
            <w:shd w:val="clear" w:color="auto" w:fill="C6EFCE"/>
            <w:noWrap/>
          </w:tcPr>
          <w:p w14:paraId="4A5E0AF4" w14:textId="77777777" w:rsidR="00553430" w:rsidRDefault="00212577">
            <w:pPr>
              <w:pStyle w:val="P68B1DB1-Normal66"/>
              <w:spacing w:after="200" w:line="276" w:lineRule="auto"/>
              <w:jc w:val="center"/>
              <w:rPr>
                <w:noProof/>
              </w:rPr>
            </w:pPr>
            <w:r>
              <w:rPr>
                <w:noProof/>
              </w:rPr>
              <w:t> </w:t>
            </w:r>
          </w:p>
        </w:tc>
        <w:tc>
          <w:tcPr>
            <w:tcW w:w="756" w:type="dxa"/>
            <w:shd w:val="clear" w:color="auto" w:fill="C6EFCE"/>
            <w:noWrap/>
          </w:tcPr>
          <w:p w14:paraId="14D70165" w14:textId="77777777" w:rsidR="00553430" w:rsidRDefault="00212577">
            <w:pPr>
              <w:pStyle w:val="P68B1DB1-Normal66"/>
              <w:spacing w:after="200" w:line="276" w:lineRule="auto"/>
              <w:jc w:val="center"/>
              <w:rPr>
                <w:noProof/>
              </w:rPr>
            </w:pPr>
            <w:r>
              <w:rPr>
                <w:noProof/>
              </w:rPr>
              <w:t> </w:t>
            </w:r>
          </w:p>
        </w:tc>
        <w:tc>
          <w:tcPr>
            <w:tcW w:w="893" w:type="dxa"/>
            <w:shd w:val="clear" w:color="auto" w:fill="C6EFCE"/>
            <w:noWrap/>
          </w:tcPr>
          <w:p w14:paraId="175D2F80" w14:textId="77777777" w:rsidR="00553430" w:rsidRDefault="00212577">
            <w:pPr>
              <w:pStyle w:val="P68B1DB1-Normal66"/>
              <w:spacing w:after="200" w:line="276" w:lineRule="auto"/>
              <w:jc w:val="center"/>
              <w:rPr>
                <w:noProof/>
              </w:rPr>
            </w:pPr>
            <w:r>
              <w:rPr>
                <w:noProof/>
              </w:rPr>
              <w:t>T4</w:t>
            </w:r>
          </w:p>
        </w:tc>
        <w:tc>
          <w:tcPr>
            <w:tcW w:w="859" w:type="dxa"/>
            <w:shd w:val="clear" w:color="auto" w:fill="C6EFCE"/>
            <w:noWrap/>
          </w:tcPr>
          <w:p w14:paraId="6CF3F0A1" w14:textId="77777777" w:rsidR="00553430" w:rsidRDefault="00212577">
            <w:pPr>
              <w:pStyle w:val="P68B1DB1-Normal66"/>
              <w:spacing w:after="200" w:line="276" w:lineRule="auto"/>
              <w:jc w:val="center"/>
              <w:rPr>
                <w:noProof/>
              </w:rPr>
            </w:pPr>
            <w:r>
              <w:rPr>
                <w:noProof/>
              </w:rPr>
              <w:t>2025</w:t>
            </w:r>
          </w:p>
        </w:tc>
        <w:tc>
          <w:tcPr>
            <w:tcW w:w="4013" w:type="dxa"/>
            <w:shd w:val="clear" w:color="auto" w:fill="C6EFCE"/>
            <w:noWrap/>
          </w:tcPr>
          <w:p w14:paraId="656333FE" w14:textId="77777777" w:rsidR="00553430" w:rsidRDefault="00212577">
            <w:pPr>
              <w:pStyle w:val="P68B1DB1-Normal70"/>
              <w:spacing w:after="200" w:line="276" w:lineRule="auto"/>
              <w:rPr>
                <w:noProof/>
              </w:rPr>
            </w:pPr>
            <w:r>
              <w:rPr>
                <w:noProof/>
              </w:rPr>
              <w:t>Une preuve/un certificat de fourniture d’équipements</w:t>
            </w:r>
            <w:r>
              <w:rPr>
                <w:noProof/>
                <w:color w:val="000000" w:themeColor="text1"/>
              </w:rPr>
              <w:t xml:space="preserve"> de réseau et d’infrastructures de réseau modernisées doit être fourni.</w:t>
            </w:r>
          </w:p>
        </w:tc>
      </w:tr>
    </w:tbl>
    <w:p w14:paraId="711828B8" w14:textId="77777777" w:rsidR="00553430" w:rsidRDefault="00553430">
      <w:pPr>
        <w:spacing w:line="240" w:lineRule="auto"/>
        <w:jc w:val="both"/>
        <w:rPr>
          <w:rFonts w:eastAsia="Calibri"/>
          <w:noProof/>
        </w:rPr>
      </w:pPr>
    </w:p>
    <w:p w14:paraId="46DF1966" w14:textId="77777777" w:rsidR="00553430" w:rsidRDefault="00553430">
      <w:pPr>
        <w:rPr>
          <w:rFonts w:eastAsia="Calibri"/>
          <w:noProof/>
        </w:rPr>
        <w:sectPr w:rsidR="00553430" w:rsidSect="00FA29B2">
          <w:headerReference w:type="even" r:id="rId213"/>
          <w:headerReference w:type="default" r:id="rId214"/>
          <w:footerReference w:type="even" r:id="rId215"/>
          <w:footerReference w:type="default" r:id="rId216"/>
          <w:headerReference w:type="first" r:id="rId217"/>
          <w:footerReference w:type="first" r:id="rId218"/>
          <w:pgSz w:w="16839" w:h="11907" w:orient="landscape"/>
          <w:pgMar w:top="1134" w:right="1134" w:bottom="1134" w:left="1134" w:header="567" w:footer="567" w:gutter="0"/>
          <w:cols w:space="708"/>
          <w:docGrid w:linePitch="360"/>
        </w:sectPr>
      </w:pPr>
    </w:p>
    <w:p w14:paraId="77DE2FF3" w14:textId="77777777" w:rsidR="00553430" w:rsidRDefault="00212577">
      <w:pPr>
        <w:pStyle w:val="P68B1DB1-Normal80"/>
        <w:outlineLvl w:val="1"/>
        <w:rPr>
          <w:rFonts w:ascii="Times New Roman" w:eastAsia="SimSun" w:hAnsi="Times New Roman" w:cs="Times New Roman"/>
          <w:b/>
          <w:bCs/>
          <w:noProof/>
        </w:rPr>
      </w:pPr>
      <w:r>
        <w:rPr>
          <w:rFonts w:ascii="Times New Roman" w:eastAsia="SimSun" w:hAnsi="Times New Roman" w:cs="Times New Roman"/>
          <w:b/>
          <w:noProof/>
        </w:rPr>
        <w:t xml:space="preserve">K.3. </w:t>
      </w:r>
      <w:r>
        <w:rPr>
          <w:rFonts w:ascii="Times New Roman" w:hAnsi="Times New Roman" w:cs="Times New Roman"/>
          <w:noProof/>
        </w:rPr>
        <w:t xml:space="preserve"> </w:t>
      </w:r>
      <w:r>
        <w:rPr>
          <w:rFonts w:ascii="Times New Roman" w:eastAsia="SimSun" w:hAnsi="Times New Roman" w:cs="Times New Roman"/>
          <w:b/>
          <w:noProof/>
        </w:rPr>
        <w:t xml:space="preserve">Description des réformes et des investissements </w:t>
      </w:r>
      <w:r>
        <w:rPr>
          <w:rFonts w:ascii="Times New Roman" w:eastAsia="SimSun" w:hAnsi="Times New Roman" w:cs="Times New Roman"/>
          <w:b/>
          <w:noProof/>
        </w:rPr>
        <w:t>pour le prêt</w:t>
      </w:r>
    </w:p>
    <w:p w14:paraId="21E26B93" w14:textId="77777777" w:rsidR="00553430" w:rsidRDefault="00212577">
      <w:pPr>
        <w:pStyle w:val="P68B1DB1-Normal42"/>
        <w:spacing w:line="240" w:lineRule="auto"/>
        <w:jc w:val="both"/>
        <w:rPr>
          <w:noProof/>
        </w:rPr>
      </w:pPr>
      <w:r>
        <w:rPr>
          <w:noProof/>
        </w:rPr>
        <w:t xml:space="preserve">Investissement C2.5 R1-I7 - Mise en œuvre du projet de place de la justice à Zagreb </w:t>
      </w:r>
    </w:p>
    <w:p w14:paraId="0645A845" w14:textId="77777777" w:rsidR="00553430" w:rsidRDefault="00212577">
      <w:pPr>
        <w:pStyle w:val="P68B1DB1-Normal33"/>
        <w:spacing w:line="240" w:lineRule="auto"/>
        <w:jc w:val="both"/>
        <w:rPr>
          <w:noProof/>
        </w:rPr>
      </w:pPr>
      <w:r>
        <w:rPr>
          <w:noProof/>
        </w:rPr>
        <w:t xml:space="preserve">L'objectif de l'investissement est de moderniser l'infrastructure physique en mettant en œuvre le projet Justice Square. </w:t>
      </w:r>
    </w:p>
    <w:p w14:paraId="39550595" w14:textId="77777777" w:rsidR="00553430" w:rsidRDefault="00212577">
      <w:pPr>
        <w:pStyle w:val="P68B1DB1-Normal33"/>
        <w:spacing w:line="240" w:lineRule="auto"/>
        <w:jc w:val="both"/>
        <w:rPr>
          <w:noProof/>
        </w:rPr>
      </w:pPr>
      <w:r>
        <w:rPr>
          <w:noProof/>
        </w:rPr>
        <w:t xml:space="preserve">L'investissement consiste en la construction d'un bâtiment de 26 000 m2. </w:t>
      </w:r>
    </w:p>
    <w:p w14:paraId="0DC3E68B" w14:textId="77777777" w:rsidR="00553430" w:rsidRDefault="00553430">
      <w:pPr>
        <w:spacing w:line="240" w:lineRule="auto"/>
        <w:jc w:val="both"/>
        <w:rPr>
          <w:rFonts w:ascii="Times New Roman" w:eastAsia="Calibri" w:hAnsi="Times New Roman" w:cs="Times New Roman"/>
          <w:noProof/>
          <w:sz w:val="24"/>
          <w:szCs w:val="24"/>
        </w:rPr>
        <w:sectPr w:rsidR="00553430" w:rsidSect="00FA29B2">
          <w:headerReference w:type="even" r:id="rId219"/>
          <w:headerReference w:type="default" r:id="rId220"/>
          <w:footerReference w:type="even" r:id="rId221"/>
          <w:footerReference w:type="default" r:id="rId222"/>
          <w:headerReference w:type="first" r:id="rId223"/>
          <w:footerReference w:type="first" r:id="rId224"/>
          <w:pgSz w:w="11907" w:h="16839"/>
          <w:pgMar w:top="1134" w:right="1134" w:bottom="1134" w:left="1134" w:header="567" w:footer="567" w:gutter="0"/>
          <w:cols w:space="708"/>
          <w:docGrid w:linePitch="360"/>
        </w:sectPr>
      </w:pPr>
    </w:p>
    <w:p w14:paraId="2F702BED" w14:textId="72AE4274" w:rsidR="00553430" w:rsidRDefault="00212577">
      <w:pPr>
        <w:pStyle w:val="paragraph"/>
        <w:spacing w:before="0" w:beforeAutospacing="0" w:after="0" w:afterAutospacing="0"/>
        <w:ind w:left="840"/>
        <w:jc w:val="both"/>
        <w:rPr>
          <w:rFonts w:ascii="Segoe UI" w:hAnsi="Segoe UI" w:cs="Segoe UI"/>
          <w:noProof/>
          <w:sz w:val="18"/>
          <w:szCs w:val="18"/>
        </w:rPr>
      </w:pPr>
      <w:r>
        <w:rPr>
          <w:rStyle w:val="normaltextrun"/>
          <w:b/>
          <w:noProof/>
        </w:rPr>
        <w:t xml:space="preserve">K.4. </w:t>
      </w:r>
      <w:r>
        <w:rPr>
          <w:noProof/>
        </w:rPr>
        <w:t xml:space="preserve"> </w:t>
      </w:r>
      <w:r>
        <w:rPr>
          <w:rStyle w:val="normaltextrun"/>
          <w:b/>
          <w:noProof/>
          <w:u w:val="single"/>
        </w:rPr>
        <w:t>Étapes, objectifs, indicateurs et calendrier du suivi et de la mise en œuvre du prêt</w:t>
      </w:r>
      <w:r>
        <w:rPr>
          <w:rStyle w:val="normaltextrun"/>
          <w:b/>
          <w:noProof/>
        </w:rPr>
        <w:t xml:space="preserve"> </w:t>
      </w:r>
    </w:p>
    <w:p w14:paraId="7D51FD3C" w14:textId="77777777" w:rsidR="00553430" w:rsidRDefault="00553430">
      <w:pPr>
        <w:pStyle w:val="paragraph"/>
        <w:spacing w:before="0" w:beforeAutospacing="0" w:after="0" w:afterAutospacing="0"/>
        <w:ind w:left="840"/>
        <w:jc w:val="both"/>
        <w:rPr>
          <w:rFonts w:ascii="Segoe UI" w:hAnsi="Segoe UI" w:cs="Segoe UI"/>
          <w:noProof/>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1566"/>
        <w:gridCol w:w="1243"/>
        <w:gridCol w:w="1582"/>
        <w:gridCol w:w="1872"/>
        <w:gridCol w:w="1012"/>
        <w:gridCol w:w="1024"/>
        <w:gridCol w:w="939"/>
        <w:gridCol w:w="1053"/>
        <w:gridCol w:w="826"/>
        <w:gridCol w:w="2695"/>
      </w:tblGrid>
      <w:tr w:rsidR="00553430" w14:paraId="3533E19D" w14:textId="77777777">
        <w:trPr>
          <w:trHeight w:val="300"/>
          <w:jc w:val="center"/>
        </w:trPr>
        <w:tc>
          <w:tcPr>
            <w:tcW w:w="978" w:type="dxa"/>
            <w:vMerge w:val="restart"/>
            <w:shd w:val="clear" w:color="auto" w:fill="BDD7EE"/>
            <w:vAlign w:val="center"/>
          </w:tcPr>
          <w:p w14:paraId="4D6CD457" w14:textId="77777777" w:rsidR="00553430" w:rsidRDefault="00212577">
            <w:pPr>
              <w:pStyle w:val="P68B1DB1-Normal76"/>
              <w:spacing w:after="0" w:line="240" w:lineRule="auto"/>
              <w:jc w:val="center"/>
              <w:rPr>
                <w:noProof/>
              </w:rPr>
            </w:pPr>
            <w:r>
              <w:rPr>
                <w:b/>
                <w:noProof/>
              </w:rPr>
              <w:t>Numéro</w:t>
            </w:r>
            <w:r>
              <w:rPr>
                <w:noProof/>
              </w:rPr>
              <w:t> </w:t>
            </w:r>
          </w:p>
        </w:tc>
        <w:tc>
          <w:tcPr>
            <w:tcW w:w="1403" w:type="dxa"/>
            <w:vMerge w:val="restart"/>
            <w:shd w:val="clear" w:color="auto" w:fill="BDD7EE"/>
            <w:vAlign w:val="center"/>
          </w:tcPr>
          <w:p w14:paraId="631AFD06" w14:textId="77777777" w:rsidR="00553430" w:rsidRDefault="00212577">
            <w:pPr>
              <w:pStyle w:val="P68B1DB1-Normal76"/>
              <w:spacing w:after="0" w:line="240" w:lineRule="auto"/>
              <w:jc w:val="center"/>
              <w:rPr>
                <w:noProof/>
              </w:rPr>
            </w:pPr>
            <w:r>
              <w:rPr>
                <w:b/>
                <w:noProof/>
              </w:rPr>
              <w:t xml:space="preserve">Mesure connexe </w:t>
            </w:r>
            <w:r>
              <w:rPr>
                <w:b/>
                <w:noProof/>
              </w:rPr>
              <w:t>(réforme ou investissement)</w:t>
            </w:r>
            <w:r>
              <w:rPr>
                <w:noProof/>
              </w:rPr>
              <w:t> </w:t>
            </w:r>
          </w:p>
        </w:tc>
        <w:tc>
          <w:tcPr>
            <w:tcW w:w="1250" w:type="dxa"/>
            <w:vMerge w:val="restart"/>
            <w:shd w:val="clear" w:color="auto" w:fill="BDD7EE"/>
            <w:vAlign w:val="center"/>
          </w:tcPr>
          <w:p w14:paraId="1D69ACD8" w14:textId="77777777" w:rsidR="00553430" w:rsidRDefault="00212577">
            <w:pPr>
              <w:pStyle w:val="P68B1DB1-Normal76"/>
              <w:spacing w:after="0" w:line="240" w:lineRule="auto"/>
              <w:jc w:val="center"/>
              <w:rPr>
                <w:noProof/>
              </w:rPr>
            </w:pPr>
            <w:r>
              <w:rPr>
                <w:b/>
                <w:noProof/>
              </w:rPr>
              <w:t>Étape/cible</w:t>
            </w:r>
            <w:r>
              <w:rPr>
                <w:noProof/>
              </w:rPr>
              <w:t> </w:t>
            </w:r>
          </w:p>
        </w:tc>
        <w:tc>
          <w:tcPr>
            <w:tcW w:w="1667" w:type="dxa"/>
            <w:vMerge w:val="restart"/>
            <w:shd w:val="clear" w:color="auto" w:fill="BDD7EE"/>
            <w:vAlign w:val="center"/>
          </w:tcPr>
          <w:p w14:paraId="7A188FE4" w14:textId="77777777" w:rsidR="00553430" w:rsidRDefault="00212577">
            <w:pPr>
              <w:pStyle w:val="P68B1DB1-Normal76"/>
              <w:spacing w:after="0" w:line="240" w:lineRule="auto"/>
              <w:jc w:val="center"/>
              <w:rPr>
                <w:noProof/>
              </w:rPr>
            </w:pPr>
            <w:r>
              <w:rPr>
                <w:b/>
                <w:noProof/>
              </w:rPr>
              <w:t>Nom</w:t>
            </w:r>
            <w:r>
              <w:rPr>
                <w:noProof/>
              </w:rPr>
              <w:t> </w:t>
            </w:r>
          </w:p>
        </w:tc>
        <w:tc>
          <w:tcPr>
            <w:tcW w:w="2080" w:type="dxa"/>
            <w:vMerge w:val="restart"/>
            <w:shd w:val="clear" w:color="auto" w:fill="BDD7EE"/>
            <w:vAlign w:val="center"/>
          </w:tcPr>
          <w:p w14:paraId="1B550B3A" w14:textId="67D0E6FD" w:rsidR="00553430" w:rsidRDefault="00212577">
            <w:pPr>
              <w:spacing w:after="0" w:line="240" w:lineRule="auto"/>
              <w:jc w:val="center"/>
              <w:rPr>
                <w:rFonts w:ascii="Times New Roman" w:eastAsia="Times New Roman" w:hAnsi="Times New Roman" w:cs="Times New Roman"/>
                <w:noProof/>
                <w:sz w:val="20"/>
                <w:szCs w:val="20"/>
              </w:rPr>
            </w:pPr>
            <w:r>
              <w:rPr>
                <w:rFonts w:ascii="Times New Roman" w:eastAsia="Times New Roman" w:hAnsi="Times New Roman" w:cs="Times New Roman"/>
                <w:b/>
                <w:noProof/>
                <w:sz w:val="20"/>
                <w:szCs w:val="20"/>
              </w:rPr>
              <w:t>Indicateurs qualitatifs</w:t>
            </w:r>
            <w:r>
              <w:rPr>
                <w:rFonts w:ascii="Times New Roman" w:hAnsi="Times New Roman" w:cs="Times New Roman"/>
                <w:noProof/>
              </w:rPr>
              <w:br/>
            </w:r>
            <w:r>
              <w:rPr>
                <w:rFonts w:ascii="Times New Roman" w:eastAsia="Times New Roman" w:hAnsi="Times New Roman" w:cs="Times New Roman"/>
                <w:b/>
                <w:noProof/>
                <w:sz w:val="20"/>
                <w:szCs w:val="20"/>
              </w:rPr>
              <w:t>(pour les jalons)</w:t>
            </w:r>
            <w:r>
              <w:rPr>
                <w:rFonts w:ascii="Times New Roman" w:eastAsia="Times New Roman" w:hAnsi="Times New Roman" w:cs="Times New Roman"/>
                <w:noProof/>
                <w:sz w:val="20"/>
                <w:szCs w:val="20"/>
              </w:rPr>
              <w:t> </w:t>
            </w:r>
          </w:p>
        </w:tc>
        <w:tc>
          <w:tcPr>
            <w:tcW w:w="3029" w:type="dxa"/>
            <w:gridSpan w:val="3"/>
            <w:shd w:val="clear" w:color="auto" w:fill="BDD7EE"/>
            <w:vAlign w:val="center"/>
          </w:tcPr>
          <w:p w14:paraId="289C6B0A" w14:textId="5FBA7DC0" w:rsidR="00553430" w:rsidRDefault="00212577">
            <w:pPr>
              <w:spacing w:after="0" w:line="240" w:lineRule="auto"/>
              <w:jc w:val="center"/>
              <w:rPr>
                <w:rFonts w:ascii="Times New Roman" w:eastAsia="Times New Roman" w:hAnsi="Times New Roman" w:cs="Times New Roman"/>
                <w:noProof/>
                <w:sz w:val="20"/>
                <w:szCs w:val="20"/>
              </w:rPr>
            </w:pPr>
            <w:r>
              <w:rPr>
                <w:rFonts w:ascii="Times New Roman" w:eastAsia="Times New Roman" w:hAnsi="Times New Roman" w:cs="Times New Roman"/>
                <w:b/>
                <w:noProof/>
                <w:sz w:val="20"/>
                <w:szCs w:val="20"/>
              </w:rPr>
              <w:t>Indicateurs quantitatifs</w:t>
            </w:r>
            <w:r>
              <w:rPr>
                <w:rFonts w:ascii="Times New Roman" w:hAnsi="Times New Roman" w:cs="Times New Roman"/>
                <w:noProof/>
              </w:rPr>
              <w:br/>
            </w:r>
            <w:r>
              <w:rPr>
                <w:rFonts w:ascii="Times New Roman" w:eastAsia="Times New Roman" w:hAnsi="Times New Roman" w:cs="Times New Roman"/>
                <w:b/>
                <w:noProof/>
                <w:sz w:val="20"/>
                <w:szCs w:val="20"/>
              </w:rPr>
              <w:t>(pour les objectifs)</w:t>
            </w:r>
            <w:r>
              <w:rPr>
                <w:rFonts w:ascii="Times New Roman" w:eastAsia="Times New Roman" w:hAnsi="Times New Roman" w:cs="Times New Roman"/>
                <w:noProof/>
                <w:sz w:val="20"/>
                <w:szCs w:val="20"/>
              </w:rPr>
              <w:t> </w:t>
            </w:r>
          </w:p>
        </w:tc>
        <w:tc>
          <w:tcPr>
            <w:tcW w:w="1387" w:type="dxa"/>
            <w:gridSpan w:val="2"/>
            <w:shd w:val="clear" w:color="auto" w:fill="BDD7EE"/>
            <w:vAlign w:val="center"/>
          </w:tcPr>
          <w:p w14:paraId="13C3369A" w14:textId="469080FA" w:rsidR="00553430" w:rsidRDefault="00212577">
            <w:pPr>
              <w:pStyle w:val="P68B1DB1-Normal58"/>
              <w:spacing w:after="0" w:line="240" w:lineRule="auto"/>
              <w:jc w:val="center"/>
              <w:rPr>
                <w:noProof/>
              </w:rPr>
            </w:pPr>
            <w:r>
              <w:rPr>
                <w:noProof/>
              </w:rPr>
              <w:t xml:space="preserve">Temps </w:t>
            </w:r>
          </w:p>
        </w:tc>
        <w:tc>
          <w:tcPr>
            <w:tcW w:w="3043" w:type="dxa"/>
            <w:vMerge w:val="restart"/>
            <w:shd w:val="clear" w:color="auto" w:fill="BDD7EE"/>
            <w:vAlign w:val="center"/>
          </w:tcPr>
          <w:p w14:paraId="43126EDD" w14:textId="77777777" w:rsidR="00553430" w:rsidRDefault="00212577">
            <w:pPr>
              <w:pStyle w:val="P68B1DB1-Normal76"/>
              <w:spacing w:after="0" w:line="240" w:lineRule="auto"/>
              <w:jc w:val="center"/>
              <w:rPr>
                <w:noProof/>
              </w:rPr>
            </w:pPr>
            <w:r>
              <w:rPr>
                <w:b/>
                <w:noProof/>
              </w:rPr>
              <w:t>Description de chaque jalon et cible</w:t>
            </w:r>
            <w:r>
              <w:rPr>
                <w:noProof/>
              </w:rPr>
              <w:t> </w:t>
            </w:r>
          </w:p>
        </w:tc>
      </w:tr>
      <w:tr w:rsidR="00553430" w14:paraId="0B936B19" w14:textId="77777777">
        <w:trPr>
          <w:trHeight w:val="300"/>
          <w:jc w:val="center"/>
        </w:trPr>
        <w:tc>
          <w:tcPr>
            <w:tcW w:w="978" w:type="dxa"/>
            <w:vMerge/>
          </w:tcPr>
          <w:p w14:paraId="226308E5" w14:textId="77777777" w:rsidR="00553430" w:rsidRDefault="00553430">
            <w:pPr>
              <w:rPr>
                <w:rFonts w:ascii="Times New Roman" w:hAnsi="Times New Roman" w:cs="Times New Roman"/>
                <w:noProof/>
              </w:rPr>
            </w:pPr>
          </w:p>
        </w:tc>
        <w:tc>
          <w:tcPr>
            <w:tcW w:w="1403" w:type="dxa"/>
            <w:vMerge/>
          </w:tcPr>
          <w:p w14:paraId="4C591042" w14:textId="77777777" w:rsidR="00553430" w:rsidRDefault="00553430">
            <w:pPr>
              <w:rPr>
                <w:rFonts w:ascii="Times New Roman" w:hAnsi="Times New Roman" w:cs="Times New Roman"/>
                <w:noProof/>
              </w:rPr>
            </w:pPr>
          </w:p>
        </w:tc>
        <w:tc>
          <w:tcPr>
            <w:tcW w:w="1250" w:type="dxa"/>
            <w:vMerge/>
          </w:tcPr>
          <w:p w14:paraId="0FD1905E" w14:textId="77777777" w:rsidR="00553430" w:rsidRDefault="00553430">
            <w:pPr>
              <w:rPr>
                <w:rFonts w:ascii="Times New Roman" w:hAnsi="Times New Roman" w:cs="Times New Roman"/>
                <w:noProof/>
              </w:rPr>
            </w:pPr>
          </w:p>
        </w:tc>
        <w:tc>
          <w:tcPr>
            <w:tcW w:w="1667" w:type="dxa"/>
            <w:vMerge/>
          </w:tcPr>
          <w:p w14:paraId="759C1833" w14:textId="77777777" w:rsidR="00553430" w:rsidRDefault="00553430">
            <w:pPr>
              <w:rPr>
                <w:rFonts w:ascii="Times New Roman" w:hAnsi="Times New Roman" w:cs="Times New Roman"/>
                <w:noProof/>
              </w:rPr>
            </w:pPr>
          </w:p>
        </w:tc>
        <w:tc>
          <w:tcPr>
            <w:tcW w:w="2080" w:type="dxa"/>
            <w:vMerge/>
          </w:tcPr>
          <w:p w14:paraId="00594342" w14:textId="77777777" w:rsidR="00553430" w:rsidRDefault="00553430">
            <w:pPr>
              <w:rPr>
                <w:rFonts w:ascii="Times New Roman" w:hAnsi="Times New Roman" w:cs="Times New Roman"/>
                <w:noProof/>
              </w:rPr>
            </w:pPr>
          </w:p>
        </w:tc>
        <w:tc>
          <w:tcPr>
            <w:tcW w:w="1055" w:type="dxa"/>
            <w:shd w:val="clear" w:color="auto" w:fill="BDD7EE"/>
            <w:vAlign w:val="center"/>
          </w:tcPr>
          <w:p w14:paraId="7B75EFA6" w14:textId="77777777" w:rsidR="00553430" w:rsidRDefault="00212577">
            <w:pPr>
              <w:pStyle w:val="P68B1DB1-Normal58"/>
              <w:spacing w:after="0" w:line="240" w:lineRule="auto"/>
              <w:jc w:val="center"/>
              <w:rPr>
                <w:noProof/>
              </w:rPr>
            </w:pPr>
            <w:r>
              <w:rPr>
                <w:noProof/>
              </w:rPr>
              <w:t xml:space="preserve">Unité </w:t>
            </w:r>
          </w:p>
        </w:tc>
        <w:tc>
          <w:tcPr>
            <w:tcW w:w="1028" w:type="dxa"/>
            <w:shd w:val="clear" w:color="auto" w:fill="BDD7EE"/>
            <w:vAlign w:val="center"/>
          </w:tcPr>
          <w:p w14:paraId="7677A7BE" w14:textId="0B52C8C9" w:rsidR="00553430" w:rsidRDefault="00212577">
            <w:pPr>
              <w:pStyle w:val="P68B1DB1-Normal58"/>
              <w:spacing w:after="0" w:line="240" w:lineRule="auto"/>
              <w:jc w:val="center"/>
              <w:rPr>
                <w:noProof/>
              </w:rPr>
            </w:pPr>
            <w:r>
              <w:rPr>
                <w:noProof/>
              </w:rPr>
              <w:t xml:space="preserve">Données de référence </w:t>
            </w:r>
          </w:p>
        </w:tc>
        <w:tc>
          <w:tcPr>
            <w:tcW w:w="946" w:type="dxa"/>
            <w:shd w:val="clear" w:color="auto" w:fill="BDD7EE"/>
            <w:vAlign w:val="center"/>
          </w:tcPr>
          <w:p w14:paraId="676B1696" w14:textId="0D421A2B" w:rsidR="00553430" w:rsidRDefault="00212577">
            <w:pPr>
              <w:pStyle w:val="P68B1DB1-Normal58"/>
              <w:spacing w:after="0" w:line="240" w:lineRule="auto"/>
              <w:jc w:val="center"/>
              <w:rPr>
                <w:noProof/>
              </w:rPr>
            </w:pPr>
            <w:r>
              <w:rPr>
                <w:noProof/>
              </w:rPr>
              <w:t xml:space="preserve">Objectif </w:t>
            </w:r>
          </w:p>
        </w:tc>
        <w:tc>
          <w:tcPr>
            <w:tcW w:w="556" w:type="dxa"/>
            <w:shd w:val="clear" w:color="auto" w:fill="BDD7EE"/>
            <w:vAlign w:val="center"/>
          </w:tcPr>
          <w:p w14:paraId="124E6E5C" w14:textId="77777777" w:rsidR="00553430" w:rsidRDefault="00212577">
            <w:pPr>
              <w:pStyle w:val="P68B1DB1-Normal58"/>
              <w:spacing w:after="0" w:line="240" w:lineRule="auto"/>
              <w:jc w:val="center"/>
              <w:rPr>
                <w:noProof/>
              </w:rPr>
            </w:pPr>
            <w:r>
              <w:rPr>
                <w:noProof/>
              </w:rPr>
              <w:t>Trimestre</w:t>
            </w:r>
          </w:p>
        </w:tc>
        <w:tc>
          <w:tcPr>
            <w:tcW w:w="831" w:type="dxa"/>
            <w:shd w:val="clear" w:color="auto" w:fill="BDD7EE"/>
            <w:vAlign w:val="center"/>
          </w:tcPr>
          <w:p w14:paraId="65EC682E" w14:textId="77777777" w:rsidR="00553430" w:rsidRDefault="00212577">
            <w:pPr>
              <w:pStyle w:val="P68B1DB1-Normal76"/>
              <w:spacing w:after="0" w:line="240" w:lineRule="auto"/>
              <w:jc w:val="center"/>
              <w:rPr>
                <w:noProof/>
              </w:rPr>
            </w:pPr>
            <w:r>
              <w:rPr>
                <w:b/>
                <w:noProof/>
              </w:rPr>
              <w:t>Année</w:t>
            </w:r>
            <w:r>
              <w:rPr>
                <w:noProof/>
              </w:rPr>
              <w:t> </w:t>
            </w:r>
          </w:p>
        </w:tc>
        <w:tc>
          <w:tcPr>
            <w:tcW w:w="3043" w:type="dxa"/>
            <w:vMerge/>
          </w:tcPr>
          <w:p w14:paraId="3965A5B9" w14:textId="77777777" w:rsidR="00553430" w:rsidRDefault="00553430">
            <w:pPr>
              <w:rPr>
                <w:rFonts w:ascii="Times New Roman" w:hAnsi="Times New Roman" w:cs="Times New Roman"/>
                <w:noProof/>
              </w:rPr>
            </w:pPr>
          </w:p>
        </w:tc>
      </w:tr>
      <w:tr w:rsidR="00553430" w14:paraId="493C3C53" w14:textId="77777777">
        <w:trPr>
          <w:trHeight w:val="300"/>
          <w:jc w:val="center"/>
        </w:trPr>
        <w:tc>
          <w:tcPr>
            <w:tcW w:w="978" w:type="dxa"/>
            <w:shd w:val="clear" w:color="auto" w:fill="C6EFCE"/>
          </w:tcPr>
          <w:p w14:paraId="31805D19" w14:textId="77777777" w:rsidR="00553430" w:rsidRDefault="00212577">
            <w:pPr>
              <w:pStyle w:val="P68B1DB1-Normal123"/>
              <w:spacing w:after="0" w:line="240" w:lineRule="auto"/>
              <w:jc w:val="center"/>
              <w:rPr>
                <w:rFonts w:eastAsia="Calibri"/>
                <w:noProof/>
              </w:rPr>
            </w:pPr>
            <w:r>
              <w:rPr>
                <w:noProof/>
              </w:rPr>
              <w:t>443</w:t>
            </w:r>
          </w:p>
        </w:tc>
        <w:tc>
          <w:tcPr>
            <w:tcW w:w="1403" w:type="dxa"/>
            <w:shd w:val="clear" w:color="auto" w:fill="C6EFCE"/>
          </w:tcPr>
          <w:p w14:paraId="248058B5" w14:textId="77777777" w:rsidR="00553430" w:rsidRDefault="00212577">
            <w:pPr>
              <w:pStyle w:val="P68B1DB1-Normal66"/>
              <w:spacing w:after="0" w:line="240" w:lineRule="auto"/>
              <w:jc w:val="center"/>
              <w:rPr>
                <w:noProof/>
                <w:color w:val="000000" w:themeColor="text1"/>
              </w:rPr>
            </w:pPr>
            <w:r>
              <w:rPr>
                <w:noProof/>
              </w:rPr>
              <w:t xml:space="preserve">C2.5. </w:t>
            </w:r>
            <w:r>
              <w:rPr>
                <w:noProof/>
              </w:rPr>
              <w:t>R1-I7</w:t>
            </w:r>
          </w:p>
        </w:tc>
        <w:tc>
          <w:tcPr>
            <w:tcW w:w="1250" w:type="dxa"/>
            <w:shd w:val="clear" w:color="auto" w:fill="C6EFCE"/>
          </w:tcPr>
          <w:p w14:paraId="6AD7DC50" w14:textId="77777777" w:rsidR="00553430" w:rsidRDefault="00212577">
            <w:pPr>
              <w:pStyle w:val="P68B1DB1-Normal123"/>
              <w:spacing w:after="0" w:line="240" w:lineRule="auto"/>
              <w:jc w:val="center"/>
              <w:rPr>
                <w:rFonts w:eastAsia="Calibri"/>
                <w:noProof/>
              </w:rPr>
            </w:pPr>
            <w:r>
              <w:rPr>
                <w:noProof/>
              </w:rPr>
              <w:t>T</w:t>
            </w:r>
          </w:p>
        </w:tc>
        <w:tc>
          <w:tcPr>
            <w:tcW w:w="1667" w:type="dxa"/>
            <w:shd w:val="clear" w:color="auto" w:fill="C6EFCE"/>
          </w:tcPr>
          <w:p w14:paraId="762BCA9E" w14:textId="641A2891" w:rsidR="00553430" w:rsidRDefault="00212577">
            <w:pPr>
              <w:pStyle w:val="P68B1DB1-Normal123"/>
              <w:spacing w:after="0" w:line="240" w:lineRule="auto"/>
              <w:rPr>
                <w:rFonts w:eastAsia="Calibri"/>
                <w:noProof/>
              </w:rPr>
            </w:pPr>
            <w:r>
              <w:rPr>
                <w:noProof/>
              </w:rPr>
              <w:t xml:space="preserve">Bâtiment nouvellement construit sur la place de la Justice à Zagreb </w:t>
            </w:r>
          </w:p>
        </w:tc>
        <w:tc>
          <w:tcPr>
            <w:tcW w:w="2080" w:type="dxa"/>
            <w:shd w:val="clear" w:color="auto" w:fill="C6EFCE"/>
          </w:tcPr>
          <w:p w14:paraId="0908FC6C" w14:textId="77777777" w:rsidR="00553430" w:rsidRDefault="00553430">
            <w:pPr>
              <w:spacing w:after="0" w:line="240" w:lineRule="auto"/>
              <w:rPr>
                <w:rFonts w:ascii="Times New Roman" w:eastAsia="Calibri" w:hAnsi="Times New Roman" w:cs="Times New Roman"/>
                <w:noProof/>
                <w:color w:val="000000" w:themeColor="text1"/>
                <w:sz w:val="20"/>
                <w:szCs w:val="20"/>
              </w:rPr>
            </w:pPr>
          </w:p>
        </w:tc>
        <w:tc>
          <w:tcPr>
            <w:tcW w:w="1055" w:type="dxa"/>
            <w:shd w:val="clear" w:color="auto" w:fill="C6EFCE"/>
          </w:tcPr>
          <w:p w14:paraId="38C879CD" w14:textId="77777777" w:rsidR="00553430" w:rsidRDefault="00212577">
            <w:pPr>
              <w:pStyle w:val="P68B1DB1-Normal123"/>
              <w:spacing w:after="0" w:line="240" w:lineRule="auto"/>
              <w:jc w:val="center"/>
              <w:rPr>
                <w:rFonts w:eastAsia="Calibri"/>
                <w:noProof/>
              </w:rPr>
            </w:pPr>
            <w:r>
              <w:rPr>
                <w:noProof/>
              </w:rPr>
              <w:t>Numéro (brutto m2)</w:t>
            </w:r>
          </w:p>
        </w:tc>
        <w:tc>
          <w:tcPr>
            <w:tcW w:w="1028" w:type="dxa"/>
            <w:shd w:val="clear" w:color="auto" w:fill="C6EFCE"/>
          </w:tcPr>
          <w:p w14:paraId="7DF57AA5" w14:textId="77777777" w:rsidR="00553430" w:rsidRDefault="00212577">
            <w:pPr>
              <w:pStyle w:val="P68B1DB1-Normal123"/>
              <w:spacing w:after="0" w:line="240" w:lineRule="auto"/>
              <w:jc w:val="center"/>
              <w:rPr>
                <w:rFonts w:eastAsia="Calibri"/>
                <w:noProof/>
              </w:rPr>
            </w:pPr>
            <w:r>
              <w:rPr>
                <w:noProof/>
              </w:rPr>
              <w:t>0</w:t>
            </w:r>
          </w:p>
        </w:tc>
        <w:tc>
          <w:tcPr>
            <w:tcW w:w="946" w:type="dxa"/>
            <w:shd w:val="clear" w:color="auto" w:fill="C6EFCE"/>
          </w:tcPr>
          <w:p w14:paraId="4D6F0F97" w14:textId="77777777" w:rsidR="00553430" w:rsidRDefault="00212577">
            <w:pPr>
              <w:pStyle w:val="P68B1DB1-Normal123"/>
              <w:spacing w:after="0" w:line="240" w:lineRule="auto"/>
              <w:jc w:val="center"/>
              <w:rPr>
                <w:rFonts w:eastAsia="Calibri"/>
                <w:noProof/>
              </w:rPr>
            </w:pPr>
            <w:r>
              <w:rPr>
                <w:noProof/>
              </w:rPr>
              <w:t>26 000</w:t>
            </w:r>
          </w:p>
        </w:tc>
        <w:tc>
          <w:tcPr>
            <w:tcW w:w="556" w:type="dxa"/>
            <w:shd w:val="clear" w:color="auto" w:fill="C6EFCE"/>
          </w:tcPr>
          <w:p w14:paraId="38B5F33D" w14:textId="77777777" w:rsidR="00553430" w:rsidRDefault="00212577">
            <w:pPr>
              <w:pStyle w:val="P68B1DB1-Normal123"/>
              <w:spacing w:after="0" w:line="240" w:lineRule="auto"/>
              <w:jc w:val="center"/>
              <w:rPr>
                <w:rFonts w:eastAsia="Calibri"/>
                <w:noProof/>
              </w:rPr>
            </w:pPr>
            <w:r>
              <w:rPr>
                <w:noProof/>
              </w:rPr>
              <w:t>T2</w:t>
            </w:r>
          </w:p>
        </w:tc>
        <w:tc>
          <w:tcPr>
            <w:tcW w:w="831" w:type="dxa"/>
            <w:shd w:val="clear" w:color="auto" w:fill="C6EFCE"/>
          </w:tcPr>
          <w:p w14:paraId="37414DC4" w14:textId="77777777" w:rsidR="00553430" w:rsidRDefault="00212577">
            <w:pPr>
              <w:pStyle w:val="P68B1DB1-Normal123"/>
              <w:spacing w:after="0" w:line="240" w:lineRule="auto"/>
              <w:jc w:val="center"/>
              <w:rPr>
                <w:rFonts w:eastAsia="Calibri"/>
                <w:noProof/>
              </w:rPr>
            </w:pPr>
            <w:r>
              <w:rPr>
                <w:noProof/>
              </w:rPr>
              <w:t>2026</w:t>
            </w:r>
          </w:p>
        </w:tc>
        <w:tc>
          <w:tcPr>
            <w:tcW w:w="3043" w:type="dxa"/>
            <w:shd w:val="clear" w:color="auto" w:fill="C6EFCE"/>
          </w:tcPr>
          <w:p w14:paraId="5F51338A" w14:textId="7BD64DFA" w:rsidR="00553430" w:rsidRDefault="00212577">
            <w:pPr>
              <w:spacing w:after="200" w:line="276" w:lineRule="auto"/>
              <w:rPr>
                <w:rFonts w:ascii="Times New Roman" w:eastAsia="Calibri" w:hAnsi="Times New Roman" w:cs="Times New Roman"/>
                <w:noProof/>
                <w:color w:val="000000" w:themeColor="text1"/>
                <w:sz w:val="20"/>
                <w:szCs w:val="20"/>
              </w:rPr>
            </w:pPr>
            <w:r>
              <w:rPr>
                <w:rFonts w:ascii="Times New Roman" w:hAnsi="Times New Roman" w:cs="Times New Roman"/>
                <w:noProof/>
                <w:color w:val="000000" w:themeColor="text1"/>
                <w:sz w:val="20"/>
                <w:szCs w:val="20"/>
              </w:rPr>
              <w:t xml:space="preserve">Un bâtiment ² de 26 000 m sera construit sur la place de la Justice à Zagreb, comme en témoignent: </w:t>
            </w:r>
            <w:r>
              <w:rPr>
                <w:rFonts w:ascii="Times New Roman" w:hAnsi="Times New Roman" w:cs="Times New Roman"/>
                <w:noProof/>
              </w:rPr>
              <w:br/>
            </w:r>
            <w:r>
              <w:rPr>
                <w:rFonts w:ascii="Times New Roman" w:eastAsia="Calibri" w:hAnsi="Times New Roman" w:cs="Times New Roman"/>
                <w:noProof/>
                <w:color w:val="000000" w:themeColor="text1"/>
                <w:sz w:val="20"/>
                <w:szCs w:val="20"/>
              </w:rPr>
              <w:t xml:space="preserve">1. un rapport sur l'état de construction </w:t>
            </w:r>
            <w:r>
              <w:rPr>
                <w:rFonts w:ascii="Times New Roman" w:eastAsia="Calibri" w:hAnsi="Times New Roman" w:cs="Times New Roman"/>
                <w:noProof/>
                <w:color w:val="000000" w:themeColor="text1"/>
                <w:sz w:val="20"/>
                <w:szCs w:val="20"/>
              </w:rPr>
              <w:t>du bâtiment, établi par l'ingénieur superviseur, prouvant que le bâtiment a été construit</w:t>
            </w:r>
            <w:r>
              <w:rPr>
                <w:rFonts w:ascii="Times New Roman" w:hAnsi="Times New Roman" w:cs="Times New Roman"/>
                <w:noProof/>
              </w:rPr>
              <w:br/>
              <w:t xml:space="preserve"> </w:t>
            </w:r>
            <w:r>
              <w:rPr>
                <w:rFonts w:ascii="Times New Roman" w:eastAsia="Calibri" w:hAnsi="Times New Roman" w:cs="Times New Roman"/>
                <w:noProof/>
                <w:color w:val="000000" w:themeColor="text1"/>
                <w:sz w:val="20"/>
                <w:szCs w:val="20"/>
              </w:rPr>
              <w:t>2.Levé géodésique du bâtiment construit</w:t>
            </w:r>
            <w:r>
              <w:rPr>
                <w:rFonts w:ascii="Times New Roman" w:hAnsi="Times New Roman" w:cs="Times New Roman"/>
                <w:noProof/>
              </w:rPr>
              <w:br/>
              <w:t xml:space="preserve"> </w:t>
            </w:r>
            <w:r>
              <w:rPr>
                <w:rFonts w:ascii="Times New Roman" w:eastAsia="Calibri" w:hAnsi="Times New Roman" w:cs="Times New Roman"/>
                <w:noProof/>
                <w:color w:val="000000" w:themeColor="text1"/>
                <w:sz w:val="20"/>
                <w:szCs w:val="20"/>
              </w:rPr>
              <w:t>3.Building carte de performance énergétique</w:t>
            </w:r>
          </w:p>
          <w:p w14:paraId="49331F15" w14:textId="77777777" w:rsidR="00553430" w:rsidRDefault="00212577">
            <w:pPr>
              <w:pStyle w:val="P68B1DB1-Normal123"/>
              <w:spacing w:after="0" w:line="240" w:lineRule="auto"/>
              <w:rPr>
                <w:rFonts w:eastAsia="Calibri"/>
                <w:noProof/>
              </w:rPr>
            </w:pPr>
            <w:r>
              <w:rPr>
                <w:noProof/>
              </w:rPr>
              <w:t>L’investissement concerne la construction d’un nouveau bâtiment, dont la demande</w:t>
            </w:r>
            <w:r>
              <w:rPr>
                <w:noProof/>
              </w:rPr>
              <w:t xml:space="preserve"> d’énergie primaire (DEP) est inférieure d’au moins 20 % à celle du bâtiment dont la consommation d’énergie est quasi nulle (NZEB).</w:t>
            </w:r>
          </w:p>
        </w:tc>
      </w:tr>
    </w:tbl>
    <w:p w14:paraId="26E311DF" w14:textId="77777777" w:rsidR="00553430" w:rsidRDefault="00553430">
      <w:pPr>
        <w:spacing w:line="240" w:lineRule="auto"/>
        <w:jc w:val="both"/>
        <w:rPr>
          <w:rFonts w:eastAsia="Calibri"/>
          <w:noProof/>
        </w:rPr>
        <w:sectPr w:rsidR="00553430" w:rsidSect="00FA29B2">
          <w:headerReference w:type="even" r:id="rId225"/>
          <w:headerReference w:type="default" r:id="rId226"/>
          <w:footerReference w:type="even" r:id="rId227"/>
          <w:footerReference w:type="default" r:id="rId228"/>
          <w:headerReference w:type="first" r:id="rId229"/>
          <w:footerReference w:type="first" r:id="rId230"/>
          <w:pgSz w:w="16839" w:h="11907" w:orient="landscape"/>
          <w:pgMar w:top="1134" w:right="1134" w:bottom="1134" w:left="1134" w:header="567" w:footer="567" w:gutter="0"/>
          <w:cols w:space="708"/>
          <w:docGrid w:linePitch="360"/>
        </w:sectPr>
      </w:pPr>
    </w:p>
    <w:p w14:paraId="70316A0E" w14:textId="77777777" w:rsidR="00553430" w:rsidRDefault="00212577">
      <w:pPr>
        <w:pStyle w:val="P68B1DB1-Normal32"/>
        <w:keepNext/>
        <w:tabs>
          <w:tab w:val="left" w:pos="850"/>
        </w:tabs>
        <w:spacing w:before="360" w:line="240" w:lineRule="auto"/>
        <w:ind w:left="850" w:hanging="850"/>
        <w:jc w:val="both"/>
        <w:outlineLvl w:val="0"/>
        <w:rPr>
          <w:noProof/>
        </w:rPr>
      </w:pPr>
      <w:r>
        <w:rPr>
          <w:noProof/>
        </w:rPr>
        <w:t>L. Élément 2.6: PRÉVENIR ET LUTTER CONTRE LA CORRUPTION</w:t>
      </w:r>
    </w:p>
    <w:p w14:paraId="32BE9751" w14:textId="59CDB935" w:rsidR="00553430" w:rsidRDefault="00212577">
      <w:pPr>
        <w:pStyle w:val="P68B1DB1-Normal33"/>
        <w:spacing w:line="240" w:lineRule="auto"/>
        <w:jc w:val="both"/>
        <w:rPr>
          <w:rFonts w:eastAsia="SimSun"/>
          <w:noProof/>
        </w:rPr>
      </w:pPr>
      <w:r>
        <w:rPr>
          <w:noProof/>
        </w:rPr>
        <w:t>L’objectif du volet du plan croate pour la reprise et la résilience est de renforcer le cadre de prévention et de sanction de la corruption au moyen de mesures visant i) à accroître l’efficacité, la cohérence et l’ouverture des autorités dans la lutte cont</w:t>
      </w:r>
      <w:r>
        <w:rPr>
          <w:noProof/>
        </w:rPr>
        <w:t xml:space="preserve">re la corruption, ii) à améliorer la mise en œuvre de la loi sur le droit d’accès à l’information, iii) à renforcer la gouvernance d’entreprise dans les entreprises détenues majoritairement par les collectivités locales et régionales et iv) à renforcer la </w:t>
      </w:r>
      <w:r>
        <w:rPr>
          <w:noProof/>
        </w:rPr>
        <w:t xml:space="preserve">capacité de recours juridictionnel dans les procédures de passation de marchés publics. </w:t>
      </w:r>
    </w:p>
    <w:p w14:paraId="54BFDE8F" w14:textId="77777777" w:rsidR="00553430" w:rsidRDefault="00212577">
      <w:pPr>
        <w:pStyle w:val="P68B1DB1-Normal33"/>
        <w:spacing w:line="240" w:lineRule="auto"/>
        <w:jc w:val="both"/>
        <w:rPr>
          <w:noProof/>
        </w:rPr>
      </w:pPr>
      <w:r>
        <w:rPr>
          <w:noProof/>
        </w:rPr>
        <w:t xml:space="preserve">La composante soutient la mise en œuvre de la recommandation par pays sur la nécessité de renforcer encore le cadre de prévention et de sanction de la corruption afin </w:t>
      </w:r>
      <w:r>
        <w:rPr>
          <w:noProof/>
        </w:rPr>
        <w:t>de garantir l’utilisation légale, transparente et efficace des fonds publics (recommandation par pays 4, 2019).</w:t>
      </w:r>
    </w:p>
    <w:p w14:paraId="5FC9EF83" w14:textId="77777777" w:rsidR="00553430" w:rsidRDefault="00553430">
      <w:pPr>
        <w:spacing w:line="240" w:lineRule="auto"/>
        <w:ind w:left="850"/>
        <w:jc w:val="both"/>
        <w:rPr>
          <w:rFonts w:ascii="Times New Roman" w:eastAsia="Times New Roman" w:hAnsi="Times New Roman" w:cs="Times New Roman"/>
          <w:noProof/>
          <w:sz w:val="24"/>
          <w:szCs w:val="24"/>
        </w:rPr>
      </w:pPr>
    </w:p>
    <w:p w14:paraId="60F64D14" w14:textId="77777777" w:rsidR="00553430" w:rsidRDefault="00212577">
      <w:pPr>
        <w:pStyle w:val="P68B1DB1-Normal57"/>
        <w:keepNext/>
        <w:spacing w:before="40" w:after="0"/>
        <w:ind w:left="851"/>
        <w:jc w:val="both"/>
        <w:outlineLvl w:val="1"/>
        <w:rPr>
          <w:noProof/>
        </w:rPr>
      </w:pPr>
      <w:r>
        <w:rPr>
          <w:noProof/>
        </w:rPr>
        <w:t xml:space="preserve">L.1. </w:t>
      </w:r>
      <w:r>
        <w:rPr>
          <w:noProof/>
        </w:rPr>
        <w:tab/>
        <w:t>Description des réformes et des investissements pour le soutien financier non remboursable</w:t>
      </w:r>
    </w:p>
    <w:p w14:paraId="63F7E5F5" w14:textId="77777777" w:rsidR="00553430" w:rsidRDefault="00553430">
      <w:pPr>
        <w:spacing w:line="240" w:lineRule="auto"/>
        <w:ind w:left="851"/>
        <w:jc w:val="both"/>
        <w:rPr>
          <w:rFonts w:ascii="Times New Roman" w:eastAsia="Calibri" w:hAnsi="Times New Roman" w:cs="Times New Roman"/>
          <w:noProof/>
          <w:sz w:val="24"/>
          <w:szCs w:val="24"/>
          <w:u w:val="single"/>
        </w:rPr>
      </w:pPr>
    </w:p>
    <w:p w14:paraId="383DE536" w14:textId="77777777" w:rsidR="00553430" w:rsidRDefault="00212577">
      <w:pPr>
        <w:pStyle w:val="P68B1DB1-Normal33"/>
        <w:spacing w:line="240" w:lineRule="auto"/>
        <w:ind w:left="851"/>
        <w:jc w:val="both"/>
        <w:rPr>
          <w:noProof/>
        </w:rPr>
      </w:pPr>
      <w:r>
        <w:rPr>
          <w:noProof/>
          <w:u w:val="single"/>
        </w:rPr>
        <w:t xml:space="preserve">Réforme C2.6 R1 – Accroître l’efficacité, la </w:t>
      </w:r>
      <w:r>
        <w:rPr>
          <w:noProof/>
          <w:u w:val="single"/>
        </w:rPr>
        <w:t>cohérence et l’ouverture des autorités dans la lutte contre la corruption grâce à la numérisation, renforcer la transparence et améliorer la coordination.</w:t>
      </w:r>
      <w:r>
        <w:rPr>
          <w:noProof/>
        </w:rPr>
        <w:t xml:space="preserve"> </w:t>
      </w:r>
    </w:p>
    <w:p w14:paraId="398F1019" w14:textId="4C8F624D" w:rsidR="00553430" w:rsidRDefault="00212577">
      <w:pPr>
        <w:pStyle w:val="P68B1DB1-Normal33"/>
        <w:spacing w:line="240" w:lineRule="auto"/>
        <w:jc w:val="both"/>
        <w:rPr>
          <w:noProof/>
        </w:rPr>
      </w:pPr>
      <w:r>
        <w:rPr>
          <w:noProof/>
        </w:rPr>
        <w:t>L’objectif de cette mesure est d’améliorer la coordination et la coopération entre les autorités par</w:t>
      </w:r>
      <w:r>
        <w:rPr>
          <w:noProof/>
        </w:rPr>
        <w:t xml:space="preserve">ticipant à la mise en œuvre des documents politiques nationaux de lutte contre la corruption. </w:t>
      </w:r>
    </w:p>
    <w:p w14:paraId="406973DC" w14:textId="77777777" w:rsidR="00553430" w:rsidRDefault="00212577">
      <w:pPr>
        <w:pStyle w:val="P68B1DB1-Normal33"/>
        <w:spacing w:line="240" w:lineRule="auto"/>
        <w:jc w:val="both"/>
        <w:rPr>
          <w:noProof/>
        </w:rPr>
      </w:pPr>
      <w:r>
        <w:rPr>
          <w:noProof/>
        </w:rPr>
        <w:t>La réforme consiste en des modifications du cadre législatif relatif à la prévention des conflits d’intérêts et à la protection des personnes signalant des irrég</w:t>
      </w:r>
      <w:r>
        <w:rPr>
          <w:noProof/>
        </w:rPr>
        <w:t>ularités, ainsi qu’en une nouvelle stratégie de lutte contre la corruption pour la période 2021-2030.</w:t>
      </w:r>
    </w:p>
    <w:p w14:paraId="288EA487" w14:textId="77777777" w:rsidR="00553430" w:rsidRDefault="00212577">
      <w:pPr>
        <w:pStyle w:val="P68B1DB1-Normal42"/>
        <w:keepNext/>
        <w:spacing w:line="240" w:lineRule="auto"/>
        <w:ind w:left="850"/>
        <w:jc w:val="both"/>
        <w:rPr>
          <w:noProof/>
        </w:rPr>
      </w:pPr>
      <w:r>
        <w:rPr>
          <w:noProof/>
        </w:rPr>
        <w:t>Investissement C2.6 R1-I1 - Mobiliser le grand public dans la lutte contre la corruption en sensibilisant le public à la nocivité de la corruption</w:t>
      </w:r>
    </w:p>
    <w:p w14:paraId="034A8E36" w14:textId="77777777" w:rsidR="00553430" w:rsidRDefault="00212577">
      <w:pPr>
        <w:pStyle w:val="P68B1DB1-Normal33"/>
        <w:spacing w:line="240" w:lineRule="auto"/>
        <w:jc w:val="both"/>
        <w:rPr>
          <w:noProof/>
        </w:rPr>
      </w:pPr>
      <w:r>
        <w:rPr>
          <w:noProof/>
        </w:rPr>
        <w:t>L'objec</w:t>
      </w:r>
      <w:r>
        <w:rPr>
          <w:noProof/>
        </w:rPr>
        <w:t xml:space="preserve">tif de cet investissement est de sensibiliser le grand public, les fonctionnaires et les fonctionnaires de l'administration publique à la nocivité de la corruption. </w:t>
      </w:r>
    </w:p>
    <w:p w14:paraId="5E3E65D0" w14:textId="27F8629D" w:rsidR="00553430" w:rsidRDefault="00212577">
      <w:pPr>
        <w:pStyle w:val="P68B1DB1-Normal33"/>
        <w:spacing w:line="240" w:lineRule="auto"/>
        <w:jc w:val="both"/>
        <w:rPr>
          <w:noProof/>
        </w:rPr>
      </w:pPr>
      <w:r>
        <w:rPr>
          <w:noProof/>
        </w:rPr>
        <w:t>Cet investissement consiste en la publication d'un rapport d'analyse d'impact des effets d</w:t>
      </w:r>
      <w:r>
        <w:rPr>
          <w:noProof/>
        </w:rPr>
        <w:t>e la campagne nationale d'information contre la corruption.</w:t>
      </w:r>
    </w:p>
    <w:p w14:paraId="1AD4BF3F" w14:textId="77777777" w:rsidR="00553430" w:rsidRDefault="00212577">
      <w:pPr>
        <w:pStyle w:val="P68B1DB1-Normal42"/>
        <w:keepNext/>
        <w:spacing w:line="240" w:lineRule="auto"/>
        <w:ind w:left="850"/>
        <w:jc w:val="both"/>
        <w:rPr>
          <w:noProof/>
        </w:rPr>
      </w:pPr>
      <w:r>
        <w:rPr>
          <w:noProof/>
        </w:rPr>
        <w:t>Investissement C2.6 R1-I2 – Numérisation du système d’éthique des fonctionnaires.</w:t>
      </w:r>
    </w:p>
    <w:p w14:paraId="6EB9A6D4" w14:textId="77777777" w:rsidR="00553430" w:rsidRDefault="00212577">
      <w:pPr>
        <w:pStyle w:val="P68B1DB1-Normal33"/>
        <w:spacing w:line="240" w:lineRule="auto"/>
        <w:jc w:val="both"/>
        <w:rPr>
          <w:noProof/>
        </w:rPr>
      </w:pPr>
      <w:r>
        <w:rPr>
          <w:noProof/>
        </w:rPr>
        <w:t xml:space="preserve">L’investissement comprend le développement et la mise en service d’un système électronique de gestion de </w:t>
      </w:r>
      <w:r>
        <w:rPr>
          <w:noProof/>
        </w:rPr>
        <w:t>l’infrastructure éthique afin de moderniser et d’améliorer le travail des commissaires à l’éthique, de la commission d’éthique et des fonctionnaires employés par le service «Éthique et intégrité».</w:t>
      </w:r>
    </w:p>
    <w:p w14:paraId="63421623" w14:textId="77777777" w:rsidR="00553430" w:rsidRDefault="00212577">
      <w:pPr>
        <w:pStyle w:val="P68B1DB1-Normal33"/>
        <w:spacing w:line="240" w:lineRule="auto"/>
        <w:jc w:val="both"/>
        <w:rPr>
          <w:noProof/>
        </w:rPr>
      </w:pPr>
      <w:r>
        <w:rPr>
          <w:noProof/>
        </w:rPr>
        <w:t>L’investissement est pleinement mis en œuvre au plus tard l</w:t>
      </w:r>
      <w:r>
        <w:rPr>
          <w:noProof/>
        </w:rPr>
        <w:t>e 31 décembre 2024.</w:t>
      </w:r>
    </w:p>
    <w:p w14:paraId="7958381E" w14:textId="77777777" w:rsidR="00553430" w:rsidRDefault="00212577">
      <w:pPr>
        <w:pStyle w:val="P68B1DB1-Normal42"/>
        <w:keepNext/>
        <w:spacing w:line="240" w:lineRule="auto"/>
        <w:ind w:left="850"/>
        <w:jc w:val="both"/>
        <w:rPr>
          <w:noProof/>
        </w:rPr>
      </w:pPr>
      <w:r>
        <w:rPr>
          <w:noProof/>
        </w:rPr>
        <w:t>Investissement C2.6 R1-I3 - Amélioration du système informatique des déclarations de patrimoine des fonctionnaires de l’État.</w:t>
      </w:r>
    </w:p>
    <w:p w14:paraId="486DDD52" w14:textId="77777777" w:rsidR="00553430" w:rsidRDefault="00212577">
      <w:pPr>
        <w:pStyle w:val="P68B1DB1-Normal33"/>
        <w:spacing w:line="240" w:lineRule="auto"/>
        <w:jc w:val="both"/>
        <w:rPr>
          <w:noProof/>
        </w:rPr>
      </w:pPr>
      <w:r>
        <w:rPr>
          <w:noProof/>
        </w:rPr>
        <w:t>L’objectif de l’investissement est de renforcer encore la procédure de dépôt et de traitement des déclarations</w:t>
      </w:r>
      <w:r>
        <w:rPr>
          <w:noProof/>
        </w:rPr>
        <w:t xml:space="preserve"> de patrimoine des fonctionnaires en automatisant certains des processus du système informatique existant pour la présentation de la déclaration de patrimoine d’un fonctionnaire. </w:t>
      </w:r>
    </w:p>
    <w:p w14:paraId="39D06789" w14:textId="77777777" w:rsidR="00553430" w:rsidRDefault="00212577">
      <w:pPr>
        <w:pStyle w:val="P68B1DB1-Normal33"/>
        <w:spacing w:line="240" w:lineRule="auto"/>
        <w:jc w:val="both"/>
        <w:rPr>
          <w:noProof/>
        </w:rPr>
      </w:pPr>
      <w:r>
        <w:rPr>
          <w:noProof/>
        </w:rPr>
        <w:t>L’investissement est achevé au plus tard le 30 juin 2024.</w:t>
      </w:r>
    </w:p>
    <w:p w14:paraId="0B20B6F5" w14:textId="77777777" w:rsidR="00553430" w:rsidRDefault="00212577">
      <w:pPr>
        <w:pStyle w:val="P68B1DB1-Normal33"/>
        <w:tabs>
          <w:tab w:val="left" w:pos="2670"/>
        </w:tabs>
        <w:rPr>
          <w:noProof/>
        </w:rPr>
      </w:pPr>
      <w:r>
        <w:rPr>
          <w:noProof/>
        </w:rPr>
        <w:tab/>
      </w:r>
    </w:p>
    <w:p w14:paraId="011793B9" w14:textId="77777777" w:rsidR="00553430" w:rsidRDefault="00212577">
      <w:pPr>
        <w:pStyle w:val="P68B1DB1-Normal42"/>
        <w:keepNext/>
        <w:spacing w:line="240" w:lineRule="auto"/>
        <w:ind w:left="850"/>
        <w:jc w:val="both"/>
        <w:rPr>
          <w:noProof/>
        </w:rPr>
      </w:pPr>
      <w:r>
        <w:rPr>
          <w:noProof/>
        </w:rPr>
        <w:t>Investissement C</w:t>
      </w:r>
      <w:r>
        <w:rPr>
          <w:noProof/>
        </w:rPr>
        <w:t>2.6 R1-I4 - Soutenir l'efficacité dans la lutte contre la corruption et la criminalité organisée</w:t>
      </w:r>
    </w:p>
    <w:p w14:paraId="008AD4F6" w14:textId="77777777" w:rsidR="00553430" w:rsidRDefault="00212577">
      <w:pPr>
        <w:pStyle w:val="P68B1DB1-Normal33"/>
        <w:spacing w:line="240" w:lineRule="auto"/>
        <w:jc w:val="both"/>
        <w:rPr>
          <w:noProof/>
        </w:rPr>
      </w:pPr>
      <w:r>
        <w:rPr>
          <w:noProof/>
        </w:rPr>
        <w:t xml:space="preserve">L'objectif de cet investissement est de renforcer l'efficacité de la lutte contre la corruption et la criminalité organisée. </w:t>
      </w:r>
    </w:p>
    <w:p w14:paraId="6918900C" w14:textId="77777777" w:rsidR="00553430" w:rsidRDefault="00212577">
      <w:pPr>
        <w:pStyle w:val="P68B1DB1-Normal33"/>
        <w:keepNext/>
        <w:spacing w:line="240" w:lineRule="auto"/>
        <w:jc w:val="both"/>
        <w:rPr>
          <w:noProof/>
        </w:rPr>
      </w:pPr>
      <w:r>
        <w:rPr>
          <w:noProof/>
        </w:rPr>
        <w:t>L’investissement consiste en la r</w:t>
      </w:r>
      <w:r>
        <w:rPr>
          <w:noProof/>
        </w:rPr>
        <w:t xml:space="preserve">énovation des bureaux de PNUSKOK à Zagreb et à Split et en de nouveaux équipements pour quatre centres régionaux de l’Office national de lutte contre la corruption et la criminalité organisée de la police (PNUSKOK). </w:t>
      </w:r>
    </w:p>
    <w:p w14:paraId="6E5B07EA" w14:textId="77777777" w:rsidR="00553430" w:rsidRDefault="00212577">
      <w:pPr>
        <w:pStyle w:val="P68B1DB1-Normal42"/>
        <w:keepNext/>
        <w:spacing w:line="240" w:lineRule="auto"/>
        <w:ind w:left="720"/>
        <w:jc w:val="both"/>
        <w:rPr>
          <w:noProof/>
        </w:rPr>
      </w:pPr>
      <w:r>
        <w:rPr>
          <w:noProof/>
        </w:rPr>
        <w:t xml:space="preserve">Réforme C2.6 R2 - Améliorer la mise en </w:t>
      </w:r>
      <w:r>
        <w:rPr>
          <w:noProof/>
        </w:rPr>
        <w:t>œuvre de la loi sur le droit d'accès à l'information</w:t>
      </w:r>
    </w:p>
    <w:p w14:paraId="354B8EA6" w14:textId="77777777" w:rsidR="00553430" w:rsidRDefault="00212577">
      <w:pPr>
        <w:pStyle w:val="P68B1DB1-Normal33"/>
        <w:spacing w:line="240" w:lineRule="auto"/>
        <w:jc w:val="both"/>
        <w:rPr>
          <w:noProof/>
        </w:rPr>
      </w:pPr>
      <w:r>
        <w:rPr>
          <w:noProof/>
        </w:rPr>
        <w:t>La loi sur le droit d'accès à l'information est le principal instrument d'exercice du droit garanti par la Constitution aux citoyens d'accéder aux informations détenues par les autorités publiques afin d</w:t>
      </w:r>
      <w:r>
        <w:rPr>
          <w:noProof/>
        </w:rPr>
        <w:t>'assurer la transparence et l'ouverture du gouvernement et de lutter contre la corruption. La réforme comprend une évaluation approfondie de la loi et de ses effets sur l’exercice du droit à l’information, tant du point de vue des utilisateurs que des auto</w:t>
      </w:r>
      <w:r>
        <w:rPr>
          <w:noProof/>
        </w:rPr>
        <w:t xml:space="preserve">rités publiques, suivie de l’adoption de modifications de la loi sur le droit d’accès afin de refléter la recommandation de l’évaluation. </w:t>
      </w:r>
    </w:p>
    <w:p w14:paraId="2EAC4CD9" w14:textId="77777777" w:rsidR="00553430" w:rsidRDefault="00212577">
      <w:pPr>
        <w:pStyle w:val="P68B1DB1-Normal33"/>
        <w:spacing w:line="240" w:lineRule="auto"/>
        <w:jc w:val="both"/>
        <w:rPr>
          <w:noProof/>
        </w:rPr>
      </w:pPr>
      <w:r>
        <w:rPr>
          <w:noProof/>
        </w:rPr>
        <w:t>La réforme est achevée au plus tard le 31 décembre 2023.</w:t>
      </w:r>
    </w:p>
    <w:p w14:paraId="230CF2CE" w14:textId="77777777" w:rsidR="00553430" w:rsidRDefault="00212577">
      <w:pPr>
        <w:pStyle w:val="P68B1DB1-Normal42"/>
        <w:keepNext/>
        <w:spacing w:line="240" w:lineRule="auto"/>
        <w:ind w:left="850"/>
        <w:jc w:val="both"/>
        <w:rPr>
          <w:noProof/>
        </w:rPr>
      </w:pPr>
      <w:r>
        <w:rPr>
          <w:noProof/>
        </w:rPr>
        <w:t>Réforme C2.6 R3 - Amélioration de la gouvernance d'entrepris</w:t>
      </w:r>
      <w:r>
        <w:rPr>
          <w:noProof/>
        </w:rPr>
        <w:t>e dans les entreprises à participation majoritaire des collectivités locales et régionales</w:t>
      </w:r>
    </w:p>
    <w:p w14:paraId="42CB97BC" w14:textId="77777777" w:rsidR="00553430" w:rsidRDefault="00212577">
      <w:pPr>
        <w:pStyle w:val="P68B1DB1-Normal33"/>
        <w:spacing w:line="240" w:lineRule="auto"/>
        <w:jc w:val="both"/>
        <w:rPr>
          <w:noProof/>
        </w:rPr>
      </w:pPr>
      <w:r>
        <w:rPr>
          <w:noProof/>
        </w:rPr>
        <w:t xml:space="preserve">L'objectif de cette réforme est d'améliorer l'efficacité, la transparence et la responsabilité des entreprises publiques locales. </w:t>
      </w:r>
    </w:p>
    <w:p w14:paraId="1788EB67" w14:textId="77777777" w:rsidR="00553430" w:rsidRDefault="00212577">
      <w:pPr>
        <w:pStyle w:val="P68B1DB1-Normal33"/>
        <w:spacing w:line="240" w:lineRule="auto"/>
        <w:jc w:val="both"/>
        <w:rPr>
          <w:noProof/>
        </w:rPr>
      </w:pPr>
      <w:r>
        <w:rPr>
          <w:noProof/>
        </w:rPr>
        <w:t xml:space="preserve">Cette réforme consiste à élaborer </w:t>
      </w:r>
      <w:r>
        <w:rPr>
          <w:noProof/>
        </w:rPr>
        <w:t>un manuel pour la mise en œuvre des recommandations de l’OCDE sur la gouvernance d’entreprise dans les entreprises détenues majoritairement par des collectivités locales et régionales, à évaluer les effets du programme de lutte contre la corruption 2021-20</w:t>
      </w:r>
      <w:r>
        <w:rPr>
          <w:noProof/>
        </w:rPr>
        <w:t xml:space="preserve">22 pour les entreprises détenues majoritairement par des collectivités locales et régionales et à dispenser des formations. </w:t>
      </w:r>
    </w:p>
    <w:p w14:paraId="7ABB9BAA" w14:textId="77777777" w:rsidR="00553430" w:rsidRDefault="00212577">
      <w:pPr>
        <w:pStyle w:val="P68B1DB1-Normal33"/>
        <w:keepNext/>
        <w:spacing w:line="240" w:lineRule="auto"/>
        <w:ind w:left="850"/>
        <w:jc w:val="both"/>
        <w:rPr>
          <w:noProof/>
          <w:u w:val="double"/>
        </w:rPr>
      </w:pPr>
      <w:r>
        <w:rPr>
          <w:noProof/>
          <w:u w:val="single"/>
        </w:rPr>
        <w:t xml:space="preserve">Réforme C2.6 R4 - Renforcement de la capacité de recours juridictionnel dans les </w:t>
      </w:r>
      <w:r>
        <w:rPr>
          <w:noProof/>
          <w:u w:val="double"/>
        </w:rPr>
        <w:t>procédures de passation de</w:t>
      </w:r>
      <w:r>
        <w:rPr>
          <w:noProof/>
          <w:u w:val="single"/>
        </w:rPr>
        <w:t xml:space="preserve"> marchés publics</w:t>
      </w:r>
    </w:p>
    <w:p w14:paraId="0A4FD361" w14:textId="77777777" w:rsidR="00553430" w:rsidRDefault="00212577">
      <w:pPr>
        <w:pStyle w:val="P68B1DB1-Normal33"/>
        <w:spacing w:line="240" w:lineRule="auto"/>
        <w:jc w:val="both"/>
        <w:rPr>
          <w:noProof/>
        </w:rPr>
      </w:pPr>
      <w:r>
        <w:rPr>
          <w:noProof/>
        </w:rPr>
        <w:t>L’objec</w:t>
      </w:r>
      <w:r>
        <w:rPr>
          <w:noProof/>
        </w:rPr>
        <w:t>tif de la réforme est de renforcer la protection judiciaire dans les procédures de passation de marchés publics au moyen d’ateliers éducatifs à l’intention des juges, qui devraient améliorer leurs connaissances et leur sensibilisation à la gestion des risq</w:t>
      </w:r>
      <w:r>
        <w:rPr>
          <w:noProof/>
        </w:rPr>
        <w:t>ues de corruption et aux recours judiciaires dans les procédures de passation de marchés publics. Les ateliers sont organisés par l'Académie judiciaire dans le cadre du développement professionnel tout au long de la vie des fonctionnaires de justice.</w:t>
      </w:r>
    </w:p>
    <w:p w14:paraId="336CE537" w14:textId="77777777" w:rsidR="00553430" w:rsidRDefault="00212577">
      <w:pPr>
        <w:pStyle w:val="P68B1DB1-Normal33"/>
        <w:spacing w:line="240" w:lineRule="auto"/>
        <w:rPr>
          <w:rStyle w:val="normaltextrun"/>
          <w:noProof/>
        </w:rPr>
        <w:sectPr w:rsidR="00553430" w:rsidSect="00FA29B2">
          <w:headerReference w:type="even" r:id="rId231"/>
          <w:headerReference w:type="default" r:id="rId232"/>
          <w:footerReference w:type="even" r:id="rId233"/>
          <w:footerReference w:type="default" r:id="rId234"/>
          <w:headerReference w:type="first" r:id="rId235"/>
          <w:footerReference w:type="first" r:id="rId236"/>
          <w:pgSz w:w="11906" w:h="16838"/>
          <w:pgMar w:top="1134" w:right="1134" w:bottom="1134" w:left="1134" w:header="567" w:footer="567" w:gutter="0"/>
          <w:cols w:space="708"/>
          <w:docGrid w:linePitch="360"/>
        </w:sectPr>
      </w:pPr>
      <w:r>
        <w:rPr>
          <w:noProof/>
        </w:rPr>
        <w:t xml:space="preserve">La réforme est mise en œuvre au plus tard le 30 juin 2024. </w:t>
      </w:r>
    </w:p>
    <w:p w14:paraId="73A23290" w14:textId="77777777" w:rsidR="00553430" w:rsidRDefault="00212577">
      <w:pPr>
        <w:pStyle w:val="P68B1DB1-Normal57"/>
        <w:keepNext/>
        <w:tabs>
          <w:tab w:val="num" w:pos="284"/>
        </w:tabs>
        <w:spacing w:before="40"/>
        <w:jc w:val="both"/>
        <w:outlineLvl w:val="1"/>
        <w:rPr>
          <w:noProof/>
        </w:rPr>
      </w:pPr>
      <w:r>
        <w:rPr>
          <w:noProof/>
        </w:rPr>
        <w:t xml:space="preserve">L.2. </w:t>
      </w:r>
      <w:r>
        <w:rPr>
          <w:noProof/>
        </w:rPr>
        <w:tab/>
        <w:t>Étapes, cibles, indicateurs et calendrier pour le suivi et la mise en œuvre du soutien financier non remboursable</w:t>
      </w:r>
    </w:p>
    <w:tbl>
      <w:tblPr>
        <w:tblW w:w="14959"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67"/>
        <w:gridCol w:w="1107"/>
        <w:gridCol w:w="1120"/>
        <w:gridCol w:w="1648"/>
        <w:gridCol w:w="2171"/>
        <w:gridCol w:w="1167"/>
        <w:gridCol w:w="852"/>
        <w:gridCol w:w="831"/>
        <w:gridCol w:w="1037"/>
        <w:gridCol w:w="844"/>
        <w:gridCol w:w="3281"/>
      </w:tblGrid>
      <w:tr w:rsidR="00553430" w14:paraId="145BB218" w14:textId="77777777">
        <w:trPr>
          <w:trHeight w:val="635"/>
          <w:tblHeader/>
        </w:trPr>
        <w:tc>
          <w:tcPr>
            <w:tcW w:w="968" w:type="dxa"/>
            <w:vMerge w:val="restart"/>
            <w:shd w:val="clear" w:color="auto" w:fill="BDD7EE"/>
            <w:vAlign w:val="center"/>
            <w:hideMark/>
          </w:tcPr>
          <w:p w14:paraId="307AB85F" w14:textId="77777777" w:rsidR="00553430" w:rsidRDefault="00212577">
            <w:pPr>
              <w:pStyle w:val="P68B1DB1-Normal58"/>
              <w:spacing w:after="0" w:line="276" w:lineRule="auto"/>
              <w:jc w:val="center"/>
              <w:rPr>
                <w:bCs/>
                <w:noProof/>
              </w:rPr>
            </w:pPr>
            <w:r>
              <w:rPr>
                <w:noProof/>
              </w:rPr>
              <w:t>Numéro</w:t>
            </w:r>
          </w:p>
        </w:tc>
        <w:tc>
          <w:tcPr>
            <w:tcW w:w="1108" w:type="dxa"/>
            <w:vMerge w:val="restart"/>
            <w:shd w:val="clear" w:color="auto" w:fill="BDD7EE"/>
            <w:vAlign w:val="center"/>
            <w:hideMark/>
          </w:tcPr>
          <w:p w14:paraId="6EFFEA4D" w14:textId="77777777" w:rsidR="00553430" w:rsidRDefault="00212577">
            <w:pPr>
              <w:pStyle w:val="P68B1DB1-Normal58"/>
              <w:spacing w:after="0" w:line="276" w:lineRule="auto"/>
              <w:jc w:val="center"/>
              <w:rPr>
                <w:bCs/>
                <w:noProof/>
              </w:rPr>
            </w:pPr>
            <w:r>
              <w:rPr>
                <w:noProof/>
              </w:rPr>
              <w:t>Mesure</w:t>
            </w:r>
          </w:p>
        </w:tc>
        <w:tc>
          <w:tcPr>
            <w:tcW w:w="1120" w:type="dxa"/>
            <w:vMerge w:val="restart"/>
            <w:shd w:val="clear" w:color="auto" w:fill="BDD7EE"/>
            <w:vAlign w:val="center"/>
            <w:hideMark/>
          </w:tcPr>
          <w:p w14:paraId="6ACC8B59" w14:textId="77777777" w:rsidR="00553430" w:rsidRDefault="00212577">
            <w:pPr>
              <w:pStyle w:val="P68B1DB1-Normal58"/>
              <w:spacing w:after="0" w:line="276" w:lineRule="auto"/>
              <w:jc w:val="center"/>
              <w:rPr>
                <w:bCs/>
                <w:noProof/>
              </w:rPr>
            </w:pPr>
            <w:r>
              <w:rPr>
                <w:noProof/>
              </w:rPr>
              <w:t>Étape/cible</w:t>
            </w:r>
          </w:p>
        </w:tc>
        <w:tc>
          <w:tcPr>
            <w:tcW w:w="1649" w:type="dxa"/>
            <w:vMerge w:val="restart"/>
            <w:shd w:val="clear" w:color="auto" w:fill="BDD7EE"/>
            <w:vAlign w:val="center"/>
            <w:hideMark/>
          </w:tcPr>
          <w:p w14:paraId="440ACD71" w14:textId="77777777" w:rsidR="00553430" w:rsidRDefault="00212577">
            <w:pPr>
              <w:pStyle w:val="P68B1DB1-Normal58"/>
              <w:spacing w:after="0" w:line="276" w:lineRule="auto"/>
              <w:jc w:val="center"/>
              <w:rPr>
                <w:bCs/>
                <w:noProof/>
              </w:rPr>
            </w:pPr>
            <w:r>
              <w:rPr>
                <w:noProof/>
              </w:rPr>
              <w:t>Nom</w:t>
            </w:r>
          </w:p>
        </w:tc>
        <w:tc>
          <w:tcPr>
            <w:tcW w:w="2172" w:type="dxa"/>
            <w:vMerge w:val="restart"/>
            <w:shd w:val="clear" w:color="auto" w:fill="BDD7EE"/>
            <w:vAlign w:val="center"/>
            <w:hideMark/>
          </w:tcPr>
          <w:p w14:paraId="6D78487B"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qualitatifs</w:t>
            </w:r>
            <w:r>
              <w:rPr>
                <w:rFonts w:ascii="Times New Roman" w:eastAsia="Calibri" w:hAnsi="Times New Roman" w:cs="Times New Roman"/>
                <w:noProof/>
              </w:rPr>
              <w:br/>
            </w:r>
            <w:r>
              <w:rPr>
                <w:rFonts w:ascii="Times New Roman" w:eastAsia="Times New Roman" w:hAnsi="Times New Roman" w:cs="Times New Roman"/>
                <w:b/>
                <w:noProof/>
              </w:rPr>
              <w:t>(pour les jalons)</w:t>
            </w:r>
          </w:p>
        </w:tc>
        <w:tc>
          <w:tcPr>
            <w:tcW w:w="2779" w:type="dxa"/>
            <w:gridSpan w:val="3"/>
            <w:shd w:val="clear" w:color="auto" w:fill="BDD7EE"/>
            <w:vAlign w:val="center"/>
            <w:hideMark/>
          </w:tcPr>
          <w:p w14:paraId="3A818E1F"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eastAsia="Calibri" w:hAnsi="Times New Roman" w:cs="Times New Roman"/>
                <w:noProof/>
              </w:rPr>
              <w:br/>
            </w:r>
            <w:r>
              <w:rPr>
                <w:rFonts w:ascii="Times New Roman" w:eastAsia="Times New Roman" w:hAnsi="Times New Roman" w:cs="Times New Roman"/>
                <w:b/>
                <w:noProof/>
              </w:rPr>
              <w:t>(pour les objectifs)</w:t>
            </w:r>
          </w:p>
        </w:tc>
        <w:tc>
          <w:tcPr>
            <w:tcW w:w="1881" w:type="dxa"/>
            <w:gridSpan w:val="2"/>
            <w:shd w:val="clear" w:color="auto" w:fill="BDD7EE"/>
            <w:vAlign w:val="center"/>
            <w:hideMark/>
          </w:tcPr>
          <w:p w14:paraId="1736036C" w14:textId="77777777" w:rsidR="00553430" w:rsidRDefault="00212577">
            <w:pPr>
              <w:pStyle w:val="P68B1DB1-Normal58"/>
              <w:spacing w:after="0" w:line="276" w:lineRule="auto"/>
              <w:jc w:val="center"/>
              <w:rPr>
                <w:bCs/>
                <w:noProof/>
              </w:rPr>
            </w:pPr>
            <w:r>
              <w:rPr>
                <w:noProof/>
              </w:rPr>
              <w:t>Temps</w:t>
            </w:r>
          </w:p>
        </w:tc>
        <w:tc>
          <w:tcPr>
            <w:tcW w:w="3282" w:type="dxa"/>
            <w:vMerge w:val="restart"/>
            <w:shd w:val="clear" w:color="auto" w:fill="BDD7EE"/>
            <w:vAlign w:val="center"/>
            <w:hideMark/>
          </w:tcPr>
          <w:p w14:paraId="0E2DF6A4" w14:textId="77777777" w:rsidR="00553430" w:rsidRDefault="00212577">
            <w:pPr>
              <w:pStyle w:val="P68B1DB1-Normal58"/>
              <w:spacing w:after="0" w:line="276" w:lineRule="auto"/>
              <w:jc w:val="center"/>
              <w:rPr>
                <w:bCs/>
                <w:noProof/>
              </w:rPr>
            </w:pPr>
            <w:r>
              <w:rPr>
                <w:noProof/>
              </w:rPr>
              <w:t>Description de chaque jalon et cible</w:t>
            </w:r>
          </w:p>
        </w:tc>
      </w:tr>
      <w:tr w:rsidR="00553430" w14:paraId="59F95A41" w14:textId="77777777">
        <w:trPr>
          <w:trHeight w:val="503"/>
          <w:tblHeader/>
        </w:trPr>
        <w:tc>
          <w:tcPr>
            <w:tcW w:w="968" w:type="dxa"/>
            <w:vMerge/>
            <w:hideMark/>
          </w:tcPr>
          <w:p w14:paraId="1CCC0542"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108" w:type="dxa"/>
            <w:vMerge/>
            <w:hideMark/>
          </w:tcPr>
          <w:p w14:paraId="59F273D7"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120" w:type="dxa"/>
            <w:vMerge/>
            <w:hideMark/>
          </w:tcPr>
          <w:p w14:paraId="4552E828"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649" w:type="dxa"/>
            <w:vMerge/>
            <w:hideMark/>
          </w:tcPr>
          <w:p w14:paraId="18A11356" w14:textId="77777777" w:rsidR="00553430" w:rsidRDefault="00553430">
            <w:pPr>
              <w:spacing w:after="0" w:line="276" w:lineRule="auto"/>
              <w:rPr>
                <w:rFonts w:ascii="Times New Roman" w:eastAsia="Times New Roman" w:hAnsi="Times New Roman" w:cs="Times New Roman"/>
                <w:b/>
                <w:noProof/>
                <w:sz w:val="20"/>
                <w:szCs w:val="20"/>
              </w:rPr>
            </w:pPr>
          </w:p>
        </w:tc>
        <w:tc>
          <w:tcPr>
            <w:tcW w:w="2172" w:type="dxa"/>
            <w:vMerge/>
            <w:hideMark/>
          </w:tcPr>
          <w:p w14:paraId="766F84AF" w14:textId="77777777" w:rsidR="00553430" w:rsidRDefault="00553430">
            <w:pPr>
              <w:spacing w:after="0" w:line="276" w:lineRule="auto"/>
              <w:rPr>
                <w:rFonts w:ascii="Times New Roman" w:eastAsia="Times New Roman" w:hAnsi="Times New Roman" w:cs="Times New Roman"/>
                <w:b/>
                <w:noProof/>
                <w:sz w:val="20"/>
                <w:szCs w:val="20"/>
              </w:rPr>
            </w:pPr>
          </w:p>
        </w:tc>
        <w:tc>
          <w:tcPr>
            <w:tcW w:w="1141" w:type="dxa"/>
            <w:shd w:val="clear" w:color="auto" w:fill="BDD7EE"/>
            <w:vAlign w:val="center"/>
            <w:hideMark/>
          </w:tcPr>
          <w:p w14:paraId="2F42217D" w14:textId="77777777" w:rsidR="00553430" w:rsidRDefault="00212577">
            <w:pPr>
              <w:pStyle w:val="P68B1DB1-Normal58"/>
              <w:spacing w:after="0" w:line="276" w:lineRule="auto"/>
              <w:jc w:val="center"/>
              <w:rPr>
                <w:bCs/>
                <w:noProof/>
              </w:rPr>
            </w:pPr>
            <w:r>
              <w:rPr>
                <w:noProof/>
              </w:rPr>
              <w:t>Unité</w:t>
            </w:r>
          </w:p>
        </w:tc>
        <w:tc>
          <w:tcPr>
            <w:tcW w:w="807" w:type="dxa"/>
            <w:shd w:val="clear" w:color="auto" w:fill="BDD7EE"/>
            <w:vAlign w:val="center"/>
            <w:hideMark/>
          </w:tcPr>
          <w:p w14:paraId="170B9241" w14:textId="77777777" w:rsidR="00553430" w:rsidRDefault="00212577">
            <w:pPr>
              <w:pStyle w:val="P68B1DB1-Normal58"/>
              <w:spacing w:after="0" w:line="276" w:lineRule="auto"/>
              <w:jc w:val="center"/>
              <w:rPr>
                <w:bCs/>
                <w:noProof/>
              </w:rPr>
            </w:pPr>
            <w:r>
              <w:rPr>
                <w:noProof/>
              </w:rPr>
              <w:t>Données de référence</w:t>
            </w:r>
          </w:p>
        </w:tc>
        <w:tc>
          <w:tcPr>
            <w:tcW w:w="831" w:type="dxa"/>
            <w:shd w:val="clear" w:color="auto" w:fill="BDD7EE"/>
            <w:vAlign w:val="center"/>
            <w:hideMark/>
          </w:tcPr>
          <w:p w14:paraId="31F672EC" w14:textId="77777777" w:rsidR="00553430" w:rsidRDefault="00212577">
            <w:pPr>
              <w:pStyle w:val="P68B1DB1-Normal58"/>
              <w:spacing w:after="0" w:line="276" w:lineRule="auto"/>
              <w:jc w:val="center"/>
              <w:rPr>
                <w:bCs/>
                <w:noProof/>
              </w:rPr>
            </w:pPr>
            <w:r>
              <w:rPr>
                <w:noProof/>
              </w:rPr>
              <w:t>Objectif</w:t>
            </w:r>
          </w:p>
        </w:tc>
        <w:tc>
          <w:tcPr>
            <w:tcW w:w="1037" w:type="dxa"/>
            <w:shd w:val="clear" w:color="auto" w:fill="BDD7EE"/>
            <w:vAlign w:val="center"/>
            <w:hideMark/>
          </w:tcPr>
          <w:p w14:paraId="56A3A11F" w14:textId="77777777" w:rsidR="00553430" w:rsidRDefault="00212577">
            <w:pPr>
              <w:pStyle w:val="P68B1DB1-Normal58"/>
              <w:spacing w:after="0" w:line="276" w:lineRule="auto"/>
              <w:jc w:val="center"/>
              <w:rPr>
                <w:bCs/>
                <w:noProof/>
              </w:rPr>
            </w:pPr>
            <w:r>
              <w:rPr>
                <w:noProof/>
              </w:rPr>
              <w:t>Quareter</w:t>
            </w:r>
          </w:p>
        </w:tc>
        <w:tc>
          <w:tcPr>
            <w:tcW w:w="844" w:type="dxa"/>
            <w:shd w:val="clear" w:color="auto" w:fill="BDD7EE"/>
            <w:vAlign w:val="center"/>
            <w:hideMark/>
          </w:tcPr>
          <w:p w14:paraId="5E6916D9" w14:textId="77777777" w:rsidR="00553430" w:rsidRDefault="00212577">
            <w:pPr>
              <w:pStyle w:val="P68B1DB1-Normal58"/>
              <w:spacing w:after="0" w:line="276" w:lineRule="auto"/>
              <w:jc w:val="center"/>
              <w:rPr>
                <w:bCs/>
                <w:noProof/>
              </w:rPr>
            </w:pPr>
            <w:r>
              <w:rPr>
                <w:noProof/>
              </w:rPr>
              <w:t>Année</w:t>
            </w:r>
          </w:p>
        </w:tc>
        <w:tc>
          <w:tcPr>
            <w:tcW w:w="3282" w:type="dxa"/>
            <w:vMerge/>
            <w:hideMark/>
          </w:tcPr>
          <w:p w14:paraId="009E74F4"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2766DB31" w14:textId="77777777">
        <w:trPr>
          <w:trHeight w:val="283"/>
        </w:trPr>
        <w:tc>
          <w:tcPr>
            <w:tcW w:w="968" w:type="dxa"/>
            <w:shd w:val="clear" w:color="auto" w:fill="C6EFCE"/>
            <w:noWrap/>
          </w:tcPr>
          <w:p w14:paraId="4E08507F" w14:textId="77777777" w:rsidR="00553430" w:rsidRDefault="00212577">
            <w:pPr>
              <w:pStyle w:val="P68B1DB1-Normal66"/>
              <w:spacing w:after="0" w:line="276" w:lineRule="auto"/>
              <w:jc w:val="center"/>
              <w:rPr>
                <w:noProof/>
              </w:rPr>
            </w:pPr>
            <w:r>
              <w:rPr>
                <w:noProof/>
              </w:rPr>
              <w:t>231</w:t>
            </w:r>
          </w:p>
        </w:tc>
        <w:tc>
          <w:tcPr>
            <w:tcW w:w="1108" w:type="dxa"/>
            <w:shd w:val="clear" w:color="auto" w:fill="C6EFCE"/>
            <w:noWrap/>
          </w:tcPr>
          <w:p w14:paraId="3004F81F" w14:textId="77777777" w:rsidR="00553430" w:rsidRDefault="00212577">
            <w:pPr>
              <w:pStyle w:val="P68B1DB1-Normal66"/>
              <w:spacing w:after="200" w:line="276" w:lineRule="auto"/>
              <w:jc w:val="center"/>
              <w:rPr>
                <w:noProof/>
              </w:rPr>
            </w:pPr>
            <w:r>
              <w:rPr>
                <w:noProof/>
              </w:rPr>
              <w:t>C2.6. R1</w:t>
            </w:r>
          </w:p>
        </w:tc>
        <w:tc>
          <w:tcPr>
            <w:tcW w:w="1120" w:type="dxa"/>
            <w:shd w:val="clear" w:color="auto" w:fill="C6EFCE"/>
            <w:noWrap/>
          </w:tcPr>
          <w:p w14:paraId="49AF8AE3" w14:textId="77777777" w:rsidR="00553430" w:rsidRDefault="00212577">
            <w:pPr>
              <w:pStyle w:val="P68B1DB1-Normal66"/>
              <w:spacing w:after="200" w:line="276" w:lineRule="auto"/>
              <w:jc w:val="center"/>
              <w:rPr>
                <w:noProof/>
              </w:rPr>
            </w:pPr>
            <w:r>
              <w:rPr>
                <w:noProof/>
              </w:rPr>
              <w:t>M</w:t>
            </w:r>
          </w:p>
        </w:tc>
        <w:tc>
          <w:tcPr>
            <w:tcW w:w="1649" w:type="dxa"/>
            <w:shd w:val="clear" w:color="auto" w:fill="C6EFCE"/>
            <w:noWrap/>
          </w:tcPr>
          <w:p w14:paraId="6E700732" w14:textId="77777777" w:rsidR="00553430" w:rsidRDefault="00212577">
            <w:pPr>
              <w:pStyle w:val="P68B1DB1-Normal66"/>
              <w:spacing w:after="200" w:line="276" w:lineRule="auto"/>
              <w:rPr>
                <w:noProof/>
              </w:rPr>
            </w:pPr>
            <w:r>
              <w:rPr>
                <w:noProof/>
              </w:rPr>
              <w:t>Adoption d’une nouvelle stratégie de lutte contre la corruption pour la période 2021-2030</w:t>
            </w:r>
          </w:p>
        </w:tc>
        <w:tc>
          <w:tcPr>
            <w:tcW w:w="2172" w:type="dxa"/>
            <w:shd w:val="clear" w:color="auto" w:fill="C6EFCE"/>
            <w:noWrap/>
          </w:tcPr>
          <w:p w14:paraId="5AD0F61C" w14:textId="77777777" w:rsidR="00553430" w:rsidRDefault="00212577">
            <w:pPr>
              <w:pStyle w:val="P68B1DB1-Normal66"/>
              <w:spacing w:after="200" w:line="276" w:lineRule="auto"/>
              <w:rPr>
                <w:noProof/>
              </w:rPr>
            </w:pPr>
            <w:r>
              <w:rPr>
                <w:noProof/>
              </w:rPr>
              <w:t>Nouvelle stratégie de lutte contre la corruption 2021-2030 adoptée par le Parlement et publiée au Journal officiel</w:t>
            </w:r>
          </w:p>
        </w:tc>
        <w:tc>
          <w:tcPr>
            <w:tcW w:w="1141" w:type="dxa"/>
            <w:shd w:val="clear" w:color="auto" w:fill="C6EFCE"/>
            <w:noWrap/>
          </w:tcPr>
          <w:p w14:paraId="1D7E6E36" w14:textId="77777777" w:rsidR="00553430" w:rsidRDefault="00212577">
            <w:pPr>
              <w:pStyle w:val="P68B1DB1-Normal66"/>
              <w:spacing w:after="200" w:line="276" w:lineRule="auto"/>
              <w:jc w:val="center"/>
              <w:rPr>
                <w:noProof/>
              </w:rPr>
            </w:pPr>
            <w:r>
              <w:rPr>
                <w:noProof/>
              </w:rPr>
              <w:t> </w:t>
            </w:r>
          </w:p>
        </w:tc>
        <w:tc>
          <w:tcPr>
            <w:tcW w:w="807" w:type="dxa"/>
            <w:shd w:val="clear" w:color="auto" w:fill="C6EFCE"/>
            <w:noWrap/>
          </w:tcPr>
          <w:p w14:paraId="1656BF86" w14:textId="77777777" w:rsidR="00553430" w:rsidRDefault="00212577">
            <w:pPr>
              <w:pStyle w:val="P68B1DB1-Normal66"/>
              <w:spacing w:after="200" w:line="276" w:lineRule="auto"/>
              <w:jc w:val="center"/>
              <w:rPr>
                <w:noProof/>
              </w:rPr>
            </w:pPr>
            <w:r>
              <w:rPr>
                <w:noProof/>
              </w:rPr>
              <w:t> </w:t>
            </w:r>
          </w:p>
        </w:tc>
        <w:tc>
          <w:tcPr>
            <w:tcW w:w="831" w:type="dxa"/>
            <w:shd w:val="clear" w:color="auto" w:fill="C6EFCE"/>
            <w:noWrap/>
          </w:tcPr>
          <w:p w14:paraId="18FE2A1C" w14:textId="77777777" w:rsidR="00553430" w:rsidRDefault="00212577">
            <w:pPr>
              <w:pStyle w:val="P68B1DB1-Normal66"/>
              <w:spacing w:after="200" w:line="276" w:lineRule="auto"/>
              <w:jc w:val="center"/>
              <w:rPr>
                <w:noProof/>
              </w:rPr>
            </w:pPr>
            <w:r>
              <w:rPr>
                <w:noProof/>
              </w:rPr>
              <w:t> </w:t>
            </w:r>
          </w:p>
        </w:tc>
        <w:tc>
          <w:tcPr>
            <w:tcW w:w="1037" w:type="dxa"/>
            <w:shd w:val="clear" w:color="auto" w:fill="C6EFCE"/>
            <w:noWrap/>
          </w:tcPr>
          <w:p w14:paraId="69A23103" w14:textId="77777777" w:rsidR="00553430" w:rsidRDefault="00212577">
            <w:pPr>
              <w:pStyle w:val="P68B1DB1-Normal66"/>
              <w:spacing w:after="200" w:line="276" w:lineRule="auto"/>
              <w:jc w:val="center"/>
              <w:rPr>
                <w:noProof/>
              </w:rPr>
            </w:pPr>
            <w:r>
              <w:rPr>
                <w:noProof/>
              </w:rPr>
              <w:t>T3</w:t>
            </w:r>
          </w:p>
        </w:tc>
        <w:tc>
          <w:tcPr>
            <w:tcW w:w="844" w:type="dxa"/>
            <w:shd w:val="clear" w:color="auto" w:fill="C6EFCE"/>
            <w:noWrap/>
          </w:tcPr>
          <w:p w14:paraId="0E3F2CD0" w14:textId="77777777" w:rsidR="00553430" w:rsidRDefault="00212577">
            <w:pPr>
              <w:pStyle w:val="P68B1DB1-Normal66"/>
              <w:spacing w:after="200" w:line="276" w:lineRule="auto"/>
              <w:jc w:val="center"/>
              <w:rPr>
                <w:noProof/>
              </w:rPr>
            </w:pPr>
            <w:r>
              <w:rPr>
                <w:noProof/>
              </w:rPr>
              <w:t>2021</w:t>
            </w:r>
          </w:p>
        </w:tc>
        <w:tc>
          <w:tcPr>
            <w:tcW w:w="3282" w:type="dxa"/>
            <w:shd w:val="clear" w:color="auto" w:fill="C6EFCE"/>
            <w:noWrap/>
          </w:tcPr>
          <w:p w14:paraId="28A6F08B" w14:textId="77777777" w:rsidR="00553430" w:rsidRDefault="00212577">
            <w:pPr>
              <w:pStyle w:val="P68B1DB1-Normal66"/>
              <w:spacing w:after="200" w:line="276" w:lineRule="auto"/>
              <w:rPr>
                <w:noProof/>
              </w:rPr>
            </w:pPr>
            <w:r>
              <w:rPr>
                <w:noProof/>
              </w:rPr>
              <w:t>La stratégie comprend des mesures visant à gérer les risques de corruption dans les domaines prioritaires et à atteindre les cinq objectifs suivants:</w:t>
            </w:r>
            <w:r>
              <w:rPr>
                <w:noProof/>
              </w:rPr>
              <w:br/>
              <w:t>•Renforcer le cadre institutionnel et normatif de la lutte contre la corruption.</w:t>
            </w:r>
            <w:r>
              <w:rPr>
                <w:noProof/>
              </w:rPr>
              <w:br/>
              <w:t>•renforcer la transparenc</w:t>
            </w:r>
            <w:r>
              <w:rPr>
                <w:noProof/>
              </w:rPr>
              <w:t>e et l’ouverture du travail des pouvoirs publics.</w:t>
            </w:r>
            <w:r>
              <w:rPr>
                <w:noProof/>
              </w:rPr>
              <w:br/>
              <w:t xml:space="preserve">•renforcement des systèmes de gestion de l’intégrité et des conflits d’intérêts. </w:t>
            </w:r>
            <w:r>
              <w:rPr>
                <w:noProof/>
              </w:rPr>
              <w:br/>
              <w:t>•Renforcer le potentiel de lutte contre la corruption dans le système de passation des marchés publics.</w:t>
            </w:r>
            <w:r>
              <w:rPr>
                <w:noProof/>
              </w:rPr>
              <w:br/>
              <w:t>•sensibilisation acc</w:t>
            </w:r>
            <w:r>
              <w:rPr>
                <w:noProof/>
              </w:rPr>
              <w:t xml:space="preserve">rue du public à la nocivité de la corruption, à la nécessité de signaler les irrégularités et à l’amélioration de la transparence. </w:t>
            </w:r>
          </w:p>
        </w:tc>
      </w:tr>
      <w:tr w:rsidR="00553430" w14:paraId="1E4D4ADA" w14:textId="77777777">
        <w:trPr>
          <w:trHeight w:val="283"/>
        </w:trPr>
        <w:tc>
          <w:tcPr>
            <w:tcW w:w="968" w:type="dxa"/>
            <w:shd w:val="clear" w:color="auto" w:fill="C6EFCE"/>
            <w:noWrap/>
          </w:tcPr>
          <w:p w14:paraId="2FF3A059" w14:textId="77777777" w:rsidR="00553430" w:rsidRDefault="00212577">
            <w:pPr>
              <w:pStyle w:val="P68B1DB1-Normal66"/>
              <w:spacing w:after="200" w:line="276" w:lineRule="auto"/>
              <w:jc w:val="center"/>
              <w:rPr>
                <w:noProof/>
              </w:rPr>
            </w:pPr>
            <w:r>
              <w:rPr>
                <w:noProof/>
              </w:rPr>
              <w:t>232</w:t>
            </w:r>
          </w:p>
        </w:tc>
        <w:tc>
          <w:tcPr>
            <w:tcW w:w="1108" w:type="dxa"/>
            <w:shd w:val="clear" w:color="auto" w:fill="C6EFCE"/>
            <w:noWrap/>
          </w:tcPr>
          <w:p w14:paraId="305B3CFE" w14:textId="77777777" w:rsidR="00553430" w:rsidRDefault="00212577">
            <w:pPr>
              <w:pStyle w:val="P68B1DB1-Normal66"/>
              <w:spacing w:after="200" w:line="276" w:lineRule="auto"/>
              <w:jc w:val="center"/>
              <w:rPr>
                <w:noProof/>
              </w:rPr>
            </w:pPr>
            <w:r>
              <w:rPr>
                <w:noProof/>
              </w:rPr>
              <w:t>C2.6. R1</w:t>
            </w:r>
          </w:p>
        </w:tc>
        <w:tc>
          <w:tcPr>
            <w:tcW w:w="1120" w:type="dxa"/>
            <w:shd w:val="clear" w:color="auto" w:fill="C6EFCE"/>
            <w:noWrap/>
          </w:tcPr>
          <w:p w14:paraId="373F9AC4" w14:textId="77777777" w:rsidR="00553430" w:rsidRDefault="00212577">
            <w:pPr>
              <w:pStyle w:val="P68B1DB1-Normal66"/>
              <w:spacing w:after="200" w:line="276" w:lineRule="auto"/>
              <w:jc w:val="center"/>
              <w:rPr>
                <w:noProof/>
              </w:rPr>
            </w:pPr>
            <w:r>
              <w:rPr>
                <w:noProof/>
              </w:rPr>
              <w:t>M</w:t>
            </w:r>
          </w:p>
        </w:tc>
        <w:tc>
          <w:tcPr>
            <w:tcW w:w="1649" w:type="dxa"/>
            <w:shd w:val="clear" w:color="auto" w:fill="C6EFCE"/>
            <w:noWrap/>
          </w:tcPr>
          <w:p w14:paraId="1E21176A" w14:textId="77777777" w:rsidR="00553430" w:rsidRDefault="00212577">
            <w:pPr>
              <w:pStyle w:val="P68B1DB1-Normal66"/>
              <w:spacing w:after="200" w:line="276" w:lineRule="auto"/>
              <w:rPr>
                <w:noProof/>
              </w:rPr>
            </w:pPr>
            <w:r>
              <w:rPr>
                <w:noProof/>
              </w:rPr>
              <w:t xml:space="preserve">Adoption de la nouvelle loi sur la prévention des conflits d'intérêts </w:t>
            </w:r>
          </w:p>
        </w:tc>
        <w:tc>
          <w:tcPr>
            <w:tcW w:w="2172" w:type="dxa"/>
            <w:shd w:val="clear" w:color="auto" w:fill="C6EFCE"/>
            <w:noWrap/>
          </w:tcPr>
          <w:p w14:paraId="768BF88C" w14:textId="77777777" w:rsidR="00553430" w:rsidRDefault="00212577">
            <w:pPr>
              <w:pStyle w:val="P68B1DB1-Normal66"/>
              <w:spacing w:after="200" w:line="276" w:lineRule="auto"/>
              <w:rPr>
                <w:noProof/>
              </w:rPr>
            </w:pPr>
            <w:r>
              <w:rPr>
                <w:noProof/>
              </w:rPr>
              <w:t xml:space="preserve">Entrée en vigueur de la loi modifiant la loi sur la prévention des conflits d’intérêts </w:t>
            </w:r>
          </w:p>
        </w:tc>
        <w:tc>
          <w:tcPr>
            <w:tcW w:w="1141" w:type="dxa"/>
            <w:shd w:val="clear" w:color="auto" w:fill="C6EFCE"/>
            <w:noWrap/>
          </w:tcPr>
          <w:p w14:paraId="72CB1827" w14:textId="77777777" w:rsidR="00553430" w:rsidRDefault="00212577">
            <w:pPr>
              <w:pStyle w:val="P68B1DB1-Normal66"/>
              <w:spacing w:after="200" w:line="276" w:lineRule="auto"/>
              <w:jc w:val="center"/>
              <w:rPr>
                <w:noProof/>
              </w:rPr>
            </w:pPr>
            <w:r>
              <w:rPr>
                <w:noProof/>
              </w:rPr>
              <w:t> </w:t>
            </w:r>
          </w:p>
        </w:tc>
        <w:tc>
          <w:tcPr>
            <w:tcW w:w="807" w:type="dxa"/>
            <w:shd w:val="clear" w:color="auto" w:fill="C6EFCE"/>
            <w:noWrap/>
          </w:tcPr>
          <w:p w14:paraId="746A95C3" w14:textId="77777777" w:rsidR="00553430" w:rsidRDefault="00212577">
            <w:pPr>
              <w:pStyle w:val="P68B1DB1-Normal66"/>
              <w:spacing w:after="200" w:line="276" w:lineRule="auto"/>
              <w:jc w:val="center"/>
              <w:rPr>
                <w:noProof/>
              </w:rPr>
            </w:pPr>
            <w:r>
              <w:rPr>
                <w:noProof/>
              </w:rPr>
              <w:t> </w:t>
            </w:r>
          </w:p>
          <w:p w14:paraId="380054F3" w14:textId="77777777" w:rsidR="00553430" w:rsidRDefault="00553430">
            <w:pPr>
              <w:spacing w:after="200" w:line="276" w:lineRule="auto"/>
              <w:rPr>
                <w:rFonts w:ascii="Times New Roman" w:eastAsia="Calibri" w:hAnsi="Times New Roman" w:cs="Times New Roman"/>
                <w:noProof/>
                <w:sz w:val="20"/>
                <w:szCs w:val="20"/>
              </w:rPr>
            </w:pPr>
          </w:p>
        </w:tc>
        <w:tc>
          <w:tcPr>
            <w:tcW w:w="831" w:type="dxa"/>
            <w:shd w:val="clear" w:color="auto" w:fill="C6EFCE"/>
            <w:noWrap/>
          </w:tcPr>
          <w:p w14:paraId="7FC7B289" w14:textId="77777777" w:rsidR="00553430" w:rsidRDefault="00212577">
            <w:pPr>
              <w:pStyle w:val="P68B1DB1-Normal66"/>
              <w:spacing w:after="200" w:line="276" w:lineRule="auto"/>
              <w:jc w:val="center"/>
              <w:rPr>
                <w:noProof/>
              </w:rPr>
            </w:pPr>
            <w:r>
              <w:rPr>
                <w:noProof/>
              </w:rPr>
              <w:t> </w:t>
            </w:r>
          </w:p>
        </w:tc>
        <w:tc>
          <w:tcPr>
            <w:tcW w:w="1037" w:type="dxa"/>
            <w:shd w:val="clear" w:color="auto" w:fill="C6EFCE"/>
            <w:noWrap/>
          </w:tcPr>
          <w:p w14:paraId="2B191DD1" w14:textId="77777777" w:rsidR="00553430" w:rsidRDefault="00212577">
            <w:pPr>
              <w:pStyle w:val="P68B1DB1-Normal66"/>
              <w:spacing w:after="200" w:line="276" w:lineRule="auto"/>
              <w:jc w:val="center"/>
              <w:rPr>
                <w:noProof/>
              </w:rPr>
            </w:pPr>
            <w:r>
              <w:rPr>
                <w:noProof/>
              </w:rPr>
              <w:t>T4</w:t>
            </w:r>
          </w:p>
        </w:tc>
        <w:tc>
          <w:tcPr>
            <w:tcW w:w="844" w:type="dxa"/>
            <w:shd w:val="clear" w:color="auto" w:fill="C6EFCE"/>
            <w:noWrap/>
          </w:tcPr>
          <w:p w14:paraId="7D99B210" w14:textId="77777777" w:rsidR="00553430" w:rsidRDefault="00212577">
            <w:pPr>
              <w:pStyle w:val="P68B1DB1-Normal66"/>
              <w:spacing w:after="200" w:line="276" w:lineRule="auto"/>
              <w:jc w:val="center"/>
              <w:rPr>
                <w:noProof/>
              </w:rPr>
            </w:pPr>
            <w:r>
              <w:rPr>
                <w:noProof/>
              </w:rPr>
              <w:t>2021</w:t>
            </w:r>
          </w:p>
        </w:tc>
        <w:tc>
          <w:tcPr>
            <w:tcW w:w="3282" w:type="dxa"/>
            <w:shd w:val="clear" w:color="auto" w:fill="C6EFCE"/>
            <w:noWrap/>
          </w:tcPr>
          <w:p w14:paraId="0C511989" w14:textId="3DE77657" w:rsidR="00553430" w:rsidRDefault="00212577">
            <w:pPr>
              <w:pStyle w:val="P68B1DB1-Normal66"/>
              <w:spacing w:after="200" w:line="276" w:lineRule="auto"/>
              <w:rPr>
                <w:noProof/>
              </w:rPr>
            </w:pPr>
            <w:r>
              <w:rPr>
                <w:noProof/>
              </w:rPr>
              <w:t>La loi sur la prévention des conflits d’intérêts est modifiée pour i) étendre le champ d’application de la loi en ce qui concerne les destinataires, y co</w:t>
            </w:r>
            <w:r>
              <w:rPr>
                <w:noProof/>
              </w:rPr>
              <w:t>mpris les sociétés appartenant à des collectivités locales et régionales et les sociétés appartenant à ces sociétés, ii) obliger certaines catégories de destinataires de la loi à remplir des déclarations de patrimoine chaque année et à faire des déclaratio</w:t>
            </w:r>
            <w:r>
              <w:rPr>
                <w:noProof/>
              </w:rPr>
              <w:t>ns dans des délais donnés, iii) remédier à tout conflit d’intérêts potentiel, iv) réglementer la possibilité de mieux déterminer les sanctions en cas d’infraction en introduisant le principe de proportionnalité dans la loi et réglementer certains aspects d</w:t>
            </w:r>
            <w:r>
              <w:rPr>
                <w:noProof/>
              </w:rPr>
              <w:t>e la période de refroidissement, y compris les propositions du comité pour la résolution des conflits d’intérêts quant à la manière d’améliorer la législation dans la pratique et v) fournir une base juridique pour l’élaboration d’un modèle de code de déont</w:t>
            </w:r>
            <w:r>
              <w:rPr>
                <w:noProof/>
              </w:rPr>
              <w:t xml:space="preserve">ologie pour les membres des organes représentatifs des collectivités locales et régionales, dont l’adoption, la mise en œuvre et la surveillance relèveraient de la responsabilité des organes représentatifs. </w:t>
            </w:r>
          </w:p>
        </w:tc>
      </w:tr>
      <w:tr w:rsidR="00553430" w14:paraId="66F1AB0A" w14:textId="77777777">
        <w:trPr>
          <w:trHeight w:val="283"/>
        </w:trPr>
        <w:tc>
          <w:tcPr>
            <w:tcW w:w="968" w:type="dxa"/>
            <w:shd w:val="clear" w:color="auto" w:fill="C6EFCE"/>
            <w:noWrap/>
          </w:tcPr>
          <w:p w14:paraId="163D5BDF" w14:textId="77777777" w:rsidR="00553430" w:rsidRDefault="00212577">
            <w:pPr>
              <w:pStyle w:val="P68B1DB1-Normal66"/>
              <w:spacing w:after="200" w:line="276" w:lineRule="auto"/>
              <w:jc w:val="center"/>
              <w:rPr>
                <w:noProof/>
              </w:rPr>
            </w:pPr>
            <w:r>
              <w:rPr>
                <w:noProof/>
              </w:rPr>
              <w:t>233</w:t>
            </w:r>
          </w:p>
        </w:tc>
        <w:tc>
          <w:tcPr>
            <w:tcW w:w="1108" w:type="dxa"/>
            <w:shd w:val="clear" w:color="auto" w:fill="C6EFCE"/>
            <w:noWrap/>
          </w:tcPr>
          <w:p w14:paraId="4AFA4936" w14:textId="77777777" w:rsidR="00553430" w:rsidRDefault="00212577">
            <w:pPr>
              <w:pStyle w:val="P68B1DB1-Normal66"/>
              <w:spacing w:after="200" w:line="276" w:lineRule="auto"/>
              <w:jc w:val="center"/>
              <w:rPr>
                <w:noProof/>
              </w:rPr>
            </w:pPr>
            <w:r>
              <w:rPr>
                <w:noProof/>
              </w:rPr>
              <w:t>C2.6. R1</w:t>
            </w:r>
          </w:p>
        </w:tc>
        <w:tc>
          <w:tcPr>
            <w:tcW w:w="1120" w:type="dxa"/>
            <w:shd w:val="clear" w:color="auto" w:fill="C6EFCE"/>
            <w:noWrap/>
          </w:tcPr>
          <w:p w14:paraId="7ED7763A" w14:textId="77777777" w:rsidR="00553430" w:rsidRDefault="00212577">
            <w:pPr>
              <w:pStyle w:val="P68B1DB1-Normal66"/>
              <w:spacing w:after="200" w:line="276" w:lineRule="auto"/>
              <w:jc w:val="center"/>
              <w:rPr>
                <w:noProof/>
              </w:rPr>
            </w:pPr>
            <w:r>
              <w:rPr>
                <w:noProof/>
              </w:rPr>
              <w:t>M</w:t>
            </w:r>
          </w:p>
        </w:tc>
        <w:tc>
          <w:tcPr>
            <w:tcW w:w="1649" w:type="dxa"/>
            <w:shd w:val="clear" w:color="auto" w:fill="C6EFCE"/>
            <w:noWrap/>
          </w:tcPr>
          <w:p w14:paraId="2ADF9891" w14:textId="77777777" w:rsidR="00553430" w:rsidRDefault="00212577">
            <w:pPr>
              <w:pStyle w:val="P68B1DB1-Normal66"/>
              <w:spacing w:after="200" w:line="276" w:lineRule="auto"/>
              <w:rPr>
                <w:noProof/>
              </w:rPr>
            </w:pPr>
            <w:r>
              <w:rPr>
                <w:noProof/>
              </w:rPr>
              <w:t xml:space="preserve">Adoption de modifications de la </w:t>
            </w:r>
            <w:r>
              <w:rPr>
                <w:noProof/>
              </w:rPr>
              <w:t>loi sur la protection des personnes signalant des irrégularités</w:t>
            </w:r>
          </w:p>
        </w:tc>
        <w:tc>
          <w:tcPr>
            <w:tcW w:w="2172" w:type="dxa"/>
            <w:shd w:val="clear" w:color="auto" w:fill="C6EFCE"/>
            <w:noWrap/>
          </w:tcPr>
          <w:p w14:paraId="5EECB223" w14:textId="77777777" w:rsidR="00553430" w:rsidRDefault="00212577">
            <w:pPr>
              <w:pStyle w:val="P68B1DB1-Normal66"/>
              <w:spacing w:after="200" w:line="276" w:lineRule="auto"/>
              <w:rPr>
                <w:noProof/>
              </w:rPr>
            </w:pPr>
            <w:r>
              <w:rPr>
                <w:noProof/>
              </w:rPr>
              <w:t xml:space="preserve">Entrée en vigueur des modifications apportées à la loi sur la protection des personnes signalant des irrégularités </w:t>
            </w:r>
          </w:p>
        </w:tc>
        <w:tc>
          <w:tcPr>
            <w:tcW w:w="1141" w:type="dxa"/>
            <w:shd w:val="clear" w:color="auto" w:fill="C6EFCE"/>
            <w:noWrap/>
          </w:tcPr>
          <w:p w14:paraId="397AE326" w14:textId="77777777" w:rsidR="00553430" w:rsidRDefault="00212577">
            <w:pPr>
              <w:pStyle w:val="P68B1DB1-Normal66"/>
              <w:spacing w:after="200" w:line="276" w:lineRule="auto"/>
              <w:jc w:val="center"/>
              <w:rPr>
                <w:noProof/>
              </w:rPr>
            </w:pPr>
            <w:r>
              <w:rPr>
                <w:noProof/>
              </w:rPr>
              <w:t> </w:t>
            </w:r>
          </w:p>
        </w:tc>
        <w:tc>
          <w:tcPr>
            <w:tcW w:w="807" w:type="dxa"/>
            <w:shd w:val="clear" w:color="auto" w:fill="C6EFCE"/>
            <w:noWrap/>
          </w:tcPr>
          <w:p w14:paraId="3A68FB00" w14:textId="77777777" w:rsidR="00553430" w:rsidRDefault="00212577">
            <w:pPr>
              <w:pStyle w:val="P68B1DB1-Normal66"/>
              <w:spacing w:after="200" w:line="276" w:lineRule="auto"/>
              <w:jc w:val="center"/>
              <w:rPr>
                <w:noProof/>
              </w:rPr>
            </w:pPr>
            <w:r>
              <w:rPr>
                <w:noProof/>
              </w:rPr>
              <w:t> </w:t>
            </w:r>
          </w:p>
        </w:tc>
        <w:tc>
          <w:tcPr>
            <w:tcW w:w="831" w:type="dxa"/>
            <w:shd w:val="clear" w:color="auto" w:fill="C6EFCE"/>
            <w:noWrap/>
          </w:tcPr>
          <w:p w14:paraId="687212CD" w14:textId="77777777" w:rsidR="00553430" w:rsidRDefault="00212577">
            <w:pPr>
              <w:pStyle w:val="P68B1DB1-Normal66"/>
              <w:spacing w:after="200" w:line="276" w:lineRule="auto"/>
              <w:jc w:val="center"/>
              <w:rPr>
                <w:noProof/>
              </w:rPr>
            </w:pPr>
            <w:r>
              <w:rPr>
                <w:noProof/>
              </w:rPr>
              <w:t> </w:t>
            </w:r>
          </w:p>
        </w:tc>
        <w:tc>
          <w:tcPr>
            <w:tcW w:w="1037" w:type="dxa"/>
            <w:shd w:val="clear" w:color="auto" w:fill="C6EFCE"/>
            <w:noWrap/>
          </w:tcPr>
          <w:p w14:paraId="7B484093" w14:textId="77777777" w:rsidR="00553430" w:rsidRDefault="00212577">
            <w:pPr>
              <w:pStyle w:val="P68B1DB1-Normal66"/>
              <w:spacing w:after="200" w:line="276" w:lineRule="auto"/>
              <w:jc w:val="center"/>
              <w:rPr>
                <w:noProof/>
              </w:rPr>
            </w:pPr>
            <w:r>
              <w:rPr>
                <w:noProof/>
              </w:rPr>
              <w:t>T4</w:t>
            </w:r>
          </w:p>
        </w:tc>
        <w:tc>
          <w:tcPr>
            <w:tcW w:w="844" w:type="dxa"/>
            <w:shd w:val="clear" w:color="auto" w:fill="C6EFCE"/>
            <w:noWrap/>
          </w:tcPr>
          <w:p w14:paraId="1DE23C25" w14:textId="77777777" w:rsidR="00553430" w:rsidRDefault="00212577">
            <w:pPr>
              <w:pStyle w:val="P68B1DB1-Normal66"/>
              <w:spacing w:after="200" w:line="276" w:lineRule="auto"/>
              <w:jc w:val="center"/>
              <w:rPr>
                <w:noProof/>
              </w:rPr>
            </w:pPr>
            <w:r>
              <w:rPr>
                <w:noProof/>
              </w:rPr>
              <w:t>2022</w:t>
            </w:r>
          </w:p>
        </w:tc>
        <w:tc>
          <w:tcPr>
            <w:tcW w:w="3282" w:type="dxa"/>
            <w:shd w:val="clear" w:color="auto" w:fill="C6EFCE"/>
            <w:noWrap/>
          </w:tcPr>
          <w:p w14:paraId="0B2A0AEC" w14:textId="77777777" w:rsidR="00553430" w:rsidRDefault="00212577">
            <w:pPr>
              <w:pStyle w:val="P68B1DB1-Normal66"/>
              <w:spacing w:after="200" w:line="276" w:lineRule="auto"/>
              <w:rPr>
                <w:noProof/>
              </w:rPr>
            </w:pPr>
            <w:r>
              <w:rPr>
                <w:noProof/>
              </w:rPr>
              <w:t>La loi sur la protection des personnes signalant des irrégular</w:t>
            </w:r>
            <w:r>
              <w:rPr>
                <w:noProof/>
              </w:rPr>
              <w:t>ités est modifiée pour i) améliorer les dispositions de la loi, ii) clarifier la notion de personne confidentielle et iii) prévoir la délivrance d'un certificat d'enregistrement reçu.</w:t>
            </w:r>
          </w:p>
        </w:tc>
      </w:tr>
      <w:tr w:rsidR="00553430" w14:paraId="3C7251CC" w14:textId="77777777">
        <w:trPr>
          <w:trHeight w:val="283"/>
        </w:trPr>
        <w:tc>
          <w:tcPr>
            <w:tcW w:w="968" w:type="dxa"/>
            <w:shd w:val="clear" w:color="auto" w:fill="C6EFCE"/>
            <w:noWrap/>
          </w:tcPr>
          <w:p w14:paraId="603B9E62" w14:textId="77777777" w:rsidR="00553430" w:rsidRDefault="00212577">
            <w:pPr>
              <w:pStyle w:val="P68B1DB1-Normal66"/>
              <w:spacing w:after="200" w:line="276" w:lineRule="auto"/>
              <w:jc w:val="center"/>
              <w:rPr>
                <w:noProof/>
              </w:rPr>
            </w:pPr>
            <w:r>
              <w:rPr>
                <w:noProof/>
              </w:rPr>
              <w:t>234</w:t>
            </w:r>
          </w:p>
        </w:tc>
        <w:tc>
          <w:tcPr>
            <w:tcW w:w="1108" w:type="dxa"/>
            <w:shd w:val="clear" w:color="auto" w:fill="C6EFCE"/>
            <w:noWrap/>
          </w:tcPr>
          <w:p w14:paraId="6A380A30" w14:textId="77777777" w:rsidR="00553430" w:rsidRDefault="00212577">
            <w:pPr>
              <w:pStyle w:val="P68B1DB1-Normal66"/>
              <w:spacing w:after="200" w:line="276" w:lineRule="auto"/>
              <w:jc w:val="center"/>
              <w:rPr>
                <w:noProof/>
              </w:rPr>
            </w:pPr>
            <w:r>
              <w:rPr>
                <w:noProof/>
              </w:rPr>
              <w:t>C2.6. R1</w:t>
            </w:r>
          </w:p>
        </w:tc>
        <w:tc>
          <w:tcPr>
            <w:tcW w:w="1120" w:type="dxa"/>
            <w:shd w:val="clear" w:color="auto" w:fill="C6EFCE"/>
            <w:noWrap/>
          </w:tcPr>
          <w:p w14:paraId="02EBC58F" w14:textId="77777777" w:rsidR="00553430" w:rsidRDefault="00212577">
            <w:pPr>
              <w:pStyle w:val="P68B1DB1-Normal66"/>
              <w:spacing w:after="200" w:line="276" w:lineRule="auto"/>
              <w:jc w:val="center"/>
              <w:rPr>
                <w:noProof/>
              </w:rPr>
            </w:pPr>
            <w:r>
              <w:rPr>
                <w:noProof/>
              </w:rPr>
              <w:t>M</w:t>
            </w:r>
          </w:p>
        </w:tc>
        <w:tc>
          <w:tcPr>
            <w:tcW w:w="1649" w:type="dxa"/>
            <w:shd w:val="clear" w:color="auto" w:fill="C6EFCE"/>
            <w:noWrap/>
          </w:tcPr>
          <w:p w14:paraId="2A06A491" w14:textId="77777777" w:rsidR="00553430" w:rsidRDefault="00212577">
            <w:pPr>
              <w:pStyle w:val="P68B1DB1-Normal66"/>
              <w:spacing w:after="200" w:line="276" w:lineRule="auto"/>
              <w:rPr>
                <w:noProof/>
              </w:rPr>
            </w:pPr>
            <w:r>
              <w:rPr>
                <w:noProof/>
              </w:rPr>
              <w:t>Adoption d'un code de déontologie pour les parlementaires et d'un code de déontologie pour les fonctionnaires de l'exécutif</w:t>
            </w:r>
          </w:p>
        </w:tc>
        <w:tc>
          <w:tcPr>
            <w:tcW w:w="2172" w:type="dxa"/>
            <w:shd w:val="clear" w:color="auto" w:fill="C6EFCE"/>
            <w:noWrap/>
          </w:tcPr>
          <w:p w14:paraId="5BE40932" w14:textId="77777777" w:rsidR="00553430" w:rsidRDefault="00212577">
            <w:pPr>
              <w:pStyle w:val="P68B1DB1-Normal66"/>
              <w:spacing w:after="200" w:line="276" w:lineRule="auto"/>
              <w:rPr>
                <w:noProof/>
              </w:rPr>
            </w:pPr>
            <w:r>
              <w:rPr>
                <w:noProof/>
              </w:rPr>
              <w:t>Entrée en vigueur d'un code de déontologie pour les parlementaires et d'un code de déontologie pour les fonctionnaires de l'exécutif</w:t>
            </w:r>
          </w:p>
        </w:tc>
        <w:tc>
          <w:tcPr>
            <w:tcW w:w="1141" w:type="dxa"/>
            <w:shd w:val="clear" w:color="auto" w:fill="C6EFCE"/>
            <w:noWrap/>
          </w:tcPr>
          <w:p w14:paraId="5641AEAF" w14:textId="77777777" w:rsidR="00553430" w:rsidRDefault="00212577">
            <w:pPr>
              <w:pStyle w:val="P68B1DB1-Normal66"/>
              <w:spacing w:after="200" w:line="276" w:lineRule="auto"/>
              <w:jc w:val="center"/>
              <w:rPr>
                <w:noProof/>
              </w:rPr>
            </w:pPr>
            <w:r>
              <w:rPr>
                <w:noProof/>
              </w:rPr>
              <w:t> </w:t>
            </w:r>
          </w:p>
        </w:tc>
        <w:tc>
          <w:tcPr>
            <w:tcW w:w="807" w:type="dxa"/>
            <w:shd w:val="clear" w:color="auto" w:fill="C6EFCE"/>
            <w:noWrap/>
          </w:tcPr>
          <w:p w14:paraId="30D76284" w14:textId="77777777" w:rsidR="00553430" w:rsidRDefault="00212577">
            <w:pPr>
              <w:pStyle w:val="P68B1DB1-Normal66"/>
              <w:spacing w:after="200" w:line="276" w:lineRule="auto"/>
              <w:jc w:val="center"/>
              <w:rPr>
                <w:noProof/>
              </w:rPr>
            </w:pPr>
            <w:r>
              <w:rPr>
                <w:noProof/>
              </w:rPr>
              <w:t> </w:t>
            </w:r>
          </w:p>
        </w:tc>
        <w:tc>
          <w:tcPr>
            <w:tcW w:w="831" w:type="dxa"/>
            <w:shd w:val="clear" w:color="auto" w:fill="C6EFCE"/>
            <w:noWrap/>
          </w:tcPr>
          <w:p w14:paraId="51EB2DDB" w14:textId="77777777" w:rsidR="00553430" w:rsidRDefault="00212577">
            <w:pPr>
              <w:pStyle w:val="P68B1DB1-Normal66"/>
              <w:spacing w:after="200" w:line="276" w:lineRule="auto"/>
              <w:jc w:val="center"/>
              <w:rPr>
                <w:noProof/>
              </w:rPr>
            </w:pPr>
            <w:r>
              <w:rPr>
                <w:noProof/>
              </w:rPr>
              <w:t> </w:t>
            </w:r>
          </w:p>
        </w:tc>
        <w:tc>
          <w:tcPr>
            <w:tcW w:w="1037" w:type="dxa"/>
            <w:shd w:val="clear" w:color="auto" w:fill="C6EFCE"/>
            <w:noWrap/>
          </w:tcPr>
          <w:p w14:paraId="464B0479" w14:textId="77777777" w:rsidR="00553430" w:rsidRDefault="00212577">
            <w:pPr>
              <w:pStyle w:val="P68B1DB1-Normal66"/>
              <w:spacing w:after="200" w:line="276" w:lineRule="auto"/>
              <w:jc w:val="center"/>
              <w:rPr>
                <w:noProof/>
              </w:rPr>
            </w:pPr>
            <w:r>
              <w:rPr>
                <w:noProof/>
              </w:rPr>
              <w:t>T4</w:t>
            </w:r>
          </w:p>
        </w:tc>
        <w:tc>
          <w:tcPr>
            <w:tcW w:w="844" w:type="dxa"/>
            <w:shd w:val="clear" w:color="auto" w:fill="C6EFCE"/>
            <w:noWrap/>
          </w:tcPr>
          <w:p w14:paraId="46F76E99" w14:textId="77777777" w:rsidR="00553430" w:rsidRDefault="00212577">
            <w:pPr>
              <w:pStyle w:val="P68B1DB1-Normal66"/>
              <w:spacing w:after="200" w:line="276" w:lineRule="auto"/>
              <w:jc w:val="center"/>
              <w:rPr>
                <w:noProof/>
              </w:rPr>
            </w:pPr>
            <w:r>
              <w:rPr>
                <w:noProof/>
              </w:rPr>
              <w:t>2023</w:t>
            </w:r>
          </w:p>
        </w:tc>
        <w:tc>
          <w:tcPr>
            <w:tcW w:w="3282" w:type="dxa"/>
            <w:shd w:val="clear" w:color="auto" w:fill="C6EFCE"/>
            <w:noWrap/>
          </w:tcPr>
          <w:p w14:paraId="1D5AB8DA" w14:textId="77777777" w:rsidR="00553430" w:rsidRDefault="00212577">
            <w:pPr>
              <w:pStyle w:val="P68B1DB1-Normal66"/>
              <w:spacing w:after="200" w:line="276" w:lineRule="auto"/>
              <w:rPr>
                <w:noProof/>
              </w:rPr>
            </w:pPr>
            <w:r>
              <w:rPr>
                <w:noProof/>
              </w:rPr>
              <w:t>Le Code de déontologie à l'intention des parlementaires et des fonctionnaires de l'exécutif fournira des directives sur les conflits d'intérêts et d'autres questions d'intégrité.</w:t>
            </w:r>
          </w:p>
        </w:tc>
      </w:tr>
      <w:tr w:rsidR="00553430" w14:paraId="584EA1EA" w14:textId="77777777">
        <w:trPr>
          <w:trHeight w:val="283"/>
        </w:trPr>
        <w:tc>
          <w:tcPr>
            <w:tcW w:w="968" w:type="dxa"/>
            <w:shd w:val="clear" w:color="auto" w:fill="C6EFCE"/>
            <w:noWrap/>
          </w:tcPr>
          <w:p w14:paraId="08B8C758" w14:textId="77777777" w:rsidR="00553430" w:rsidRDefault="00212577">
            <w:pPr>
              <w:pStyle w:val="P68B1DB1-Normal66"/>
              <w:spacing w:after="200" w:line="276" w:lineRule="auto"/>
              <w:jc w:val="center"/>
              <w:rPr>
                <w:noProof/>
              </w:rPr>
            </w:pPr>
            <w:r>
              <w:rPr>
                <w:noProof/>
              </w:rPr>
              <w:t>235</w:t>
            </w:r>
          </w:p>
        </w:tc>
        <w:tc>
          <w:tcPr>
            <w:tcW w:w="1108" w:type="dxa"/>
            <w:shd w:val="clear" w:color="auto" w:fill="C6EFCE"/>
            <w:noWrap/>
          </w:tcPr>
          <w:p w14:paraId="33C43258" w14:textId="77777777" w:rsidR="00553430" w:rsidRDefault="00212577">
            <w:pPr>
              <w:pStyle w:val="P68B1DB1-Normal66"/>
              <w:spacing w:after="200" w:line="276" w:lineRule="auto"/>
              <w:jc w:val="center"/>
              <w:rPr>
                <w:noProof/>
              </w:rPr>
            </w:pPr>
            <w:r>
              <w:rPr>
                <w:noProof/>
              </w:rPr>
              <w:t>C2.6. R1</w:t>
            </w:r>
          </w:p>
        </w:tc>
        <w:tc>
          <w:tcPr>
            <w:tcW w:w="1120" w:type="dxa"/>
            <w:shd w:val="clear" w:color="auto" w:fill="C6EFCE"/>
            <w:noWrap/>
          </w:tcPr>
          <w:p w14:paraId="08CC165D" w14:textId="77777777" w:rsidR="00553430" w:rsidRDefault="00212577">
            <w:pPr>
              <w:pStyle w:val="P68B1DB1-Normal66"/>
              <w:spacing w:after="200" w:line="276" w:lineRule="auto"/>
              <w:jc w:val="center"/>
              <w:rPr>
                <w:noProof/>
              </w:rPr>
            </w:pPr>
            <w:r>
              <w:rPr>
                <w:noProof/>
              </w:rPr>
              <w:t>T</w:t>
            </w:r>
          </w:p>
        </w:tc>
        <w:tc>
          <w:tcPr>
            <w:tcW w:w="1649" w:type="dxa"/>
            <w:shd w:val="clear" w:color="auto" w:fill="C6EFCE"/>
            <w:noWrap/>
          </w:tcPr>
          <w:p w14:paraId="1882B0B3" w14:textId="77777777" w:rsidR="00553430" w:rsidRDefault="00212577">
            <w:pPr>
              <w:pStyle w:val="P68B1DB1-Normal66"/>
              <w:spacing w:after="200" w:line="276" w:lineRule="auto"/>
              <w:rPr>
                <w:noProof/>
              </w:rPr>
            </w:pPr>
            <w:r>
              <w:rPr>
                <w:noProof/>
              </w:rPr>
              <w:t xml:space="preserve">Augmenter le budget du personnel des organes de lutte contre la corruption dans le </w:t>
            </w:r>
            <w:r>
              <w:rPr>
                <w:noProof/>
                <w:u w:val="single"/>
              </w:rPr>
              <w:t>système</w:t>
            </w:r>
            <w:r>
              <w:rPr>
                <w:noProof/>
              </w:rPr>
              <w:t xml:space="preserve"> judiciaire.</w:t>
            </w:r>
          </w:p>
        </w:tc>
        <w:tc>
          <w:tcPr>
            <w:tcW w:w="2172" w:type="dxa"/>
            <w:shd w:val="clear" w:color="auto" w:fill="C6EFCE"/>
            <w:noWrap/>
          </w:tcPr>
          <w:p w14:paraId="68C17E5E" w14:textId="77777777" w:rsidR="00553430" w:rsidRDefault="00212577">
            <w:pPr>
              <w:pStyle w:val="P68B1DB1-Normal110"/>
              <w:spacing w:after="200" w:line="276" w:lineRule="auto"/>
              <w:rPr>
                <w:noProof/>
              </w:rPr>
            </w:pPr>
            <w:r>
              <w:rPr>
                <w:noProof/>
              </w:rPr>
              <w:t xml:space="preserve"> </w:t>
            </w:r>
          </w:p>
        </w:tc>
        <w:tc>
          <w:tcPr>
            <w:tcW w:w="1141" w:type="dxa"/>
            <w:shd w:val="clear" w:color="auto" w:fill="C6EFCE"/>
            <w:noWrap/>
          </w:tcPr>
          <w:p w14:paraId="6219D6F4" w14:textId="77777777" w:rsidR="00553430" w:rsidRDefault="00212577">
            <w:pPr>
              <w:pStyle w:val="P68B1DB1-Normal66"/>
              <w:spacing w:after="200" w:line="276" w:lineRule="auto"/>
              <w:jc w:val="center"/>
              <w:rPr>
                <w:noProof/>
              </w:rPr>
            </w:pPr>
            <w:r>
              <w:rPr>
                <w:noProof/>
              </w:rPr>
              <w:t>% (pourcentage)</w:t>
            </w:r>
          </w:p>
        </w:tc>
        <w:tc>
          <w:tcPr>
            <w:tcW w:w="807" w:type="dxa"/>
            <w:shd w:val="clear" w:color="auto" w:fill="C6EFCE"/>
            <w:noWrap/>
          </w:tcPr>
          <w:p w14:paraId="145843AE" w14:textId="77777777" w:rsidR="00553430" w:rsidRDefault="00212577">
            <w:pPr>
              <w:pStyle w:val="P68B1DB1-Normal66"/>
              <w:spacing w:after="200" w:line="276" w:lineRule="auto"/>
              <w:jc w:val="center"/>
              <w:rPr>
                <w:noProof/>
              </w:rPr>
            </w:pPr>
            <w:r>
              <w:rPr>
                <w:noProof/>
              </w:rPr>
              <w:t>100</w:t>
            </w:r>
          </w:p>
        </w:tc>
        <w:tc>
          <w:tcPr>
            <w:tcW w:w="831" w:type="dxa"/>
            <w:shd w:val="clear" w:color="auto" w:fill="C6EFCE"/>
            <w:noWrap/>
          </w:tcPr>
          <w:p w14:paraId="1929396A" w14:textId="77777777" w:rsidR="00553430" w:rsidRDefault="00212577">
            <w:pPr>
              <w:pStyle w:val="P68B1DB1-Normal66"/>
              <w:spacing w:after="200" w:line="276" w:lineRule="auto"/>
              <w:jc w:val="center"/>
              <w:rPr>
                <w:noProof/>
              </w:rPr>
            </w:pPr>
            <w:r>
              <w:rPr>
                <w:noProof/>
              </w:rPr>
              <w:t>110</w:t>
            </w:r>
          </w:p>
        </w:tc>
        <w:tc>
          <w:tcPr>
            <w:tcW w:w="1037" w:type="dxa"/>
            <w:shd w:val="clear" w:color="auto" w:fill="C6EFCE"/>
            <w:noWrap/>
          </w:tcPr>
          <w:p w14:paraId="5D8C4AC2" w14:textId="77777777" w:rsidR="00553430" w:rsidRDefault="00212577">
            <w:pPr>
              <w:pStyle w:val="P68B1DB1-Normal66"/>
              <w:spacing w:after="200" w:line="276" w:lineRule="auto"/>
              <w:jc w:val="center"/>
              <w:rPr>
                <w:noProof/>
              </w:rPr>
            </w:pPr>
            <w:r>
              <w:rPr>
                <w:noProof/>
              </w:rPr>
              <w:t>T2</w:t>
            </w:r>
          </w:p>
        </w:tc>
        <w:tc>
          <w:tcPr>
            <w:tcW w:w="844" w:type="dxa"/>
            <w:shd w:val="clear" w:color="auto" w:fill="C6EFCE"/>
            <w:noWrap/>
          </w:tcPr>
          <w:p w14:paraId="6A1CD79B" w14:textId="77777777" w:rsidR="00553430" w:rsidRDefault="00212577">
            <w:pPr>
              <w:pStyle w:val="P68B1DB1-Normal66"/>
              <w:spacing w:after="200" w:line="276" w:lineRule="auto"/>
              <w:jc w:val="center"/>
              <w:rPr>
                <w:noProof/>
              </w:rPr>
            </w:pPr>
            <w:r>
              <w:rPr>
                <w:noProof/>
              </w:rPr>
              <w:t>2024</w:t>
            </w:r>
          </w:p>
        </w:tc>
        <w:tc>
          <w:tcPr>
            <w:tcW w:w="3282" w:type="dxa"/>
            <w:shd w:val="clear" w:color="auto" w:fill="C6EFCE"/>
            <w:noWrap/>
          </w:tcPr>
          <w:p w14:paraId="6F883B0F" w14:textId="77777777" w:rsidR="00553430" w:rsidRDefault="00212577">
            <w:pPr>
              <w:pStyle w:val="P68B1DB1-Normal66"/>
              <w:spacing w:after="200" w:line="276" w:lineRule="auto"/>
              <w:rPr>
                <w:noProof/>
              </w:rPr>
            </w:pPr>
            <w:r>
              <w:rPr>
                <w:noProof/>
              </w:rPr>
              <w:t>Augmentation de 10 % du budget du personnel par rapport à 2020 (y compris le recrutement et la mobilité au sein du syst</w:t>
            </w:r>
            <w:r>
              <w:rPr>
                <w:noProof/>
              </w:rPr>
              <w:t xml:space="preserve">ème judiciaire). </w:t>
            </w:r>
          </w:p>
        </w:tc>
      </w:tr>
      <w:tr w:rsidR="00553430" w14:paraId="2CD14432" w14:textId="77777777">
        <w:trPr>
          <w:trHeight w:val="283"/>
        </w:trPr>
        <w:tc>
          <w:tcPr>
            <w:tcW w:w="968" w:type="dxa"/>
            <w:shd w:val="clear" w:color="auto" w:fill="C6EFCE"/>
            <w:noWrap/>
          </w:tcPr>
          <w:p w14:paraId="5BA66466" w14:textId="77777777" w:rsidR="00553430" w:rsidRDefault="00212577">
            <w:pPr>
              <w:pStyle w:val="P68B1DB1-Normal66"/>
              <w:spacing w:after="200" w:line="276" w:lineRule="auto"/>
              <w:jc w:val="center"/>
              <w:rPr>
                <w:noProof/>
              </w:rPr>
            </w:pPr>
            <w:r>
              <w:rPr>
                <w:noProof/>
              </w:rPr>
              <w:t>236</w:t>
            </w:r>
          </w:p>
        </w:tc>
        <w:tc>
          <w:tcPr>
            <w:tcW w:w="1108" w:type="dxa"/>
            <w:shd w:val="clear" w:color="auto" w:fill="C6EFCE"/>
            <w:noWrap/>
          </w:tcPr>
          <w:p w14:paraId="19668775" w14:textId="77777777" w:rsidR="00553430" w:rsidRDefault="00212577">
            <w:pPr>
              <w:pStyle w:val="P68B1DB1-Normal66"/>
              <w:spacing w:after="200" w:line="276" w:lineRule="auto"/>
              <w:jc w:val="center"/>
              <w:rPr>
                <w:noProof/>
              </w:rPr>
            </w:pPr>
            <w:r>
              <w:rPr>
                <w:noProof/>
              </w:rPr>
              <w:t>C2.6. R1</w:t>
            </w:r>
          </w:p>
        </w:tc>
        <w:tc>
          <w:tcPr>
            <w:tcW w:w="1120" w:type="dxa"/>
            <w:shd w:val="clear" w:color="auto" w:fill="C6EFCE"/>
            <w:noWrap/>
          </w:tcPr>
          <w:p w14:paraId="0D674449" w14:textId="77777777" w:rsidR="00553430" w:rsidRDefault="00212577">
            <w:pPr>
              <w:pStyle w:val="P68B1DB1-Normal66"/>
              <w:spacing w:after="200" w:line="276" w:lineRule="auto"/>
              <w:jc w:val="center"/>
              <w:rPr>
                <w:noProof/>
              </w:rPr>
            </w:pPr>
            <w:r>
              <w:rPr>
                <w:noProof/>
              </w:rPr>
              <w:t>T</w:t>
            </w:r>
          </w:p>
        </w:tc>
        <w:tc>
          <w:tcPr>
            <w:tcW w:w="1649" w:type="dxa"/>
            <w:shd w:val="clear" w:color="auto" w:fill="C6EFCE"/>
            <w:noWrap/>
          </w:tcPr>
          <w:p w14:paraId="4DB36183" w14:textId="77777777" w:rsidR="00553430" w:rsidRDefault="00212577">
            <w:pPr>
              <w:pStyle w:val="P68B1DB1-Normal66"/>
              <w:spacing w:after="200" w:line="276" w:lineRule="auto"/>
              <w:rPr>
                <w:noProof/>
              </w:rPr>
            </w:pPr>
            <w:r>
              <w:rPr>
                <w:noProof/>
              </w:rPr>
              <w:t xml:space="preserve">Augmenter le budget consacré à l’acquisition d’outils et d’équipements informatiques par les autorités judiciaires pour enquêter sur les </w:t>
            </w:r>
            <w:r>
              <w:rPr>
                <w:noProof/>
                <w:u w:val="single"/>
              </w:rPr>
              <w:t>infractions</w:t>
            </w:r>
            <w:r>
              <w:rPr>
                <w:noProof/>
              </w:rPr>
              <w:t xml:space="preserve"> de corruption et de criminalité organisée</w:t>
            </w:r>
          </w:p>
        </w:tc>
        <w:tc>
          <w:tcPr>
            <w:tcW w:w="2172" w:type="dxa"/>
            <w:shd w:val="clear" w:color="auto" w:fill="C6EFCE"/>
            <w:noWrap/>
          </w:tcPr>
          <w:p w14:paraId="75B0B2E2" w14:textId="77777777" w:rsidR="00553430" w:rsidRDefault="00212577">
            <w:pPr>
              <w:pStyle w:val="P68B1DB1-Normal66"/>
              <w:spacing w:after="200" w:line="276" w:lineRule="auto"/>
              <w:rPr>
                <w:noProof/>
              </w:rPr>
            </w:pPr>
            <w:r>
              <w:rPr>
                <w:noProof/>
              </w:rPr>
              <w:t xml:space="preserve"> </w:t>
            </w:r>
          </w:p>
        </w:tc>
        <w:tc>
          <w:tcPr>
            <w:tcW w:w="1141" w:type="dxa"/>
            <w:shd w:val="clear" w:color="auto" w:fill="C6EFCE"/>
            <w:noWrap/>
          </w:tcPr>
          <w:p w14:paraId="16CB6F35" w14:textId="77777777" w:rsidR="00553430" w:rsidRDefault="00212577">
            <w:pPr>
              <w:pStyle w:val="P68B1DB1-Normal66"/>
              <w:spacing w:after="200" w:line="276" w:lineRule="auto"/>
              <w:jc w:val="center"/>
              <w:rPr>
                <w:noProof/>
              </w:rPr>
            </w:pPr>
            <w:r>
              <w:rPr>
                <w:noProof/>
              </w:rPr>
              <w:t>% (pourcentage)</w:t>
            </w:r>
          </w:p>
        </w:tc>
        <w:tc>
          <w:tcPr>
            <w:tcW w:w="807" w:type="dxa"/>
            <w:shd w:val="clear" w:color="auto" w:fill="C6EFCE"/>
            <w:noWrap/>
          </w:tcPr>
          <w:p w14:paraId="1575F556" w14:textId="77777777" w:rsidR="00553430" w:rsidRDefault="00212577">
            <w:pPr>
              <w:pStyle w:val="P68B1DB1-Normal66"/>
              <w:spacing w:after="200" w:line="276" w:lineRule="auto"/>
              <w:jc w:val="center"/>
              <w:rPr>
                <w:noProof/>
              </w:rPr>
            </w:pPr>
            <w:r>
              <w:rPr>
                <w:noProof/>
              </w:rPr>
              <w:t>100</w:t>
            </w:r>
          </w:p>
        </w:tc>
        <w:tc>
          <w:tcPr>
            <w:tcW w:w="831" w:type="dxa"/>
            <w:shd w:val="clear" w:color="auto" w:fill="C6EFCE"/>
            <w:noWrap/>
          </w:tcPr>
          <w:p w14:paraId="695196BE" w14:textId="77777777" w:rsidR="00553430" w:rsidRDefault="00212577">
            <w:pPr>
              <w:pStyle w:val="P68B1DB1-Normal66"/>
              <w:spacing w:after="200" w:line="276" w:lineRule="auto"/>
              <w:jc w:val="center"/>
              <w:rPr>
                <w:noProof/>
              </w:rPr>
            </w:pPr>
            <w:r>
              <w:rPr>
                <w:noProof/>
              </w:rPr>
              <w:t>120</w:t>
            </w:r>
          </w:p>
        </w:tc>
        <w:tc>
          <w:tcPr>
            <w:tcW w:w="1037" w:type="dxa"/>
            <w:shd w:val="clear" w:color="auto" w:fill="C6EFCE"/>
            <w:noWrap/>
          </w:tcPr>
          <w:p w14:paraId="7A10E132" w14:textId="77777777" w:rsidR="00553430" w:rsidRDefault="00212577">
            <w:pPr>
              <w:pStyle w:val="P68B1DB1-Normal66"/>
              <w:spacing w:after="200" w:line="276" w:lineRule="auto"/>
              <w:jc w:val="center"/>
              <w:rPr>
                <w:noProof/>
              </w:rPr>
            </w:pPr>
            <w:r>
              <w:rPr>
                <w:noProof/>
              </w:rPr>
              <w:t>T2</w:t>
            </w:r>
          </w:p>
        </w:tc>
        <w:tc>
          <w:tcPr>
            <w:tcW w:w="844" w:type="dxa"/>
            <w:shd w:val="clear" w:color="auto" w:fill="C6EFCE"/>
            <w:noWrap/>
          </w:tcPr>
          <w:p w14:paraId="749C23C3" w14:textId="77777777" w:rsidR="00553430" w:rsidRDefault="00212577">
            <w:pPr>
              <w:pStyle w:val="P68B1DB1-Normal66"/>
              <w:spacing w:after="200" w:line="276" w:lineRule="auto"/>
              <w:jc w:val="center"/>
              <w:rPr>
                <w:noProof/>
              </w:rPr>
            </w:pPr>
            <w:r>
              <w:rPr>
                <w:noProof/>
              </w:rPr>
              <w:t>2024</w:t>
            </w:r>
          </w:p>
        </w:tc>
        <w:tc>
          <w:tcPr>
            <w:tcW w:w="3282" w:type="dxa"/>
            <w:shd w:val="clear" w:color="auto" w:fill="C6EFCE"/>
            <w:noWrap/>
          </w:tcPr>
          <w:p w14:paraId="2514DF8F" w14:textId="77777777" w:rsidR="00553430" w:rsidRDefault="00212577">
            <w:pPr>
              <w:pStyle w:val="P68B1DB1-Normal66"/>
              <w:spacing w:after="200" w:line="276" w:lineRule="auto"/>
              <w:rPr>
                <w:noProof/>
              </w:rPr>
            </w:pPr>
            <w:r>
              <w:rPr>
                <w:noProof/>
              </w:rPr>
              <w:t xml:space="preserve">Augmentation de 20 % du budget par rapport à 2020 pour les services informatiques et le matériel informatique destinés aux autorités chargées de la lutte contre la corruption dans le système judiciaire. </w:t>
            </w:r>
          </w:p>
        </w:tc>
      </w:tr>
      <w:tr w:rsidR="00553430" w14:paraId="7AFE09EC" w14:textId="77777777">
        <w:trPr>
          <w:trHeight w:val="283"/>
        </w:trPr>
        <w:tc>
          <w:tcPr>
            <w:tcW w:w="968" w:type="dxa"/>
            <w:shd w:val="clear" w:color="auto" w:fill="C6EFCE"/>
            <w:noWrap/>
          </w:tcPr>
          <w:p w14:paraId="7332046F" w14:textId="77777777" w:rsidR="00553430" w:rsidRDefault="00212577">
            <w:pPr>
              <w:pStyle w:val="P68B1DB1-Normal66"/>
              <w:spacing w:after="200" w:line="276" w:lineRule="auto"/>
              <w:jc w:val="center"/>
              <w:rPr>
                <w:noProof/>
              </w:rPr>
            </w:pPr>
            <w:r>
              <w:rPr>
                <w:noProof/>
              </w:rPr>
              <w:t>237</w:t>
            </w:r>
          </w:p>
        </w:tc>
        <w:tc>
          <w:tcPr>
            <w:tcW w:w="1108" w:type="dxa"/>
            <w:shd w:val="clear" w:color="auto" w:fill="C6EFCE"/>
            <w:noWrap/>
          </w:tcPr>
          <w:p w14:paraId="60E10118" w14:textId="77777777" w:rsidR="00553430" w:rsidRDefault="00212577">
            <w:pPr>
              <w:pStyle w:val="P68B1DB1-Normal66"/>
              <w:spacing w:after="200" w:line="276" w:lineRule="auto"/>
              <w:jc w:val="center"/>
              <w:rPr>
                <w:noProof/>
              </w:rPr>
            </w:pPr>
            <w:r>
              <w:rPr>
                <w:noProof/>
              </w:rPr>
              <w:t>C2.6. R1</w:t>
            </w:r>
          </w:p>
        </w:tc>
        <w:tc>
          <w:tcPr>
            <w:tcW w:w="1120" w:type="dxa"/>
            <w:shd w:val="clear" w:color="auto" w:fill="C6EFCE"/>
            <w:noWrap/>
          </w:tcPr>
          <w:p w14:paraId="32F3EFC7" w14:textId="77777777" w:rsidR="00553430" w:rsidRDefault="00212577">
            <w:pPr>
              <w:pStyle w:val="P68B1DB1-Normal66"/>
              <w:spacing w:after="200" w:line="276" w:lineRule="auto"/>
              <w:jc w:val="center"/>
              <w:rPr>
                <w:noProof/>
              </w:rPr>
            </w:pPr>
            <w:r>
              <w:rPr>
                <w:noProof/>
              </w:rPr>
              <w:t>M</w:t>
            </w:r>
          </w:p>
        </w:tc>
        <w:tc>
          <w:tcPr>
            <w:tcW w:w="1649" w:type="dxa"/>
            <w:shd w:val="clear" w:color="auto" w:fill="C6EFCE"/>
            <w:noWrap/>
          </w:tcPr>
          <w:p w14:paraId="53427B03" w14:textId="526CFFF2" w:rsidR="00553430" w:rsidRDefault="00212577">
            <w:pPr>
              <w:pStyle w:val="P68B1DB1-Normal66"/>
              <w:spacing w:after="200" w:line="276" w:lineRule="auto"/>
              <w:rPr>
                <w:noProof/>
              </w:rPr>
            </w:pPr>
            <w:r>
              <w:rPr>
                <w:noProof/>
              </w:rPr>
              <w:t>Mise en place d’une plateforme informatique pour suivre la mise en œuvre des mesures nationales de lutte contre la corruption</w:t>
            </w:r>
          </w:p>
        </w:tc>
        <w:tc>
          <w:tcPr>
            <w:tcW w:w="2172" w:type="dxa"/>
            <w:shd w:val="clear" w:color="auto" w:fill="C6EFCE"/>
            <w:noWrap/>
          </w:tcPr>
          <w:p w14:paraId="3875F423" w14:textId="77777777" w:rsidR="00553430" w:rsidRDefault="00212577">
            <w:pPr>
              <w:pStyle w:val="P68B1DB1-Normal66"/>
              <w:spacing w:after="200" w:line="276" w:lineRule="auto"/>
              <w:rPr>
                <w:noProof/>
              </w:rPr>
            </w:pPr>
            <w:r>
              <w:rPr>
                <w:noProof/>
              </w:rPr>
              <w:t xml:space="preserve">Plateforme informatique en ligne et accessible </w:t>
            </w:r>
          </w:p>
        </w:tc>
        <w:tc>
          <w:tcPr>
            <w:tcW w:w="1141" w:type="dxa"/>
            <w:shd w:val="clear" w:color="auto" w:fill="C6EFCE"/>
            <w:noWrap/>
          </w:tcPr>
          <w:p w14:paraId="2023B896" w14:textId="77777777" w:rsidR="00553430" w:rsidRDefault="00212577">
            <w:pPr>
              <w:pStyle w:val="P68B1DB1-Normal66"/>
              <w:spacing w:after="200" w:line="276" w:lineRule="auto"/>
              <w:jc w:val="center"/>
              <w:rPr>
                <w:noProof/>
              </w:rPr>
            </w:pPr>
            <w:r>
              <w:rPr>
                <w:noProof/>
              </w:rPr>
              <w:t> </w:t>
            </w:r>
          </w:p>
        </w:tc>
        <w:tc>
          <w:tcPr>
            <w:tcW w:w="807" w:type="dxa"/>
            <w:shd w:val="clear" w:color="auto" w:fill="C6EFCE"/>
            <w:noWrap/>
          </w:tcPr>
          <w:p w14:paraId="156D0C1D" w14:textId="77777777" w:rsidR="00553430" w:rsidRDefault="00212577">
            <w:pPr>
              <w:pStyle w:val="P68B1DB1-Normal66"/>
              <w:spacing w:after="200" w:line="276" w:lineRule="auto"/>
              <w:jc w:val="center"/>
              <w:rPr>
                <w:noProof/>
              </w:rPr>
            </w:pPr>
            <w:r>
              <w:rPr>
                <w:noProof/>
              </w:rPr>
              <w:t> </w:t>
            </w:r>
          </w:p>
        </w:tc>
        <w:tc>
          <w:tcPr>
            <w:tcW w:w="831" w:type="dxa"/>
            <w:shd w:val="clear" w:color="auto" w:fill="C6EFCE"/>
            <w:noWrap/>
          </w:tcPr>
          <w:p w14:paraId="1376822A" w14:textId="77777777" w:rsidR="00553430" w:rsidRDefault="00212577">
            <w:pPr>
              <w:pStyle w:val="P68B1DB1-Normal66"/>
              <w:spacing w:after="200" w:line="276" w:lineRule="auto"/>
              <w:jc w:val="center"/>
              <w:rPr>
                <w:noProof/>
              </w:rPr>
            </w:pPr>
            <w:r>
              <w:rPr>
                <w:noProof/>
              </w:rPr>
              <w:t> </w:t>
            </w:r>
          </w:p>
        </w:tc>
        <w:tc>
          <w:tcPr>
            <w:tcW w:w="1037" w:type="dxa"/>
            <w:shd w:val="clear" w:color="auto" w:fill="C6EFCE"/>
            <w:noWrap/>
          </w:tcPr>
          <w:p w14:paraId="446C3FA1" w14:textId="77777777" w:rsidR="00553430" w:rsidRDefault="00212577">
            <w:pPr>
              <w:pStyle w:val="P68B1DB1-Normal66"/>
              <w:spacing w:after="200" w:line="276" w:lineRule="auto"/>
              <w:jc w:val="center"/>
              <w:rPr>
                <w:noProof/>
              </w:rPr>
            </w:pPr>
            <w:r>
              <w:rPr>
                <w:noProof/>
              </w:rPr>
              <w:t>T4</w:t>
            </w:r>
          </w:p>
        </w:tc>
        <w:tc>
          <w:tcPr>
            <w:tcW w:w="844" w:type="dxa"/>
            <w:shd w:val="clear" w:color="auto" w:fill="C6EFCE"/>
            <w:noWrap/>
          </w:tcPr>
          <w:p w14:paraId="07D1CA13" w14:textId="77777777" w:rsidR="00553430" w:rsidRDefault="00212577">
            <w:pPr>
              <w:pStyle w:val="P68B1DB1-Normal66"/>
              <w:spacing w:after="200" w:line="276" w:lineRule="auto"/>
              <w:jc w:val="center"/>
              <w:rPr>
                <w:noProof/>
              </w:rPr>
            </w:pPr>
            <w:r>
              <w:rPr>
                <w:noProof/>
              </w:rPr>
              <w:t>2025</w:t>
            </w:r>
          </w:p>
        </w:tc>
        <w:tc>
          <w:tcPr>
            <w:tcW w:w="3282" w:type="dxa"/>
            <w:shd w:val="clear" w:color="auto" w:fill="C6EFCE"/>
            <w:noWrap/>
          </w:tcPr>
          <w:p w14:paraId="1641F26D" w14:textId="3A56D90F" w:rsidR="00553430" w:rsidRDefault="00212577">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Mise en place d’une plateforme informatique pour surveiller différen</w:t>
            </w:r>
            <w:r>
              <w:rPr>
                <w:rFonts w:ascii="Times New Roman" w:eastAsia="Calibri" w:hAnsi="Times New Roman" w:cs="Times New Roman"/>
                <w:noProof/>
                <w:color w:val="000000" w:themeColor="text1"/>
              </w:rPr>
              <w:t>ts domaines de la prévention de la corruption: 1) la protection des lanceurs d’alerte, 2) le droit d’accès à l’information, 3) le lobbying, 4) les conflits d’intérêts, 5) la coordination des autorités nationales pour l’élaboration, la mise en œuvre et le s</w:t>
            </w:r>
            <w:r>
              <w:rPr>
                <w:rFonts w:ascii="Times New Roman" w:eastAsia="Calibri" w:hAnsi="Times New Roman" w:cs="Times New Roman"/>
                <w:noProof/>
                <w:color w:val="000000" w:themeColor="text1"/>
              </w:rPr>
              <w:t>uivi de la mise en œuvre des documents stratégiques et de mise en œuvre nationaux, 6) la mise à jour et la publication des listes des entreprises publiques et des entreprises détenues par les collectivités locales et régionales, 7) la présentation de rappo</w:t>
            </w:r>
            <w:r>
              <w:rPr>
                <w:rFonts w:ascii="Times New Roman" w:eastAsia="Calibri" w:hAnsi="Times New Roman" w:cs="Times New Roman"/>
                <w:noProof/>
                <w:color w:val="000000" w:themeColor="text1"/>
              </w:rPr>
              <w:t xml:space="preserve">rts au bureau du médiateur, </w:t>
            </w:r>
            <w:r>
              <w:rPr>
                <w:rFonts w:ascii="Times New Roman" w:hAnsi="Times New Roman" w:cs="Times New Roman"/>
                <w:noProof/>
              </w:rPr>
              <w:br/>
            </w:r>
            <w:r>
              <w:rPr>
                <w:rFonts w:ascii="Times New Roman" w:eastAsia="Calibri" w:hAnsi="Times New Roman" w:cs="Times New Roman"/>
                <w:noProof/>
                <w:color w:val="000000" w:themeColor="text1"/>
              </w:rPr>
              <w:t xml:space="preserve"> </w:t>
            </w:r>
          </w:p>
        </w:tc>
      </w:tr>
      <w:tr w:rsidR="00553430" w14:paraId="2C2EFCAF" w14:textId="77777777">
        <w:trPr>
          <w:trHeight w:val="283"/>
        </w:trPr>
        <w:tc>
          <w:tcPr>
            <w:tcW w:w="968" w:type="dxa"/>
            <w:shd w:val="clear" w:color="auto" w:fill="C6EFCE"/>
            <w:noWrap/>
          </w:tcPr>
          <w:p w14:paraId="7ECFAA20" w14:textId="77777777" w:rsidR="00553430" w:rsidRDefault="00212577">
            <w:pPr>
              <w:pStyle w:val="P68B1DB1-Normal66"/>
              <w:spacing w:after="200" w:line="276" w:lineRule="auto"/>
              <w:jc w:val="center"/>
              <w:rPr>
                <w:noProof/>
              </w:rPr>
            </w:pPr>
            <w:r>
              <w:rPr>
                <w:noProof/>
              </w:rPr>
              <w:t>238</w:t>
            </w:r>
          </w:p>
        </w:tc>
        <w:tc>
          <w:tcPr>
            <w:tcW w:w="1108" w:type="dxa"/>
            <w:shd w:val="clear" w:color="auto" w:fill="C6EFCE"/>
            <w:noWrap/>
          </w:tcPr>
          <w:p w14:paraId="7FBE9684" w14:textId="77777777" w:rsidR="00553430" w:rsidRDefault="00212577">
            <w:pPr>
              <w:pStyle w:val="P68B1DB1-Normal66"/>
              <w:spacing w:after="200" w:line="276" w:lineRule="auto"/>
              <w:jc w:val="center"/>
              <w:rPr>
                <w:noProof/>
              </w:rPr>
            </w:pPr>
            <w:r>
              <w:rPr>
                <w:noProof/>
              </w:rPr>
              <w:t>C2.6. R1</w:t>
            </w:r>
          </w:p>
        </w:tc>
        <w:tc>
          <w:tcPr>
            <w:tcW w:w="1120" w:type="dxa"/>
            <w:shd w:val="clear" w:color="auto" w:fill="C6EFCE"/>
            <w:noWrap/>
          </w:tcPr>
          <w:p w14:paraId="4DA140C3" w14:textId="77777777" w:rsidR="00553430" w:rsidRDefault="00212577">
            <w:pPr>
              <w:pStyle w:val="P68B1DB1-Normal66"/>
              <w:spacing w:after="200" w:line="276" w:lineRule="auto"/>
              <w:jc w:val="center"/>
              <w:rPr>
                <w:noProof/>
              </w:rPr>
            </w:pPr>
            <w:r>
              <w:rPr>
                <w:noProof/>
              </w:rPr>
              <w:t>T</w:t>
            </w:r>
          </w:p>
        </w:tc>
        <w:tc>
          <w:tcPr>
            <w:tcW w:w="1649" w:type="dxa"/>
            <w:shd w:val="clear" w:color="auto" w:fill="C6EFCE"/>
            <w:noWrap/>
          </w:tcPr>
          <w:p w14:paraId="3E3E4797" w14:textId="77777777" w:rsidR="00553430" w:rsidRDefault="00212577">
            <w:pPr>
              <w:pStyle w:val="P68B1DB1-Normal66"/>
              <w:spacing w:after="200" w:line="276" w:lineRule="auto"/>
              <w:rPr>
                <w:noProof/>
              </w:rPr>
            </w:pPr>
            <w:r>
              <w:rPr>
                <w:noProof/>
              </w:rPr>
              <w:t>Réduire la durée moyenne des procédures judiciaires pour les infractions de corruption et de criminalité organisée</w:t>
            </w:r>
          </w:p>
        </w:tc>
        <w:tc>
          <w:tcPr>
            <w:tcW w:w="2172" w:type="dxa"/>
            <w:shd w:val="clear" w:color="auto" w:fill="C6EFCE"/>
            <w:noWrap/>
          </w:tcPr>
          <w:p w14:paraId="764D4205" w14:textId="77777777" w:rsidR="00553430" w:rsidRDefault="00212577">
            <w:pPr>
              <w:pStyle w:val="P68B1DB1-Normal66"/>
              <w:spacing w:after="200" w:line="276" w:lineRule="auto"/>
              <w:rPr>
                <w:noProof/>
              </w:rPr>
            </w:pPr>
            <w:r>
              <w:rPr>
                <w:noProof/>
              </w:rPr>
              <w:t xml:space="preserve"> </w:t>
            </w:r>
          </w:p>
        </w:tc>
        <w:tc>
          <w:tcPr>
            <w:tcW w:w="1141" w:type="dxa"/>
            <w:shd w:val="clear" w:color="auto" w:fill="C6EFCE"/>
            <w:noWrap/>
          </w:tcPr>
          <w:p w14:paraId="0CEAB5AD" w14:textId="77777777" w:rsidR="00553430" w:rsidRDefault="00212577">
            <w:pPr>
              <w:pStyle w:val="P68B1DB1-Normal66"/>
              <w:spacing w:after="200" w:line="276" w:lineRule="auto"/>
              <w:jc w:val="center"/>
              <w:rPr>
                <w:noProof/>
              </w:rPr>
            </w:pPr>
            <w:r>
              <w:rPr>
                <w:noProof/>
              </w:rPr>
              <w:t>Numéro</w:t>
            </w:r>
          </w:p>
        </w:tc>
        <w:tc>
          <w:tcPr>
            <w:tcW w:w="807" w:type="dxa"/>
            <w:shd w:val="clear" w:color="auto" w:fill="C6EFCE"/>
            <w:noWrap/>
          </w:tcPr>
          <w:p w14:paraId="23486B11" w14:textId="77777777" w:rsidR="00553430" w:rsidRDefault="00212577">
            <w:pPr>
              <w:pStyle w:val="P68B1DB1-Normal66"/>
              <w:spacing w:after="200" w:line="276" w:lineRule="auto"/>
              <w:jc w:val="center"/>
              <w:rPr>
                <w:noProof/>
              </w:rPr>
            </w:pPr>
            <w:r>
              <w:rPr>
                <w:noProof/>
              </w:rPr>
              <w:t>999</w:t>
            </w:r>
          </w:p>
        </w:tc>
        <w:tc>
          <w:tcPr>
            <w:tcW w:w="831" w:type="dxa"/>
            <w:shd w:val="clear" w:color="auto" w:fill="C6EFCE"/>
            <w:noWrap/>
          </w:tcPr>
          <w:p w14:paraId="2C402E03" w14:textId="77777777" w:rsidR="00553430" w:rsidRDefault="00212577">
            <w:pPr>
              <w:pStyle w:val="P68B1DB1-Normal66"/>
              <w:spacing w:after="200" w:line="276" w:lineRule="auto"/>
              <w:jc w:val="center"/>
              <w:rPr>
                <w:noProof/>
              </w:rPr>
            </w:pPr>
            <w:r>
              <w:rPr>
                <w:noProof/>
              </w:rPr>
              <w:t>799</w:t>
            </w:r>
          </w:p>
        </w:tc>
        <w:tc>
          <w:tcPr>
            <w:tcW w:w="1037" w:type="dxa"/>
            <w:shd w:val="clear" w:color="auto" w:fill="C6EFCE"/>
            <w:noWrap/>
          </w:tcPr>
          <w:p w14:paraId="353203D4" w14:textId="77777777" w:rsidR="00553430" w:rsidRDefault="00212577">
            <w:pPr>
              <w:pStyle w:val="P68B1DB1-Normal66"/>
              <w:spacing w:after="200" w:line="276" w:lineRule="auto"/>
              <w:jc w:val="center"/>
              <w:rPr>
                <w:noProof/>
              </w:rPr>
            </w:pPr>
            <w:r>
              <w:rPr>
                <w:noProof/>
              </w:rPr>
              <w:t>T4</w:t>
            </w:r>
          </w:p>
        </w:tc>
        <w:tc>
          <w:tcPr>
            <w:tcW w:w="844" w:type="dxa"/>
            <w:shd w:val="clear" w:color="auto" w:fill="C6EFCE"/>
            <w:noWrap/>
          </w:tcPr>
          <w:p w14:paraId="5AC9B494" w14:textId="77777777" w:rsidR="00553430" w:rsidRDefault="00212577">
            <w:pPr>
              <w:pStyle w:val="P68B1DB1-Normal66"/>
              <w:spacing w:after="200" w:line="276" w:lineRule="auto"/>
              <w:jc w:val="center"/>
              <w:rPr>
                <w:noProof/>
              </w:rPr>
            </w:pPr>
            <w:r>
              <w:rPr>
                <w:noProof/>
              </w:rPr>
              <w:t>2024</w:t>
            </w:r>
          </w:p>
        </w:tc>
        <w:tc>
          <w:tcPr>
            <w:tcW w:w="3282" w:type="dxa"/>
            <w:shd w:val="clear" w:color="auto" w:fill="C6EFCE"/>
            <w:noWrap/>
          </w:tcPr>
          <w:p w14:paraId="0721866F" w14:textId="77777777" w:rsidR="00553430" w:rsidRDefault="00212577">
            <w:pPr>
              <w:pStyle w:val="P68B1DB1-Normal66"/>
              <w:spacing w:after="200" w:line="276" w:lineRule="auto"/>
              <w:rPr>
                <w:noProof/>
              </w:rPr>
            </w:pPr>
            <w:r>
              <w:rPr>
                <w:noProof/>
              </w:rPr>
              <w:t>Réduction de 200 jours de la durée moyenne des procédures judiciaires pour les infractions de corruption et de criminalité organisée par rapport au 1er trimestre 2021 (999 jours).</w:t>
            </w:r>
          </w:p>
        </w:tc>
      </w:tr>
      <w:tr w:rsidR="00553430" w14:paraId="00216F14" w14:textId="77777777">
        <w:trPr>
          <w:trHeight w:val="283"/>
        </w:trPr>
        <w:tc>
          <w:tcPr>
            <w:tcW w:w="968" w:type="dxa"/>
            <w:shd w:val="clear" w:color="auto" w:fill="C6EFCE"/>
            <w:noWrap/>
          </w:tcPr>
          <w:p w14:paraId="21A08D6F" w14:textId="77777777" w:rsidR="00553430" w:rsidRDefault="00212577">
            <w:pPr>
              <w:pStyle w:val="P68B1DB1-Normal66"/>
              <w:spacing w:after="200" w:line="276" w:lineRule="auto"/>
              <w:jc w:val="center"/>
              <w:rPr>
                <w:noProof/>
              </w:rPr>
            </w:pPr>
            <w:r>
              <w:rPr>
                <w:noProof/>
              </w:rPr>
              <w:t>239</w:t>
            </w:r>
          </w:p>
        </w:tc>
        <w:tc>
          <w:tcPr>
            <w:tcW w:w="1108" w:type="dxa"/>
            <w:shd w:val="clear" w:color="auto" w:fill="C6EFCE"/>
            <w:noWrap/>
          </w:tcPr>
          <w:p w14:paraId="275E9638" w14:textId="77777777" w:rsidR="00553430" w:rsidRDefault="00212577">
            <w:pPr>
              <w:pStyle w:val="P68B1DB1-Normal66"/>
              <w:spacing w:after="200" w:line="276" w:lineRule="auto"/>
              <w:jc w:val="center"/>
              <w:rPr>
                <w:noProof/>
              </w:rPr>
            </w:pPr>
            <w:r>
              <w:rPr>
                <w:noProof/>
              </w:rPr>
              <w:t>C2.6. R1-I1</w:t>
            </w:r>
          </w:p>
        </w:tc>
        <w:tc>
          <w:tcPr>
            <w:tcW w:w="1120" w:type="dxa"/>
            <w:shd w:val="clear" w:color="auto" w:fill="C6EFCE"/>
            <w:noWrap/>
          </w:tcPr>
          <w:p w14:paraId="72B5B357" w14:textId="77777777" w:rsidR="00553430" w:rsidRDefault="00212577">
            <w:pPr>
              <w:pStyle w:val="P68B1DB1-Normal66"/>
              <w:spacing w:after="200" w:line="276" w:lineRule="auto"/>
              <w:jc w:val="center"/>
              <w:rPr>
                <w:noProof/>
              </w:rPr>
            </w:pPr>
            <w:r>
              <w:rPr>
                <w:noProof/>
              </w:rPr>
              <w:t>M</w:t>
            </w:r>
          </w:p>
        </w:tc>
        <w:tc>
          <w:tcPr>
            <w:tcW w:w="1649" w:type="dxa"/>
            <w:shd w:val="clear" w:color="auto" w:fill="C6EFCE"/>
            <w:noWrap/>
          </w:tcPr>
          <w:p w14:paraId="3FADF802" w14:textId="77777777" w:rsidR="00553430" w:rsidRDefault="00212577">
            <w:pPr>
              <w:pStyle w:val="P68B1DB1-Normal66"/>
              <w:spacing w:after="200" w:line="276" w:lineRule="auto"/>
              <w:rPr>
                <w:noProof/>
              </w:rPr>
            </w:pPr>
            <w:r>
              <w:rPr>
                <w:noProof/>
              </w:rPr>
              <w:t xml:space="preserve">Évaluation des effets de la campagne nationale </w:t>
            </w:r>
            <w:r>
              <w:rPr>
                <w:noProof/>
              </w:rPr>
              <w:t>d'information contre la corruption</w:t>
            </w:r>
          </w:p>
        </w:tc>
        <w:tc>
          <w:tcPr>
            <w:tcW w:w="2172" w:type="dxa"/>
            <w:shd w:val="clear" w:color="auto" w:fill="C6EFCE"/>
            <w:noWrap/>
          </w:tcPr>
          <w:p w14:paraId="101031AE" w14:textId="77777777" w:rsidR="00553430" w:rsidRDefault="00212577">
            <w:pPr>
              <w:pStyle w:val="P68B1DB1-Normal66"/>
              <w:spacing w:after="200" w:line="276" w:lineRule="auto"/>
              <w:rPr>
                <w:noProof/>
              </w:rPr>
            </w:pPr>
            <w:r>
              <w:rPr>
                <w:noProof/>
              </w:rPr>
              <w:t xml:space="preserve">Publication du rapport d'analyse d'impact </w:t>
            </w:r>
          </w:p>
        </w:tc>
        <w:tc>
          <w:tcPr>
            <w:tcW w:w="1141" w:type="dxa"/>
            <w:shd w:val="clear" w:color="auto" w:fill="C6EFCE"/>
            <w:noWrap/>
          </w:tcPr>
          <w:p w14:paraId="584EA897" w14:textId="77777777" w:rsidR="00553430" w:rsidRDefault="00212577">
            <w:pPr>
              <w:pStyle w:val="P68B1DB1-Normal66"/>
              <w:spacing w:after="200" w:line="276" w:lineRule="auto"/>
              <w:jc w:val="center"/>
              <w:rPr>
                <w:noProof/>
              </w:rPr>
            </w:pPr>
            <w:r>
              <w:rPr>
                <w:noProof/>
              </w:rPr>
              <w:t> </w:t>
            </w:r>
          </w:p>
        </w:tc>
        <w:tc>
          <w:tcPr>
            <w:tcW w:w="807" w:type="dxa"/>
            <w:shd w:val="clear" w:color="auto" w:fill="C6EFCE"/>
            <w:noWrap/>
          </w:tcPr>
          <w:p w14:paraId="5CA69487" w14:textId="77777777" w:rsidR="00553430" w:rsidRDefault="00212577">
            <w:pPr>
              <w:pStyle w:val="P68B1DB1-Normal66"/>
              <w:spacing w:after="200" w:line="276" w:lineRule="auto"/>
              <w:jc w:val="center"/>
              <w:rPr>
                <w:noProof/>
              </w:rPr>
            </w:pPr>
            <w:r>
              <w:rPr>
                <w:noProof/>
              </w:rPr>
              <w:t> </w:t>
            </w:r>
          </w:p>
        </w:tc>
        <w:tc>
          <w:tcPr>
            <w:tcW w:w="831" w:type="dxa"/>
            <w:shd w:val="clear" w:color="auto" w:fill="C6EFCE"/>
            <w:noWrap/>
          </w:tcPr>
          <w:p w14:paraId="7D9CD98E" w14:textId="77777777" w:rsidR="00553430" w:rsidRDefault="00212577">
            <w:pPr>
              <w:pStyle w:val="P68B1DB1-Normal66"/>
              <w:spacing w:after="200" w:line="276" w:lineRule="auto"/>
              <w:jc w:val="center"/>
              <w:rPr>
                <w:noProof/>
              </w:rPr>
            </w:pPr>
            <w:r>
              <w:rPr>
                <w:noProof/>
              </w:rPr>
              <w:t> </w:t>
            </w:r>
          </w:p>
        </w:tc>
        <w:tc>
          <w:tcPr>
            <w:tcW w:w="1037" w:type="dxa"/>
            <w:shd w:val="clear" w:color="auto" w:fill="C6EFCE"/>
            <w:noWrap/>
          </w:tcPr>
          <w:p w14:paraId="0553069D" w14:textId="77777777" w:rsidR="00553430" w:rsidRDefault="00212577">
            <w:pPr>
              <w:pStyle w:val="P68B1DB1-Normal66"/>
              <w:spacing w:after="200" w:line="276" w:lineRule="auto"/>
              <w:jc w:val="center"/>
              <w:rPr>
                <w:noProof/>
              </w:rPr>
            </w:pPr>
            <w:r>
              <w:rPr>
                <w:noProof/>
              </w:rPr>
              <w:t>T2</w:t>
            </w:r>
          </w:p>
        </w:tc>
        <w:tc>
          <w:tcPr>
            <w:tcW w:w="844" w:type="dxa"/>
            <w:shd w:val="clear" w:color="auto" w:fill="C6EFCE"/>
            <w:noWrap/>
          </w:tcPr>
          <w:p w14:paraId="5D316969" w14:textId="77777777" w:rsidR="00553430" w:rsidRDefault="00212577">
            <w:pPr>
              <w:pStyle w:val="P68B1DB1-Normal66"/>
              <w:spacing w:after="200" w:line="276" w:lineRule="auto"/>
              <w:jc w:val="center"/>
              <w:rPr>
                <w:noProof/>
              </w:rPr>
            </w:pPr>
            <w:r>
              <w:rPr>
                <w:noProof/>
              </w:rPr>
              <w:t>2025</w:t>
            </w:r>
          </w:p>
        </w:tc>
        <w:tc>
          <w:tcPr>
            <w:tcW w:w="3282" w:type="dxa"/>
            <w:shd w:val="clear" w:color="auto" w:fill="C6EFCE"/>
            <w:noWrap/>
          </w:tcPr>
          <w:p w14:paraId="31576098" w14:textId="677A714B" w:rsidR="00553430" w:rsidRDefault="00212577">
            <w:pPr>
              <w:pStyle w:val="P68B1DB1-Normal66"/>
              <w:spacing w:after="200" w:line="276" w:lineRule="auto"/>
              <w:rPr>
                <w:noProof/>
              </w:rPr>
            </w:pPr>
            <w:r>
              <w:rPr>
                <w:noProof/>
              </w:rPr>
              <w:t>Le rapport d'analyse d'impact est publié. Il contient des recommandations concernant l'évaluation des effets de la campagne médiatique nationale contre la corruptio</w:t>
            </w:r>
            <w:r>
              <w:rPr>
                <w:noProof/>
              </w:rPr>
              <w:t xml:space="preserve">n. </w:t>
            </w:r>
          </w:p>
        </w:tc>
      </w:tr>
      <w:tr w:rsidR="00553430" w14:paraId="16864D64" w14:textId="77777777">
        <w:trPr>
          <w:trHeight w:val="283"/>
        </w:trPr>
        <w:tc>
          <w:tcPr>
            <w:tcW w:w="968" w:type="dxa"/>
            <w:shd w:val="clear" w:color="auto" w:fill="C6EFCE"/>
            <w:noWrap/>
          </w:tcPr>
          <w:p w14:paraId="1DAF0D29" w14:textId="77777777" w:rsidR="00553430" w:rsidRDefault="00212577">
            <w:pPr>
              <w:pStyle w:val="P68B1DB1-Normal66"/>
              <w:spacing w:after="200" w:line="276" w:lineRule="auto"/>
              <w:jc w:val="center"/>
              <w:rPr>
                <w:noProof/>
              </w:rPr>
            </w:pPr>
            <w:r>
              <w:rPr>
                <w:noProof/>
              </w:rPr>
              <w:t>240</w:t>
            </w:r>
          </w:p>
        </w:tc>
        <w:tc>
          <w:tcPr>
            <w:tcW w:w="1108" w:type="dxa"/>
            <w:shd w:val="clear" w:color="auto" w:fill="C6EFCE"/>
            <w:noWrap/>
          </w:tcPr>
          <w:p w14:paraId="5F98AEE4" w14:textId="77777777" w:rsidR="00553430" w:rsidRDefault="00212577">
            <w:pPr>
              <w:pStyle w:val="P68B1DB1-Normal66"/>
              <w:spacing w:after="200" w:line="276" w:lineRule="auto"/>
              <w:jc w:val="center"/>
              <w:rPr>
                <w:noProof/>
              </w:rPr>
            </w:pPr>
            <w:r>
              <w:rPr>
                <w:noProof/>
              </w:rPr>
              <w:t>C2.6. R1-I2</w:t>
            </w:r>
          </w:p>
        </w:tc>
        <w:tc>
          <w:tcPr>
            <w:tcW w:w="1120" w:type="dxa"/>
            <w:shd w:val="clear" w:color="auto" w:fill="C6EFCE"/>
            <w:noWrap/>
          </w:tcPr>
          <w:p w14:paraId="7F7A569D" w14:textId="77777777" w:rsidR="00553430" w:rsidRDefault="00212577">
            <w:pPr>
              <w:pStyle w:val="P68B1DB1-Normal66"/>
              <w:spacing w:after="200" w:line="276" w:lineRule="auto"/>
              <w:jc w:val="center"/>
              <w:rPr>
                <w:noProof/>
              </w:rPr>
            </w:pPr>
            <w:r>
              <w:rPr>
                <w:noProof/>
              </w:rPr>
              <w:t>M</w:t>
            </w:r>
          </w:p>
        </w:tc>
        <w:tc>
          <w:tcPr>
            <w:tcW w:w="1649" w:type="dxa"/>
            <w:shd w:val="clear" w:color="auto" w:fill="C6EFCE"/>
            <w:noWrap/>
          </w:tcPr>
          <w:p w14:paraId="1359B38F" w14:textId="77777777" w:rsidR="00553430" w:rsidRDefault="00212577">
            <w:pPr>
              <w:pStyle w:val="P68B1DB1-Normal66"/>
              <w:spacing w:after="200" w:line="276" w:lineRule="auto"/>
              <w:rPr>
                <w:noProof/>
              </w:rPr>
            </w:pPr>
            <w:r>
              <w:rPr>
                <w:noProof/>
              </w:rPr>
              <w:t>Mise en place d'un système d'information pour la gestion de l'infrastructure éthique des fonctionnaires</w:t>
            </w:r>
          </w:p>
        </w:tc>
        <w:tc>
          <w:tcPr>
            <w:tcW w:w="2172" w:type="dxa"/>
            <w:shd w:val="clear" w:color="auto" w:fill="C6EFCE"/>
            <w:noWrap/>
          </w:tcPr>
          <w:p w14:paraId="734A256D" w14:textId="77777777" w:rsidR="00553430" w:rsidRDefault="00212577">
            <w:pPr>
              <w:pStyle w:val="P68B1DB1-Normal66"/>
              <w:spacing w:after="200" w:line="276" w:lineRule="auto"/>
              <w:rPr>
                <w:noProof/>
              </w:rPr>
            </w:pPr>
            <w:r>
              <w:rPr>
                <w:noProof/>
              </w:rPr>
              <w:t>Le système d'information a été entièrement développé et mis en service</w:t>
            </w:r>
          </w:p>
        </w:tc>
        <w:tc>
          <w:tcPr>
            <w:tcW w:w="1141" w:type="dxa"/>
            <w:shd w:val="clear" w:color="auto" w:fill="C6EFCE"/>
            <w:noWrap/>
          </w:tcPr>
          <w:p w14:paraId="7E8AB470" w14:textId="77777777" w:rsidR="00553430" w:rsidRDefault="00212577">
            <w:pPr>
              <w:pStyle w:val="P68B1DB1-Normal66"/>
              <w:spacing w:after="200" w:line="276" w:lineRule="auto"/>
              <w:jc w:val="center"/>
              <w:rPr>
                <w:noProof/>
              </w:rPr>
            </w:pPr>
            <w:r>
              <w:rPr>
                <w:noProof/>
              </w:rPr>
              <w:t> </w:t>
            </w:r>
          </w:p>
        </w:tc>
        <w:tc>
          <w:tcPr>
            <w:tcW w:w="807" w:type="dxa"/>
            <w:shd w:val="clear" w:color="auto" w:fill="C6EFCE"/>
            <w:noWrap/>
          </w:tcPr>
          <w:p w14:paraId="2A3937FB" w14:textId="77777777" w:rsidR="00553430" w:rsidRDefault="00212577">
            <w:pPr>
              <w:pStyle w:val="P68B1DB1-Normal66"/>
              <w:spacing w:after="200" w:line="276" w:lineRule="auto"/>
              <w:jc w:val="center"/>
              <w:rPr>
                <w:noProof/>
              </w:rPr>
            </w:pPr>
            <w:r>
              <w:rPr>
                <w:noProof/>
              </w:rPr>
              <w:t> </w:t>
            </w:r>
          </w:p>
        </w:tc>
        <w:tc>
          <w:tcPr>
            <w:tcW w:w="831" w:type="dxa"/>
            <w:shd w:val="clear" w:color="auto" w:fill="C6EFCE"/>
            <w:noWrap/>
          </w:tcPr>
          <w:p w14:paraId="7025656F" w14:textId="77777777" w:rsidR="00553430" w:rsidRDefault="00212577">
            <w:pPr>
              <w:pStyle w:val="P68B1DB1-Normal66"/>
              <w:spacing w:after="200" w:line="276" w:lineRule="auto"/>
              <w:jc w:val="center"/>
              <w:rPr>
                <w:noProof/>
              </w:rPr>
            </w:pPr>
            <w:r>
              <w:rPr>
                <w:noProof/>
              </w:rPr>
              <w:t> </w:t>
            </w:r>
          </w:p>
        </w:tc>
        <w:tc>
          <w:tcPr>
            <w:tcW w:w="1037" w:type="dxa"/>
            <w:shd w:val="clear" w:color="auto" w:fill="C6EFCE"/>
            <w:noWrap/>
          </w:tcPr>
          <w:p w14:paraId="65B13794" w14:textId="77777777" w:rsidR="00553430" w:rsidRDefault="00212577">
            <w:pPr>
              <w:pStyle w:val="P68B1DB1-Normal66"/>
              <w:spacing w:after="200" w:line="276" w:lineRule="auto"/>
              <w:jc w:val="center"/>
              <w:rPr>
                <w:noProof/>
              </w:rPr>
            </w:pPr>
            <w:r>
              <w:rPr>
                <w:noProof/>
              </w:rPr>
              <w:t>T4</w:t>
            </w:r>
          </w:p>
        </w:tc>
        <w:tc>
          <w:tcPr>
            <w:tcW w:w="844" w:type="dxa"/>
            <w:shd w:val="clear" w:color="auto" w:fill="C6EFCE"/>
            <w:noWrap/>
          </w:tcPr>
          <w:p w14:paraId="5AAE041A" w14:textId="77777777" w:rsidR="00553430" w:rsidRDefault="00212577">
            <w:pPr>
              <w:pStyle w:val="P68B1DB1-Normal66"/>
              <w:spacing w:after="200" w:line="276" w:lineRule="auto"/>
              <w:jc w:val="center"/>
              <w:rPr>
                <w:noProof/>
              </w:rPr>
            </w:pPr>
            <w:r>
              <w:rPr>
                <w:noProof/>
              </w:rPr>
              <w:t>2024</w:t>
            </w:r>
          </w:p>
        </w:tc>
        <w:tc>
          <w:tcPr>
            <w:tcW w:w="3282" w:type="dxa"/>
            <w:shd w:val="clear" w:color="auto" w:fill="C6EFCE"/>
            <w:noWrap/>
          </w:tcPr>
          <w:p w14:paraId="60E04364" w14:textId="77777777" w:rsidR="00553430" w:rsidRDefault="00212577">
            <w:pPr>
              <w:pStyle w:val="P68B1DB1-Normal66"/>
              <w:spacing w:after="200" w:line="276" w:lineRule="auto"/>
              <w:contextualSpacing/>
              <w:rPr>
                <w:noProof/>
              </w:rPr>
            </w:pPr>
            <w:r>
              <w:rPr>
                <w:noProof/>
              </w:rPr>
              <w:t xml:space="preserve">Un système électronique de gestion de </w:t>
            </w:r>
            <w:r>
              <w:rPr>
                <w:noProof/>
              </w:rPr>
              <w:t>l’infrastructure éthique est élaboré et mis en service en vue de moderniser et d’améliorer le travail des commissaires à l’éthique, de la commission d’éthique et des fonctionnaires travaillant au sein du service «Éthique et intégrité», comprenant des fonct</w:t>
            </w:r>
            <w:r>
              <w:rPr>
                <w:noProof/>
              </w:rPr>
              <w:t xml:space="preserve">ionnalités permettant de traiter au moins les catégories de plaintes suivantes: </w:t>
            </w:r>
            <w:r>
              <w:rPr>
                <w:noProof/>
              </w:rPr>
              <w:br/>
              <w:t xml:space="preserve">- Plaintes sur la façon dont les citoyens sont traités par les fonctionnaires </w:t>
            </w:r>
            <w:r>
              <w:rPr>
                <w:noProof/>
              </w:rPr>
              <w:br/>
              <w:t>Plaintes concernant le comportement lors de comparutions publiques.</w:t>
            </w:r>
            <w:r>
              <w:rPr>
                <w:noProof/>
              </w:rPr>
              <w:br/>
              <w:t>- Plaintes concernant l'obte</w:t>
            </w:r>
            <w:r>
              <w:rPr>
                <w:noProof/>
              </w:rPr>
              <w:t>ntion d'avantages matériels ou autres.</w:t>
            </w:r>
            <w:r>
              <w:rPr>
                <w:noProof/>
              </w:rPr>
              <w:br/>
              <w:t>- Plaintes relatives à des conflits d'intérêts.</w:t>
            </w:r>
            <w:r>
              <w:rPr>
                <w:noProof/>
              </w:rPr>
              <w:br/>
              <w:t>Plaintes des fonctionnaires concernant d'autres fonctionnaires, y compris le comportement des supérieurs.</w:t>
            </w:r>
          </w:p>
        </w:tc>
      </w:tr>
      <w:tr w:rsidR="00553430" w14:paraId="0B94AD96" w14:textId="77777777">
        <w:trPr>
          <w:trHeight w:val="283"/>
        </w:trPr>
        <w:tc>
          <w:tcPr>
            <w:tcW w:w="968" w:type="dxa"/>
            <w:shd w:val="clear" w:color="auto" w:fill="C6EFCE"/>
            <w:noWrap/>
          </w:tcPr>
          <w:p w14:paraId="3953A4AF" w14:textId="77777777" w:rsidR="00553430" w:rsidRDefault="00212577">
            <w:pPr>
              <w:pStyle w:val="P68B1DB1-Normal66"/>
              <w:spacing w:after="200" w:line="276" w:lineRule="auto"/>
              <w:jc w:val="center"/>
              <w:rPr>
                <w:noProof/>
              </w:rPr>
            </w:pPr>
            <w:r>
              <w:rPr>
                <w:noProof/>
              </w:rPr>
              <w:t>241</w:t>
            </w:r>
          </w:p>
        </w:tc>
        <w:tc>
          <w:tcPr>
            <w:tcW w:w="1108" w:type="dxa"/>
            <w:shd w:val="clear" w:color="auto" w:fill="C6EFCE"/>
            <w:noWrap/>
          </w:tcPr>
          <w:p w14:paraId="58E19F9F" w14:textId="77777777" w:rsidR="00553430" w:rsidRDefault="00212577">
            <w:pPr>
              <w:pStyle w:val="P68B1DB1-Normal66"/>
              <w:spacing w:after="200" w:line="276" w:lineRule="auto"/>
              <w:jc w:val="center"/>
              <w:rPr>
                <w:noProof/>
              </w:rPr>
            </w:pPr>
            <w:r>
              <w:rPr>
                <w:noProof/>
              </w:rPr>
              <w:t>C2.6. R1-I3</w:t>
            </w:r>
          </w:p>
        </w:tc>
        <w:tc>
          <w:tcPr>
            <w:tcW w:w="1120" w:type="dxa"/>
            <w:shd w:val="clear" w:color="auto" w:fill="C6EFCE"/>
            <w:noWrap/>
          </w:tcPr>
          <w:p w14:paraId="62B56CA1" w14:textId="77777777" w:rsidR="00553430" w:rsidRDefault="00212577">
            <w:pPr>
              <w:pStyle w:val="P68B1DB1-Normal66"/>
              <w:spacing w:after="200" w:line="276" w:lineRule="auto"/>
              <w:jc w:val="center"/>
              <w:rPr>
                <w:noProof/>
              </w:rPr>
            </w:pPr>
            <w:r>
              <w:rPr>
                <w:noProof/>
              </w:rPr>
              <w:t>M</w:t>
            </w:r>
          </w:p>
        </w:tc>
        <w:tc>
          <w:tcPr>
            <w:tcW w:w="1649" w:type="dxa"/>
            <w:shd w:val="clear" w:color="auto" w:fill="C6EFCE"/>
            <w:noWrap/>
          </w:tcPr>
          <w:p w14:paraId="65153C78" w14:textId="77777777" w:rsidR="00553430" w:rsidRDefault="00212577">
            <w:pPr>
              <w:pStyle w:val="P68B1DB1-Normal66"/>
              <w:spacing w:after="200" w:line="276" w:lineRule="auto"/>
              <w:rPr>
                <w:noProof/>
              </w:rPr>
            </w:pPr>
            <w:r>
              <w:rPr>
                <w:noProof/>
              </w:rPr>
              <w:t xml:space="preserve">Amélioration des systèmes d’information sur </w:t>
            </w:r>
            <w:r>
              <w:rPr>
                <w:noProof/>
              </w:rPr>
              <w:t>les déclarations de patrimoine pour les fonctionnaires de l’État et les magistrats</w:t>
            </w:r>
          </w:p>
        </w:tc>
        <w:tc>
          <w:tcPr>
            <w:tcW w:w="2172" w:type="dxa"/>
            <w:shd w:val="clear" w:color="auto" w:fill="C6EFCE"/>
            <w:noWrap/>
          </w:tcPr>
          <w:p w14:paraId="7ABDBB94" w14:textId="77777777" w:rsidR="00553430" w:rsidRDefault="00212577">
            <w:pPr>
              <w:pStyle w:val="P68B1DB1-Normal66"/>
              <w:spacing w:after="200" w:line="276" w:lineRule="auto"/>
              <w:rPr>
                <w:noProof/>
              </w:rPr>
            </w:pPr>
            <w:r>
              <w:rPr>
                <w:noProof/>
              </w:rPr>
              <w:t>Les systèmes d'information ont été mis à niveau et mis en œuvre</w:t>
            </w:r>
          </w:p>
        </w:tc>
        <w:tc>
          <w:tcPr>
            <w:tcW w:w="1141" w:type="dxa"/>
            <w:shd w:val="clear" w:color="auto" w:fill="C6EFCE"/>
            <w:noWrap/>
          </w:tcPr>
          <w:p w14:paraId="5BD223DC" w14:textId="77777777" w:rsidR="00553430" w:rsidRDefault="00212577">
            <w:pPr>
              <w:pStyle w:val="P68B1DB1-Normal66"/>
              <w:spacing w:after="200" w:line="276" w:lineRule="auto"/>
              <w:jc w:val="center"/>
              <w:rPr>
                <w:noProof/>
              </w:rPr>
            </w:pPr>
            <w:r>
              <w:rPr>
                <w:noProof/>
              </w:rPr>
              <w:t> </w:t>
            </w:r>
          </w:p>
        </w:tc>
        <w:tc>
          <w:tcPr>
            <w:tcW w:w="807" w:type="dxa"/>
            <w:shd w:val="clear" w:color="auto" w:fill="C6EFCE"/>
            <w:noWrap/>
          </w:tcPr>
          <w:p w14:paraId="27B69BF2" w14:textId="77777777" w:rsidR="00553430" w:rsidRDefault="00212577">
            <w:pPr>
              <w:pStyle w:val="P68B1DB1-Normal66"/>
              <w:spacing w:after="200" w:line="276" w:lineRule="auto"/>
              <w:jc w:val="center"/>
              <w:rPr>
                <w:noProof/>
              </w:rPr>
            </w:pPr>
            <w:r>
              <w:rPr>
                <w:noProof/>
              </w:rPr>
              <w:t> </w:t>
            </w:r>
          </w:p>
        </w:tc>
        <w:tc>
          <w:tcPr>
            <w:tcW w:w="831" w:type="dxa"/>
            <w:shd w:val="clear" w:color="auto" w:fill="C6EFCE"/>
            <w:noWrap/>
          </w:tcPr>
          <w:p w14:paraId="23895168" w14:textId="77777777" w:rsidR="00553430" w:rsidRDefault="00212577">
            <w:pPr>
              <w:pStyle w:val="P68B1DB1-Normal66"/>
              <w:spacing w:after="200" w:line="276" w:lineRule="auto"/>
              <w:jc w:val="center"/>
              <w:rPr>
                <w:noProof/>
              </w:rPr>
            </w:pPr>
            <w:r>
              <w:rPr>
                <w:noProof/>
              </w:rPr>
              <w:t> </w:t>
            </w:r>
          </w:p>
        </w:tc>
        <w:tc>
          <w:tcPr>
            <w:tcW w:w="1037" w:type="dxa"/>
            <w:shd w:val="clear" w:color="auto" w:fill="C6EFCE"/>
            <w:noWrap/>
          </w:tcPr>
          <w:p w14:paraId="6604C8FD" w14:textId="77777777" w:rsidR="00553430" w:rsidRDefault="00212577">
            <w:pPr>
              <w:pStyle w:val="P68B1DB1-Normal66"/>
              <w:spacing w:after="200" w:line="276" w:lineRule="auto"/>
              <w:jc w:val="center"/>
              <w:rPr>
                <w:noProof/>
              </w:rPr>
            </w:pPr>
            <w:r>
              <w:rPr>
                <w:noProof/>
              </w:rPr>
              <w:t>T2</w:t>
            </w:r>
          </w:p>
        </w:tc>
        <w:tc>
          <w:tcPr>
            <w:tcW w:w="844" w:type="dxa"/>
            <w:shd w:val="clear" w:color="auto" w:fill="C6EFCE"/>
            <w:noWrap/>
          </w:tcPr>
          <w:p w14:paraId="609F7351" w14:textId="77777777" w:rsidR="00553430" w:rsidRDefault="00212577">
            <w:pPr>
              <w:pStyle w:val="P68B1DB1-Normal66"/>
              <w:spacing w:after="200" w:line="276" w:lineRule="auto"/>
              <w:jc w:val="center"/>
              <w:rPr>
                <w:noProof/>
              </w:rPr>
            </w:pPr>
            <w:r>
              <w:rPr>
                <w:noProof/>
              </w:rPr>
              <w:t>2024</w:t>
            </w:r>
          </w:p>
        </w:tc>
        <w:tc>
          <w:tcPr>
            <w:tcW w:w="3282" w:type="dxa"/>
            <w:shd w:val="clear" w:color="auto" w:fill="C6EFCE"/>
            <w:noWrap/>
          </w:tcPr>
          <w:p w14:paraId="6017C95C" w14:textId="77777777" w:rsidR="00553430" w:rsidRDefault="00212577">
            <w:pPr>
              <w:pStyle w:val="P68B1DB1-Normal66"/>
              <w:spacing w:after="200" w:line="276" w:lineRule="auto"/>
              <w:rPr>
                <w:noProof/>
              </w:rPr>
            </w:pPr>
            <w:r>
              <w:rPr>
                <w:noProof/>
              </w:rPr>
              <w:t xml:space="preserve">Le système actuel de présentation de la déclaration de patrimoine des fonctionnaires doit être </w:t>
            </w:r>
            <w:r>
              <w:rPr>
                <w:noProof/>
              </w:rPr>
              <w:t xml:space="preserve">amélioré en permettant le remplissage automatique des données provenant de sources publiques disponibles et en améliorant les conditions préalables à la vérification des informations contenues dans la déclaration de patrimoine des fonctionnaires de l’État </w:t>
            </w:r>
            <w:r>
              <w:rPr>
                <w:noProof/>
              </w:rPr>
              <w:t xml:space="preserve">et des magistrats. </w:t>
            </w:r>
          </w:p>
        </w:tc>
      </w:tr>
      <w:tr w:rsidR="00553430" w14:paraId="1993E176" w14:textId="77777777">
        <w:trPr>
          <w:trHeight w:val="283"/>
        </w:trPr>
        <w:tc>
          <w:tcPr>
            <w:tcW w:w="968" w:type="dxa"/>
            <w:shd w:val="clear" w:color="auto" w:fill="C6EFCE"/>
            <w:noWrap/>
          </w:tcPr>
          <w:p w14:paraId="61D3FAD4" w14:textId="77777777" w:rsidR="00553430" w:rsidRDefault="00212577">
            <w:pPr>
              <w:pStyle w:val="P68B1DB1-Normal66"/>
              <w:spacing w:after="200" w:line="276" w:lineRule="auto"/>
              <w:jc w:val="center"/>
              <w:rPr>
                <w:noProof/>
              </w:rPr>
            </w:pPr>
            <w:r>
              <w:rPr>
                <w:noProof/>
              </w:rPr>
              <w:t>242</w:t>
            </w:r>
          </w:p>
        </w:tc>
        <w:tc>
          <w:tcPr>
            <w:tcW w:w="1108" w:type="dxa"/>
            <w:shd w:val="clear" w:color="auto" w:fill="C6EFCE"/>
            <w:noWrap/>
          </w:tcPr>
          <w:p w14:paraId="1C4A7EB8" w14:textId="77777777" w:rsidR="00553430" w:rsidRDefault="00212577">
            <w:pPr>
              <w:pStyle w:val="P68B1DB1-Normal66"/>
              <w:spacing w:after="200" w:line="276" w:lineRule="auto"/>
              <w:jc w:val="center"/>
              <w:rPr>
                <w:noProof/>
              </w:rPr>
            </w:pPr>
            <w:r>
              <w:rPr>
                <w:noProof/>
              </w:rPr>
              <w:t>C2.6. R1-I4</w:t>
            </w:r>
          </w:p>
        </w:tc>
        <w:tc>
          <w:tcPr>
            <w:tcW w:w="1120" w:type="dxa"/>
            <w:shd w:val="clear" w:color="auto" w:fill="C6EFCE"/>
            <w:noWrap/>
          </w:tcPr>
          <w:p w14:paraId="70EC1B4D" w14:textId="77777777" w:rsidR="00553430" w:rsidRDefault="00212577">
            <w:pPr>
              <w:pStyle w:val="P68B1DB1-Normal66"/>
              <w:spacing w:after="200" w:line="276" w:lineRule="auto"/>
              <w:jc w:val="center"/>
              <w:rPr>
                <w:noProof/>
              </w:rPr>
            </w:pPr>
            <w:r>
              <w:rPr>
                <w:noProof/>
              </w:rPr>
              <w:t>T</w:t>
            </w:r>
          </w:p>
        </w:tc>
        <w:tc>
          <w:tcPr>
            <w:tcW w:w="1649" w:type="dxa"/>
            <w:shd w:val="clear" w:color="auto" w:fill="C6EFCE"/>
            <w:noWrap/>
          </w:tcPr>
          <w:p w14:paraId="2CE05D99" w14:textId="77777777" w:rsidR="00553430" w:rsidRDefault="00212577">
            <w:pPr>
              <w:pStyle w:val="P68B1DB1-Normal66"/>
              <w:spacing w:after="200" w:line="276" w:lineRule="auto"/>
              <w:rPr>
                <w:noProof/>
              </w:rPr>
            </w:pPr>
            <w:r>
              <w:rPr>
                <w:noProof/>
              </w:rPr>
              <w:t xml:space="preserve">Mise à niveau de 4 centres régionaux de l'Office national de la police pour la lutte contre la corruption et la criminalité organisée (PN USKOK) </w:t>
            </w:r>
          </w:p>
        </w:tc>
        <w:tc>
          <w:tcPr>
            <w:tcW w:w="2172" w:type="dxa"/>
            <w:shd w:val="clear" w:color="auto" w:fill="C6EFCE"/>
            <w:noWrap/>
          </w:tcPr>
          <w:p w14:paraId="36737D8A" w14:textId="77777777" w:rsidR="00553430" w:rsidRDefault="00212577">
            <w:pPr>
              <w:pStyle w:val="P68B1DB1-Normal66"/>
              <w:spacing w:after="200" w:line="276" w:lineRule="auto"/>
              <w:rPr>
                <w:noProof/>
              </w:rPr>
            </w:pPr>
            <w:r>
              <w:rPr>
                <w:noProof/>
              </w:rPr>
              <w:t xml:space="preserve"> </w:t>
            </w:r>
          </w:p>
        </w:tc>
        <w:tc>
          <w:tcPr>
            <w:tcW w:w="1141" w:type="dxa"/>
            <w:shd w:val="clear" w:color="auto" w:fill="C6EFCE"/>
            <w:noWrap/>
          </w:tcPr>
          <w:p w14:paraId="07A3F180" w14:textId="77777777" w:rsidR="00553430" w:rsidRDefault="00212577">
            <w:pPr>
              <w:pStyle w:val="P68B1DB1-Normal66"/>
              <w:spacing w:after="200" w:line="276" w:lineRule="auto"/>
              <w:jc w:val="center"/>
              <w:rPr>
                <w:noProof/>
              </w:rPr>
            </w:pPr>
            <w:r>
              <w:rPr>
                <w:noProof/>
              </w:rPr>
              <w:t>Numéro</w:t>
            </w:r>
          </w:p>
        </w:tc>
        <w:tc>
          <w:tcPr>
            <w:tcW w:w="807" w:type="dxa"/>
            <w:shd w:val="clear" w:color="auto" w:fill="C6EFCE"/>
            <w:noWrap/>
          </w:tcPr>
          <w:p w14:paraId="37747139" w14:textId="77777777" w:rsidR="00553430" w:rsidRDefault="00212577">
            <w:pPr>
              <w:pStyle w:val="P68B1DB1-Normal66"/>
              <w:spacing w:after="200" w:line="276" w:lineRule="auto"/>
              <w:jc w:val="center"/>
              <w:rPr>
                <w:noProof/>
              </w:rPr>
            </w:pPr>
            <w:r>
              <w:rPr>
                <w:noProof/>
              </w:rPr>
              <w:t>0</w:t>
            </w:r>
          </w:p>
        </w:tc>
        <w:tc>
          <w:tcPr>
            <w:tcW w:w="831" w:type="dxa"/>
            <w:shd w:val="clear" w:color="auto" w:fill="C6EFCE"/>
            <w:noWrap/>
          </w:tcPr>
          <w:p w14:paraId="09287A9E" w14:textId="77777777" w:rsidR="00553430" w:rsidRDefault="00212577">
            <w:pPr>
              <w:pStyle w:val="P68B1DB1-Normal66"/>
              <w:spacing w:after="200" w:line="276" w:lineRule="auto"/>
              <w:jc w:val="center"/>
              <w:rPr>
                <w:noProof/>
              </w:rPr>
            </w:pPr>
            <w:r>
              <w:rPr>
                <w:noProof/>
              </w:rPr>
              <w:t>4</w:t>
            </w:r>
          </w:p>
        </w:tc>
        <w:tc>
          <w:tcPr>
            <w:tcW w:w="1037" w:type="dxa"/>
            <w:shd w:val="clear" w:color="auto" w:fill="C6EFCE"/>
            <w:noWrap/>
          </w:tcPr>
          <w:p w14:paraId="70F4A9E1" w14:textId="77777777" w:rsidR="00553430" w:rsidRDefault="00212577">
            <w:pPr>
              <w:pStyle w:val="P68B1DB1-Normal66"/>
              <w:spacing w:after="200" w:line="276" w:lineRule="auto"/>
              <w:jc w:val="center"/>
              <w:rPr>
                <w:noProof/>
              </w:rPr>
            </w:pPr>
            <w:r>
              <w:rPr>
                <w:noProof/>
              </w:rPr>
              <w:t>T2</w:t>
            </w:r>
          </w:p>
        </w:tc>
        <w:tc>
          <w:tcPr>
            <w:tcW w:w="844" w:type="dxa"/>
            <w:shd w:val="clear" w:color="auto" w:fill="C6EFCE"/>
            <w:noWrap/>
          </w:tcPr>
          <w:p w14:paraId="75261C90" w14:textId="77777777" w:rsidR="00553430" w:rsidRDefault="00212577">
            <w:pPr>
              <w:pStyle w:val="P68B1DB1-Normal66"/>
              <w:spacing w:after="200" w:line="276" w:lineRule="auto"/>
              <w:jc w:val="center"/>
              <w:rPr>
                <w:noProof/>
              </w:rPr>
            </w:pPr>
            <w:r>
              <w:rPr>
                <w:noProof/>
              </w:rPr>
              <w:t>2025</w:t>
            </w:r>
          </w:p>
        </w:tc>
        <w:tc>
          <w:tcPr>
            <w:tcW w:w="3282" w:type="dxa"/>
            <w:shd w:val="clear" w:color="auto" w:fill="C6EFCE"/>
            <w:noWrap/>
          </w:tcPr>
          <w:p w14:paraId="5222BC05" w14:textId="77777777" w:rsidR="00553430" w:rsidRDefault="00212577">
            <w:pPr>
              <w:pStyle w:val="P68B1DB1-Normal59"/>
              <w:spacing w:after="200" w:line="276" w:lineRule="auto"/>
              <w:rPr>
                <w:rFonts w:ascii="Times New Roman" w:eastAsia="Calibri" w:hAnsi="Times New Roman" w:cs="Times New Roman"/>
                <w:noProof/>
              </w:rPr>
            </w:pPr>
            <w:r>
              <w:rPr>
                <w:rFonts w:ascii="Times New Roman" w:eastAsia="Times New Roman" w:hAnsi="Times New Roman" w:cs="Times New Roman"/>
                <w:noProof/>
                <w:color w:val="333333"/>
              </w:rPr>
              <w:t>Des</w:t>
            </w:r>
            <w:r>
              <w:rPr>
                <w:rFonts w:ascii="Times New Roman" w:hAnsi="Times New Roman" w:cs="Times New Roman"/>
                <w:noProof/>
              </w:rPr>
              <w:t xml:space="preserve"> rapports</w:t>
            </w:r>
            <w:r>
              <w:rPr>
                <w:rFonts w:ascii="Times New Roman" w:hAnsi="Times New Roman" w:cs="Times New Roman"/>
                <w:noProof/>
                <w:color w:val="000000" w:themeColor="text1"/>
              </w:rPr>
              <w:t xml:space="preserve"> d'ingénieurs de supervision et des rapports sur l'efficacité de la rénovation énergétique seront fournis aux centres régionaux PN USKOK à Zagreb et à Split. </w:t>
            </w:r>
            <w:r>
              <w:rPr>
                <w:rFonts w:ascii="Times New Roman" w:hAnsi="Times New Roman" w:cs="Times New Roman"/>
                <w:noProof/>
              </w:rPr>
              <w:br/>
            </w:r>
            <w:r>
              <w:rPr>
                <w:rFonts w:ascii="Times New Roman" w:eastAsia="Calibri" w:hAnsi="Times New Roman" w:cs="Times New Roman"/>
                <w:noProof/>
                <w:color w:val="000000" w:themeColor="text1"/>
              </w:rPr>
              <w:t>Les certificats de livraison pour les nouveaux équipements informatiques, par exemple pour l’util</w:t>
            </w:r>
            <w:r>
              <w:rPr>
                <w:rFonts w:ascii="Times New Roman" w:eastAsia="Calibri" w:hAnsi="Times New Roman" w:cs="Times New Roman"/>
                <w:noProof/>
                <w:color w:val="000000" w:themeColor="text1"/>
              </w:rPr>
              <w:t>isation d’outils logiciels et de serveurs de stockage de preuves numériques, sont délivrés pour les quatre centres régionaux.</w:t>
            </w:r>
          </w:p>
        </w:tc>
      </w:tr>
      <w:tr w:rsidR="00553430" w14:paraId="3C803202" w14:textId="77777777">
        <w:trPr>
          <w:trHeight w:val="283"/>
        </w:trPr>
        <w:tc>
          <w:tcPr>
            <w:tcW w:w="968" w:type="dxa"/>
            <w:shd w:val="clear" w:color="auto" w:fill="C6EFCE"/>
            <w:noWrap/>
          </w:tcPr>
          <w:p w14:paraId="593D36F2" w14:textId="77777777" w:rsidR="00553430" w:rsidRDefault="00212577">
            <w:pPr>
              <w:pStyle w:val="P68B1DB1-Normal66"/>
              <w:spacing w:after="200" w:line="276" w:lineRule="auto"/>
              <w:jc w:val="center"/>
              <w:rPr>
                <w:noProof/>
              </w:rPr>
            </w:pPr>
            <w:r>
              <w:rPr>
                <w:noProof/>
              </w:rPr>
              <w:t>243</w:t>
            </w:r>
          </w:p>
        </w:tc>
        <w:tc>
          <w:tcPr>
            <w:tcW w:w="1108" w:type="dxa"/>
            <w:shd w:val="clear" w:color="auto" w:fill="C6EFCE"/>
            <w:noWrap/>
          </w:tcPr>
          <w:p w14:paraId="1C71BBE8" w14:textId="77777777" w:rsidR="00553430" w:rsidRDefault="00212577">
            <w:pPr>
              <w:pStyle w:val="P68B1DB1-Normal66"/>
              <w:spacing w:after="200" w:line="276" w:lineRule="auto"/>
              <w:jc w:val="center"/>
              <w:rPr>
                <w:noProof/>
              </w:rPr>
            </w:pPr>
            <w:r>
              <w:rPr>
                <w:noProof/>
              </w:rPr>
              <w:t>C2.6. R2</w:t>
            </w:r>
          </w:p>
        </w:tc>
        <w:tc>
          <w:tcPr>
            <w:tcW w:w="1120" w:type="dxa"/>
            <w:shd w:val="clear" w:color="auto" w:fill="C6EFCE"/>
            <w:noWrap/>
          </w:tcPr>
          <w:p w14:paraId="52426C87" w14:textId="77777777" w:rsidR="00553430" w:rsidRDefault="00212577">
            <w:pPr>
              <w:pStyle w:val="P68B1DB1-Normal66"/>
              <w:spacing w:after="200" w:line="276" w:lineRule="auto"/>
              <w:jc w:val="center"/>
              <w:rPr>
                <w:noProof/>
              </w:rPr>
            </w:pPr>
            <w:r>
              <w:rPr>
                <w:noProof/>
              </w:rPr>
              <w:t>M</w:t>
            </w:r>
          </w:p>
        </w:tc>
        <w:tc>
          <w:tcPr>
            <w:tcW w:w="1649" w:type="dxa"/>
            <w:shd w:val="clear" w:color="auto" w:fill="C6EFCE"/>
            <w:noWrap/>
          </w:tcPr>
          <w:p w14:paraId="594A4830" w14:textId="77777777" w:rsidR="00553430" w:rsidRDefault="00212577">
            <w:pPr>
              <w:pStyle w:val="P68B1DB1-Normal66"/>
              <w:spacing w:after="200" w:line="276" w:lineRule="auto"/>
              <w:rPr>
                <w:noProof/>
              </w:rPr>
            </w:pPr>
            <w:r>
              <w:rPr>
                <w:noProof/>
              </w:rPr>
              <w:t xml:space="preserve">Évaluation des effets de la loi sur le droit d'accès à l'information </w:t>
            </w:r>
          </w:p>
        </w:tc>
        <w:tc>
          <w:tcPr>
            <w:tcW w:w="2172" w:type="dxa"/>
            <w:shd w:val="clear" w:color="auto" w:fill="C6EFCE"/>
            <w:noWrap/>
          </w:tcPr>
          <w:p w14:paraId="11C04EC7" w14:textId="77777777" w:rsidR="00553430" w:rsidRDefault="00212577">
            <w:pPr>
              <w:pStyle w:val="P68B1DB1-Normal66"/>
              <w:spacing w:after="200" w:line="276" w:lineRule="auto"/>
              <w:rPr>
                <w:noProof/>
              </w:rPr>
            </w:pPr>
            <w:r>
              <w:rPr>
                <w:noProof/>
              </w:rPr>
              <w:t xml:space="preserve">Publication du rapport d'évaluation sur la </w:t>
            </w:r>
            <w:r>
              <w:rPr>
                <w:noProof/>
              </w:rPr>
              <w:t>Loi sur le droit d'accès à l'information</w:t>
            </w:r>
          </w:p>
        </w:tc>
        <w:tc>
          <w:tcPr>
            <w:tcW w:w="1141" w:type="dxa"/>
            <w:shd w:val="clear" w:color="auto" w:fill="C6EFCE"/>
            <w:noWrap/>
          </w:tcPr>
          <w:p w14:paraId="199AED01" w14:textId="77777777" w:rsidR="00553430" w:rsidRDefault="00212577">
            <w:pPr>
              <w:pStyle w:val="P68B1DB1-Normal66"/>
              <w:spacing w:after="200" w:line="276" w:lineRule="auto"/>
              <w:jc w:val="center"/>
              <w:rPr>
                <w:noProof/>
              </w:rPr>
            </w:pPr>
            <w:r>
              <w:rPr>
                <w:noProof/>
              </w:rPr>
              <w:t> </w:t>
            </w:r>
          </w:p>
        </w:tc>
        <w:tc>
          <w:tcPr>
            <w:tcW w:w="807" w:type="dxa"/>
            <w:shd w:val="clear" w:color="auto" w:fill="C6EFCE"/>
            <w:noWrap/>
          </w:tcPr>
          <w:p w14:paraId="6783087E" w14:textId="77777777" w:rsidR="00553430" w:rsidRDefault="00212577">
            <w:pPr>
              <w:pStyle w:val="P68B1DB1-Normal66"/>
              <w:spacing w:after="200" w:line="276" w:lineRule="auto"/>
              <w:jc w:val="center"/>
              <w:rPr>
                <w:noProof/>
              </w:rPr>
            </w:pPr>
            <w:r>
              <w:rPr>
                <w:noProof/>
              </w:rPr>
              <w:t> </w:t>
            </w:r>
          </w:p>
        </w:tc>
        <w:tc>
          <w:tcPr>
            <w:tcW w:w="831" w:type="dxa"/>
            <w:shd w:val="clear" w:color="auto" w:fill="C6EFCE"/>
            <w:noWrap/>
          </w:tcPr>
          <w:p w14:paraId="28E9AE67" w14:textId="77777777" w:rsidR="00553430" w:rsidRDefault="00212577">
            <w:pPr>
              <w:pStyle w:val="P68B1DB1-Normal66"/>
              <w:spacing w:after="200" w:line="276" w:lineRule="auto"/>
              <w:jc w:val="center"/>
              <w:rPr>
                <w:noProof/>
              </w:rPr>
            </w:pPr>
            <w:r>
              <w:rPr>
                <w:noProof/>
              </w:rPr>
              <w:t> </w:t>
            </w:r>
          </w:p>
        </w:tc>
        <w:tc>
          <w:tcPr>
            <w:tcW w:w="1037" w:type="dxa"/>
            <w:shd w:val="clear" w:color="auto" w:fill="C6EFCE"/>
            <w:noWrap/>
          </w:tcPr>
          <w:p w14:paraId="27D47D16" w14:textId="77777777" w:rsidR="00553430" w:rsidRDefault="00212577">
            <w:pPr>
              <w:pStyle w:val="P68B1DB1-Normal66"/>
              <w:spacing w:after="200" w:line="276" w:lineRule="auto"/>
              <w:jc w:val="center"/>
              <w:rPr>
                <w:noProof/>
              </w:rPr>
            </w:pPr>
            <w:r>
              <w:rPr>
                <w:noProof/>
              </w:rPr>
              <w:t>T4</w:t>
            </w:r>
          </w:p>
        </w:tc>
        <w:tc>
          <w:tcPr>
            <w:tcW w:w="844" w:type="dxa"/>
            <w:shd w:val="clear" w:color="auto" w:fill="C6EFCE"/>
            <w:noWrap/>
          </w:tcPr>
          <w:p w14:paraId="1DCF7C67" w14:textId="77777777" w:rsidR="00553430" w:rsidRDefault="00212577">
            <w:pPr>
              <w:pStyle w:val="P68B1DB1-Normal66"/>
              <w:spacing w:after="200" w:line="276" w:lineRule="auto"/>
              <w:jc w:val="center"/>
              <w:rPr>
                <w:noProof/>
              </w:rPr>
            </w:pPr>
            <w:r>
              <w:rPr>
                <w:noProof/>
              </w:rPr>
              <w:t>2023</w:t>
            </w:r>
          </w:p>
        </w:tc>
        <w:tc>
          <w:tcPr>
            <w:tcW w:w="3282" w:type="dxa"/>
            <w:shd w:val="clear" w:color="auto" w:fill="C6EFCE"/>
            <w:noWrap/>
          </w:tcPr>
          <w:p w14:paraId="3BE432DE" w14:textId="7DB2C0F4" w:rsidR="00553430" w:rsidRDefault="00212577">
            <w:pPr>
              <w:pStyle w:val="P68B1DB1-Normal66"/>
              <w:spacing w:after="200" w:line="276" w:lineRule="auto"/>
              <w:rPr>
                <w:noProof/>
              </w:rPr>
            </w:pPr>
            <w:r>
              <w:rPr>
                <w:noProof/>
              </w:rPr>
              <w:t xml:space="preserve">Étude publiée avec des recommandations concernant l'évaluation des effets de la loi sur le droit d'accès à l'information et son impact sur le segment de l'exercice garanti par la Constitution du point </w:t>
            </w:r>
            <w:r>
              <w:rPr>
                <w:noProof/>
              </w:rPr>
              <w:t xml:space="preserve">de vue des utilisateurs et des autorités publiques. Les recommandations seront prises en compte dans le cadre des futures modifications à la Loi sur le droit d'accès. </w:t>
            </w:r>
          </w:p>
        </w:tc>
      </w:tr>
      <w:tr w:rsidR="00553430" w14:paraId="30A18F24" w14:textId="77777777">
        <w:trPr>
          <w:trHeight w:val="283"/>
        </w:trPr>
        <w:tc>
          <w:tcPr>
            <w:tcW w:w="968" w:type="dxa"/>
            <w:shd w:val="clear" w:color="auto" w:fill="C6EFCE"/>
            <w:noWrap/>
          </w:tcPr>
          <w:p w14:paraId="1D0B5BE2" w14:textId="77777777" w:rsidR="00553430" w:rsidRDefault="00212577">
            <w:pPr>
              <w:pStyle w:val="P68B1DB1-Normal66"/>
              <w:spacing w:after="200" w:line="276" w:lineRule="auto"/>
              <w:jc w:val="center"/>
              <w:rPr>
                <w:noProof/>
              </w:rPr>
            </w:pPr>
            <w:r>
              <w:rPr>
                <w:noProof/>
              </w:rPr>
              <w:t>244 </w:t>
            </w:r>
          </w:p>
        </w:tc>
        <w:tc>
          <w:tcPr>
            <w:tcW w:w="1108" w:type="dxa"/>
            <w:shd w:val="clear" w:color="auto" w:fill="C6EFCE"/>
            <w:noWrap/>
          </w:tcPr>
          <w:p w14:paraId="57D0A8D1" w14:textId="77777777" w:rsidR="00553430" w:rsidRDefault="00212577">
            <w:pPr>
              <w:pStyle w:val="P68B1DB1-Normal66"/>
              <w:spacing w:after="200" w:line="276" w:lineRule="auto"/>
              <w:jc w:val="center"/>
              <w:rPr>
                <w:noProof/>
              </w:rPr>
            </w:pPr>
            <w:r>
              <w:rPr>
                <w:noProof/>
              </w:rPr>
              <w:t>C2.6. R3 </w:t>
            </w:r>
          </w:p>
        </w:tc>
        <w:tc>
          <w:tcPr>
            <w:tcW w:w="1120" w:type="dxa"/>
            <w:shd w:val="clear" w:color="auto" w:fill="C6EFCE"/>
            <w:noWrap/>
          </w:tcPr>
          <w:p w14:paraId="7AE95135" w14:textId="77777777" w:rsidR="00553430" w:rsidRDefault="00212577">
            <w:pPr>
              <w:pStyle w:val="P68B1DB1-Normal66"/>
              <w:spacing w:after="200" w:line="276" w:lineRule="auto"/>
              <w:jc w:val="center"/>
              <w:rPr>
                <w:noProof/>
              </w:rPr>
            </w:pPr>
            <w:r>
              <w:rPr>
                <w:noProof/>
              </w:rPr>
              <w:t>M </w:t>
            </w:r>
          </w:p>
        </w:tc>
        <w:tc>
          <w:tcPr>
            <w:tcW w:w="1649" w:type="dxa"/>
            <w:shd w:val="clear" w:color="auto" w:fill="C6EFCE"/>
            <w:noWrap/>
          </w:tcPr>
          <w:p w14:paraId="63DD650C" w14:textId="3E235D2F" w:rsidR="00553430" w:rsidRDefault="00212577">
            <w:pPr>
              <w:pStyle w:val="P68B1DB1-Normal66"/>
              <w:spacing w:after="200" w:line="276" w:lineRule="auto"/>
              <w:rPr>
                <w:noProof/>
              </w:rPr>
            </w:pPr>
            <w:r>
              <w:rPr>
                <w:noProof/>
              </w:rPr>
              <w:t xml:space="preserve">Application des recommandations de l'OCDE en matière de gouvernance d'entreprise sur la participation majoritaire des collectivités locales et régionales </w:t>
            </w:r>
          </w:p>
        </w:tc>
        <w:tc>
          <w:tcPr>
            <w:tcW w:w="2172" w:type="dxa"/>
            <w:shd w:val="clear" w:color="auto" w:fill="C6EFCE"/>
            <w:noWrap/>
          </w:tcPr>
          <w:p w14:paraId="3F7A74DF" w14:textId="77777777" w:rsidR="00553430" w:rsidRDefault="00212577">
            <w:pPr>
              <w:pStyle w:val="P68B1DB1-Normal66"/>
              <w:spacing w:after="200" w:line="276" w:lineRule="auto"/>
              <w:rPr>
                <w:noProof/>
              </w:rPr>
            </w:pPr>
            <w:r>
              <w:rPr>
                <w:noProof/>
              </w:rPr>
              <w:t>Publication d'un manuel pour l'application des recommandations de l'OCDE sur la gouvernance d'entrepr</w:t>
            </w:r>
            <w:r>
              <w:rPr>
                <w:noProof/>
              </w:rPr>
              <w:t>ise dans les unités locales et régionales détenues majoritairement </w:t>
            </w:r>
          </w:p>
        </w:tc>
        <w:tc>
          <w:tcPr>
            <w:tcW w:w="1141" w:type="dxa"/>
            <w:shd w:val="clear" w:color="auto" w:fill="C6EFCE"/>
            <w:noWrap/>
          </w:tcPr>
          <w:p w14:paraId="57E25DFC" w14:textId="77777777" w:rsidR="00553430" w:rsidRDefault="00212577">
            <w:pPr>
              <w:pStyle w:val="P68B1DB1-Normal66"/>
              <w:spacing w:after="200" w:line="276" w:lineRule="auto"/>
              <w:jc w:val="center"/>
              <w:rPr>
                <w:noProof/>
              </w:rPr>
            </w:pPr>
            <w:r>
              <w:rPr>
                <w:noProof/>
              </w:rPr>
              <w:t> </w:t>
            </w:r>
            <w:r>
              <w:rPr>
                <w:noProof/>
              </w:rPr>
              <w:t> </w:t>
            </w:r>
          </w:p>
        </w:tc>
        <w:tc>
          <w:tcPr>
            <w:tcW w:w="807" w:type="dxa"/>
            <w:shd w:val="clear" w:color="auto" w:fill="C6EFCE"/>
            <w:noWrap/>
          </w:tcPr>
          <w:p w14:paraId="223C779F" w14:textId="77777777" w:rsidR="00553430" w:rsidRDefault="00212577">
            <w:pPr>
              <w:pStyle w:val="P68B1DB1-Normal66"/>
              <w:spacing w:after="200" w:line="276" w:lineRule="auto"/>
              <w:jc w:val="center"/>
              <w:rPr>
                <w:noProof/>
              </w:rPr>
            </w:pPr>
            <w:r>
              <w:rPr>
                <w:noProof/>
              </w:rPr>
              <w:t> </w:t>
            </w:r>
            <w:r>
              <w:rPr>
                <w:noProof/>
              </w:rPr>
              <w:t> </w:t>
            </w:r>
          </w:p>
        </w:tc>
        <w:tc>
          <w:tcPr>
            <w:tcW w:w="831" w:type="dxa"/>
            <w:shd w:val="clear" w:color="auto" w:fill="C6EFCE"/>
            <w:noWrap/>
          </w:tcPr>
          <w:p w14:paraId="04C5D7E5" w14:textId="77777777" w:rsidR="00553430" w:rsidRDefault="00212577">
            <w:pPr>
              <w:pStyle w:val="P68B1DB1-Normal66"/>
              <w:spacing w:after="200" w:line="276" w:lineRule="auto"/>
              <w:jc w:val="center"/>
              <w:rPr>
                <w:noProof/>
              </w:rPr>
            </w:pPr>
            <w:r>
              <w:rPr>
                <w:noProof/>
              </w:rPr>
              <w:t> </w:t>
            </w:r>
            <w:r>
              <w:rPr>
                <w:noProof/>
              </w:rPr>
              <w:t> </w:t>
            </w:r>
          </w:p>
        </w:tc>
        <w:tc>
          <w:tcPr>
            <w:tcW w:w="1037" w:type="dxa"/>
            <w:shd w:val="clear" w:color="auto" w:fill="C6EFCE"/>
            <w:noWrap/>
          </w:tcPr>
          <w:p w14:paraId="34F82A75" w14:textId="77777777" w:rsidR="00553430" w:rsidRDefault="00212577">
            <w:pPr>
              <w:pStyle w:val="P68B1DB1-Normal66"/>
              <w:spacing w:after="200" w:line="276" w:lineRule="auto"/>
              <w:jc w:val="center"/>
              <w:rPr>
                <w:noProof/>
              </w:rPr>
            </w:pPr>
            <w:r>
              <w:rPr>
                <w:noProof/>
              </w:rPr>
              <w:t>T1 </w:t>
            </w:r>
          </w:p>
        </w:tc>
        <w:tc>
          <w:tcPr>
            <w:tcW w:w="844" w:type="dxa"/>
            <w:shd w:val="clear" w:color="auto" w:fill="C6EFCE"/>
            <w:noWrap/>
          </w:tcPr>
          <w:p w14:paraId="2F81A22C" w14:textId="77777777" w:rsidR="00553430" w:rsidRDefault="00212577">
            <w:pPr>
              <w:pStyle w:val="P68B1DB1-Normal66"/>
              <w:spacing w:after="200" w:line="276" w:lineRule="auto"/>
              <w:jc w:val="center"/>
              <w:rPr>
                <w:noProof/>
              </w:rPr>
            </w:pPr>
            <w:r>
              <w:rPr>
                <w:noProof/>
              </w:rPr>
              <w:t>2024 </w:t>
            </w:r>
          </w:p>
        </w:tc>
        <w:tc>
          <w:tcPr>
            <w:tcW w:w="3282" w:type="dxa"/>
            <w:shd w:val="clear" w:color="auto" w:fill="C6EFCE"/>
            <w:noWrap/>
          </w:tcPr>
          <w:p w14:paraId="1B373965" w14:textId="2F04CC4B" w:rsidR="00553430" w:rsidRDefault="00212577">
            <w:pPr>
              <w:pStyle w:val="P68B1DB1-Normal66"/>
              <w:spacing w:after="200" w:line="276" w:lineRule="auto"/>
              <w:rPr>
                <w:noProof/>
              </w:rPr>
            </w:pPr>
            <w:r>
              <w:rPr>
                <w:noProof/>
              </w:rPr>
              <w:t>Publication d'un manuel sur: </w:t>
            </w:r>
            <w:r>
              <w:rPr>
                <w:noProof/>
              </w:rPr>
              <w:br/>
              <w:t>-l’application des recommandations de l’OCDE sur la gouvernance d’entreprise à participation majoritaire par les collectivités locales et r</w:t>
            </w:r>
            <w:r>
              <w:rPr>
                <w:noProof/>
              </w:rPr>
              <w:t xml:space="preserve">égionales. </w:t>
            </w:r>
            <w:r>
              <w:rPr>
                <w:noProof/>
              </w:rPr>
              <w:br/>
              <w:t xml:space="preserve">-L’introduction et la mise en œuvre d’une fonction de conformité dans toutes les entités juridiques tenues de l’établir. Importance de mettre en œuvre des politiques de lutte contre la corruption, d'introduire un code d'éthique et une fonction </w:t>
            </w:r>
            <w:r>
              <w:rPr>
                <w:noProof/>
              </w:rPr>
              <w:t>de conformité mieux établie, afin de confirmer que l'entreprise met en œuvre avec soin la prévention des comportements contraires à l'éthique, ainsi qu'une culture organisationnelle qui encourage le comportement éthique et la conformité. </w:t>
            </w:r>
          </w:p>
        </w:tc>
      </w:tr>
      <w:tr w:rsidR="00553430" w14:paraId="33EE4599" w14:textId="77777777">
        <w:trPr>
          <w:trHeight w:val="283"/>
        </w:trPr>
        <w:tc>
          <w:tcPr>
            <w:tcW w:w="968" w:type="dxa"/>
            <w:shd w:val="clear" w:color="auto" w:fill="C6EFCE"/>
            <w:noWrap/>
          </w:tcPr>
          <w:p w14:paraId="40FD1B70" w14:textId="77777777" w:rsidR="00553430" w:rsidRDefault="00212577">
            <w:pPr>
              <w:pStyle w:val="P68B1DB1-Normal66"/>
              <w:spacing w:after="200" w:line="276" w:lineRule="auto"/>
              <w:jc w:val="center"/>
              <w:rPr>
                <w:noProof/>
              </w:rPr>
            </w:pPr>
            <w:r>
              <w:rPr>
                <w:noProof/>
              </w:rPr>
              <w:t>245 </w:t>
            </w:r>
          </w:p>
        </w:tc>
        <w:tc>
          <w:tcPr>
            <w:tcW w:w="1108" w:type="dxa"/>
            <w:shd w:val="clear" w:color="auto" w:fill="C6EFCE"/>
            <w:noWrap/>
          </w:tcPr>
          <w:p w14:paraId="49127CD7" w14:textId="77777777" w:rsidR="00553430" w:rsidRDefault="00212577">
            <w:pPr>
              <w:pStyle w:val="P68B1DB1-Normal66"/>
              <w:spacing w:after="200" w:line="276" w:lineRule="auto"/>
              <w:jc w:val="center"/>
              <w:rPr>
                <w:noProof/>
              </w:rPr>
            </w:pPr>
            <w:r>
              <w:rPr>
                <w:noProof/>
              </w:rPr>
              <w:t>C2.6. R3 </w:t>
            </w:r>
          </w:p>
        </w:tc>
        <w:tc>
          <w:tcPr>
            <w:tcW w:w="1120" w:type="dxa"/>
            <w:shd w:val="clear" w:color="auto" w:fill="C6EFCE"/>
            <w:noWrap/>
          </w:tcPr>
          <w:p w14:paraId="654C262F" w14:textId="77777777" w:rsidR="00553430" w:rsidRDefault="00212577">
            <w:pPr>
              <w:pStyle w:val="P68B1DB1-Normal66"/>
              <w:spacing w:after="200" w:line="276" w:lineRule="auto"/>
              <w:jc w:val="center"/>
              <w:rPr>
                <w:noProof/>
              </w:rPr>
            </w:pPr>
            <w:r>
              <w:rPr>
                <w:noProof/>
              </w:rPr>
              <w:t>M </w:t>
            </w:r>
          </w:p>
        </w:tc>
        <w:tc>
          <w:tcPr>
            <w:tcW w:w="1649" w:type="dxa"/>
            <w:shd w:val="clear" w:color="auto" w:fill="C6EFCE"/>
            <w:noWrap/>
          </w:tcPr>
          <w:p w14:paraId="3561D05C" w14:textId="2B0B992C" w:rsidR="00553430" w:rsidRDefault="00212577">
            <w:pPr>
              <w:pStyle w:val="P68B1DB1-Normal66"/>
              <w:spacing w:after="200" w:line="276" w:lineRule="auto"/>
              <w:rPr>
                <w:noProof/>
              </w:rPr>
            </w:pPr>
            <w:r>
              <w:rPr>
                <w:noProof/>
              </w:rPr>
              <w:t>Évaluation des effets de la mise en œuvre du programme de lutte contre la corruption 2021-2022 pour les entreprises détenues majoritairement par des collectivités locales et régionales </w:t>
            </w:r>
          </w:p>
        </w:tc>
        <w:tc>
          <w:tcPr>
            <w:tcW w:w="2172" w:type="dxa"/>
            <w:shd w:val="clear" w:color="auto" w:fill="C6EFCE"/>
            <w:noWrap/>
          </w:tcPr>
          <w:p w14:paraId="048339DC" w14:textId="54C838B5" w:rsidR="00553430" w:rsidRDefault="00212577">
            <w:pPr>
              <w:pStyle w:val="P68B1DB1-Normal66"/>
              <w:spacing w:after="200" w:line="276" w:lineRule="auto"/>
              <w:rPr>
                <w:noProof/>
              </w:rPr>
            </w:pPr>
            <w:r>
              <w:rPr>
                <w:noProof/>
              </w:rPr>
              <w:t xml:space="preserve">Publication du rapport d'analyse d'impact </w:t>
            </w:r>
          </w:p>
        </w:tc>
        <w:tc>
          <w:tcPr>
            <w:tcW w:w="1141" w:type="dxa"/>
            <w:shd w:val="clear" w:color="auto" w:fill="C6EFCE"/>
            <w:noWrap/>
          </w:tcPr>
          <w:p w14:paraId="394F57A2" w14:textId="11A10C1A" w:rsidR="00553430" w:rsidRDefault="00212577">
            <w:pPr>
              <w:pStyle w:val="P68B1DB1-Normal66"/>
              <w:spacing w:after="200" w:line="276" w:lineRule="auto"/>
              <w:jc w:val="center"/>
              <w:rPr>
                <w:noProof/>
              </w:rPr>
            </w:pPr>
            <w:r>
              <w:rPr>
                <w:noProof/>
              </w:rPr>
              <w:t xml:space="preserve"> </w:t>
            </w:r>
          </w:p>
        </w:tc>
        <w:tc>
          <w:tcPr>
            <w:tcW w:w="807" w:type="dxa"/>
            <w:shd w:val="clear" w:color="auto" w:fill="C6EFCE"/>
            <w:noWrap/>
          </w:tcPr>
          <w:p w14:paraId="33E1A9DC" w14:textId="18EA89D7" w:rsidR="00553430" w:rsidRDefault="00212577">
            <w:pPr>
              <w:pStyle w:val="P68B1DB1-Normal66"/>
              <w:spacing w:after="200" w:line="276" w:lineRule="auto"/>
              <w:jc w:val="center"/>
              <w:rPr>
                <w:noProof/>
              </w:rPr>
            </w:pPr>
            <w:r>
              <w:rPr>
                <w:noProof/>
              </w:rPr>
              <w:t xml:space="preserve"> </w:t>
            </w:r>
          </w:p>
        </w:tc>
        <w:tc>
          <w:tcPr>
            <w:tcW w:w="831" w:type="dxa"/>
            <w:shd w:val="clear" w:color="auto" w:fill="C6EFCE"/>
            <w:noWrap/>
          </w:tcPr>
          <w:p w14:paraId="733E25C0" w14:textId="13DA9338" w:rsidR="00553430" w:rsidRDefault="00212577">
            <w:pPr>
              <w:pStyle w:val="P68B1DB1-Normal66"/>
              <w:spacing w:after="200" w:line="276" w:lineRule="auto"/>
              <w:jc w:val="center"/>
              <w:rPr>
                <w:noProof/>
              </w:rPr>
            </w:pPr>
            <w:r>
              <w:rPr>
                <w:noProof/>
              </w:rPr>
              <w:t xml:space="preserve"> </w:t>
            </w:r>
          </w:p>
        </w:tc>
        <w:tc>
          <w:tcPr>
            <w:tcW w:w="1037" w:type="dxa"/>
            <w:shd w:val="clear" w:color="auto" w:fill="C6EFCE"/>
            <w:noWrap/>
          </w:tcPr>
          <w:p w14:paraId="323B25DF" w14:textId="77777777" w:rsidR="00553430" w:rsidRDefault="00212577">
            <w:pPr>
              <w:pStyle w:val="P68B1DB1-Normal66"/>
              <w:spacing w:after="200" w:line="276" w:lineRule="auto"/>
              <w:jc w:val="center"/>
              <w:rPr>
                <w:noProof/>
              </w:rPr>
            </w:pPr>
            <w:r>
              <w:rPr>
                <w:noProof/>
              </w:rPr>
              <w:t>T2 </w:t>
            </w:r>
          </w:p>
        </w:tc>
        <w:tc>
          <w:tcPr>
            <w:tcW w:w="844" w:type="dxa"/>
            <w:shd w:val="clear" w:color="auto" w:fill="C6EFCE"/>
            <w:noWrap/>
          </w:tcPr>
          <w:p w14:paraId="22289DE0" w14:textId="77777777" w:rsidR="00553430" w:rsidRDefault="00212577">
            <w:pPr>
              <w:pStyle w:val="P68B1DB1-Normal66"/>
              <w:spacing w:after="200" w:line="276" w:lineRule="auto"/>
              <w:jc w:val="center"/>
              <w:rPr>
                <w:noProof/>
              </w:rPr>
            </w:pPr>
            <w:r>
              <w:rPr>
                <w:noProof/>
              </w:rPr>
              <w:t>2026 </w:t>
            </w:r>
          </w:p>
        </w:tc>
        <w:tc>
          <w:tcPr>
            <w:tcW w:w="3282" w:type="dxa"/>
            <w:shd w:val="clear" w:color="auto" w:fill="C6EFCE"/>
            <w:noWrap/>
          </w:tcPr>
          <w:p w14:paraId="0B3D6741" w14:textId="77777777" w:rsidR="00553430" w:rsidRDefault="00212577">
            <w:pPr>
              <w:pStyle w:val="P68B1DB1-Normal66"/>
              <w:spacing w:after="200" w:line="276" w:lineRule="auto"/>
              <w:rPr>
                <w:noProof/>
                <w:color w:val="000000" w:themeColor="text1"/>
              </w:rPr>
            </w:pPr>
            <w:r>
              <w:rPr>
                <w:noProof/>
              </w:rPr>
              <w:t xml:space="preserve">Le </w:t>
            </w:r>
            <w:r>
              <w:rPr>
                <w:noProof/>
              </w:rPr>
              <w:t>rapport sur les effets de la mise en œuvre est publié.La méthodologie développée dans le rapport permet d’évaluer les effets de la mise en œuvre du programme de lutte contre la corruption pour les entreprises détenues par des collectivités locales et régio</w:t>
            </w:r>
            <w:r>
              <w:rPr>
                <w:noProof/>
              </w:rPr>
              <w:t xml:space="preserve">nales et de futurs documents de ce type. </w:t>
            </w:r>
          </w:p>
          <w:p w14:paraId="4DAEEA06" w14:textId="417A5EDD" w:rsidR="00553430" w:rsidRDefault="00212577">
            <w:pPr>
              <w:pStyle w:val="P68B1DB1-Normal70"/>
              <w:spacing w:after="200" w:line="276" w:lineRule="auto"/>
              <w:rPr>
                <w:noProof/>
                <w:color w:val="000000" w:themeColor="text1"/>
              </w:rPr>
            </w:pPr>
            <w:r>
              <w:rPr>
                <w:noProof/>
                <w:color w:val="000000" w:themeColor="text1"/>
              </w:rPr>
              <w:t>Cinq formations seront organisées sur l’application du manuel pour la mise en œuvre des recommandations de l’OCDE sur la gouvernance d’entreprise dans les entreprises détenues majoritairement par des unités locales</w:t>
            </w:r>
            <w:r>
              <w:rPr>
                <w:noProof/>
                <w:color w:val="000000" w:themeColor="text1"/>
              </w:rPr>
              <w:t xml:space="preserve"> et régionales et sur l’importance de </w:t>
            </w:r>
            <w:r>
              <w:rPr>
                <w:noProof/>
              </w:rPr>
              <w:t>renforcer</w:t>
            </w:r>
            <w:r>
              <w:rPr>
                <w:noProof/>
                <w:color w:val="000000" w:themeColor="text1"/>
              </w:rPr>
              <w:t xml:space="preserve"> l’intégrité et de lutter contre la corruption.</w:t>
            </w:r>
          </w:p>
          <w:p w14:paraId="4A54D7F9" w14:textId="77777777" w:rsidR="00553430" w:rsidRDefault="00212577">
            <w:pPr>
              <w:pStyle w:val="P68B1DB1-Normal66"/>
              <w:spacing w:after="200" w:line="276" w:lineRule="auto"/>
              <w:rPr>
                <w:noProof/>
              </w:rPr>
            </w:pPr>
            <w:r>
              <w:rPr>
                <w:noProof/>
              </w:rPr>
              <w:t>Trois tables rondes et une conférence sur la gouvernance d’entreprise dans les entreprises détenues majoritairement par des collectivités locales et régionales s</w:t>
            </w:r>
            <w:r>
              <w:rPr>
                <w:noProof/>
              </w:rPr>
              <w:t>eront organisées.</w:t>
            </w:r>
          </w:p>
        </w:tc>
      </w:tr>
      <w:tr w:rsidR="00553430" w14:paraId="50F8CA40" w14:textId="77777777">
        <w:trPr>
          <w:trHeight w:val="283"/>
        </w:trPr>
        <w:tc>
          <w:tcPr>
            <w:tcW w:w="968" w:type="dxa"/>
            <w:shd w:val="clear" w:color="auto" w:fill="C6EFCE"/>
            <w:noWrap/>
          </w:tcPr>
          <w:p w14:paraId="56F0C5C3" w14:textId="77777777" w:rsidR="00553430" w:rsidRDefault="00212577">
            <w:pPr>
              <w:pStyle w:val="P68B1DB1-Normal66"/>
              <w:spacing w:after="200" w:line="276" w:lineRule="auto"/>
              <w:jc w:val="center"/>
              <w:rPr>
                <w:noProof/>
              </w:rPr>
            </w:pPr>
            <w:r>
              <w:rPr>
                <w:noProof/>
              </w:rPr>
              <w:t>246 </w:t>
            </w:r>
          </w:p>
        </w:tc>
        <w:tc>
          <w:tcPr>
            <w:tcW w:w="1108" w:type="dxa"/>
            <w:shd w:val="clear" w:color="auto" w:fill="C6EFCE"/>
            <w:noWrap/>
          </w:tcPr>
          <w:p w14:paraId="6DDFB91B" w14:textId="77777777" w:rsidR="00553430" w:rsidRDefault="00212577">
            <w:pPr>
              <w:pStyle w:val="P68B1DB1-Normal66"/>
              <w:spacing w:after="200" w:line="276" w:lineRule="auto"/>
              <w:jc w:val="center"/>
              <w:rPr>
                <w:noProof/>
              </w:rPr>
            </w:pPr>
            <w:r>
              <w:rPr>
                <w:noProof/>
              </w:rPr>
              <w:t>C2.6. R4 </w:t>
            </w:r>
          </w:p>
        </w:tc>
        <w:tc>
          <w:tcPr>
            <w:tcW w:w="1120" w:type="dxa"/>
            <w:shd w:val="clear" w:color="auto" w:fill="C6EFCE"/>
            <w:noWrap/>
          </w:tcPr>
          <w:p w14:paraId="3ACD36E5" w14:textId="77777777" w:rsidR="00553430" w:rsidRDefault="00212577">
            <w:pPr>
              <w:pStyle w:val="P68B1DB1-Normal66"/>
              <w:spacing w:after="200" w:line="276" w:lineRule="auto"/>
              <w:jc w:val="center"/>
              <w:rPr>
                <w:noProof/>
              </w:rPr>
            </w:pPr>
            <w:r>
              <w:rPr>
                <w:noProof/>
              </w:rPr>
              <w:t>T </w:t>
            </w:r>
          </w:p>
        </w:tc>
        <w:tc>
          <w:tcPr>
            <w:tcW w:w="1649" w:type="dxa"/>
            <w:shd w:val="clear" w:color="auto" w:fill="C6EFCE"/>
            <w:noWrap/>
          </w:tcPr>
          <w:p w14:paraId="6DBFD338" w14:textId="77777777" w:rsidR="00553430" w:rsidRDefault="00212577">
            <w:pPr>
              <w:pStyle w:val="P68B1DB1-Normal66"/>
              <w:spacing w:after="200" w:line="276" w:lineRule="auto"/>
              <w:rPr>
                <w:noProof/>
              </w:rPr>
            </w:pPr>
            <w:r>
              <w:rPr>
                <w:noProof/>
              </w:rPr>
              <w:t>Formation des juges à la gestion des risques de corruption dans les marchés publics et à la protection judiciaire dans les procédures de passation de marchés publics </w:t>
            </w:r>
          </w:p>
        </w:tc>
        <w:tc>
          <w:tcPr>
            <w:tcW w:w="2172" w:type="dxa"/>
            <w:shd w:val="clear" w:color="auto" w:fill="C6EFCE"/>
            <w:noWrap/>
          </w:tcPr>
          <w:p w14:paraId="7316F7FD" w14:textId="347E1A4F" w:rsidR="00553430" w:rsidRDefault="00212577">
            <w:pPr>
              <w:pStyle w:val="P68B1DB1-Normal66"/>
              <w:spacing w:after="200" w:line="276" w:lineRule="auto"/>
              <w:rPr>
                <w:noProof/>
              </w:rPr>
            </w:pPr>
            <w:r>
              <w:rPr>
                <w:noProof/>
              </w:rPr>
              <w:t xml:space="preserve"> </w:t>
            </w:r>
          </w:p>
        </w:tc>
        <w:tc>
          <w:tcPr>
            <w:tcW w:w="1141" w:type="dxa"/>
            <w:shd w:val="clear" w:color="auto" w:fill="C6EFCE"/>
            <w:noWrap/>
          </w:tcPr>
          <w:p w14:paraId="53348D6F" w14:textId="77777777" w:rsidR="00553430" w:rsidRDefault="00212577">
            <w:pPr>
              <w:pStyle w:val="P68B1DB1-Normal66"/>
              <w:spacing w:after="200" w:line="276" w:lineRule="auto"/>
              <w:jc w:val="center"/>
              <w:rPr>
                <w:noProof/>
              </w:rPr>
            </w:pPr>
            <w:r>
              <w:rPr>
                <w:noProof/>
              </w:rPr>
              <w:t>Numéro </w:t>
            </w:r>
          </w:p>
        </w:tc>
        <w:tc>
          <w:tcPr>
            <w:tcW w:w="807" w:type="dxa"/>
            <w:shd w:val="clear" w:color="auto" w:fill="C6EFCE"/>
            <w:noWrap/>
          </w:tcPr>
          <w:p w14:paraId="2222C427" w14:textId="77777777" w:rsidR="00553430" w:rsidRDefault="00212577">
            <w:pPr>
              <w:pStyle w:val="P68B1DB1-Normal66"/>
              <w:spacing w:after="200" w:line="276" w:lineRule="auto"/>
              <w:jc w:val="center"/>
              <w:rPr>
                <w:noProof/>
              </w:rPr>
            </w:pPr>
            <w:r>
              <w:rPr>
                <w:noProof/>
              </w:rPr>
              <w:t>0 </w:t>
            </w:r>
          </w:p>
        </w:tc>
        <w:tc>
          <w:tcPr>
            <w:tcW w:w="831" w:type="dxa"/>
            <w:shd w:val="clear" w:color="auto" w:fill="C6EFCE"/>
            <w:noWrap/>
          </w:tcPr>
          <w:p w14:paraId="2ACBC411" w14:textId="77777777" w:rsidR="00553430" w:rsidRDefault="00212577">
            <w:pPr>
              <w:pStyle w:val="P68B1DB1-Normal66"/>
              <w:spacing w:after="200" w:line="276" w:lineRule="auto"/>
              <w:jc w:val="center"/>
              <w:rPr>
                <w:noProof/>
              </w:rPr>
            </w:pPr>
            <w:r>
              <w:rPr>
                <w:noProof/>
              </w:rPr>
              <w:t>20 </w:t>
            </w:r>
          </w:p>
        </w:tc>
        <w:tc>
          <w:tcPr>
            <w:tcW w:w="1037" w:type="dxa"/>
            <w:shd w:val="clear" w:color="auto" w:fill="C6EFCE"/>
            <w:noWrap/>
          </w:tcPr>
          <w:p w14:paraId="662D86FB" w14:textId="77777777" w:rsidR="00553430" w:rsidRDefault="00212577">
            <w:pPr>
              <w:pStyle w:val="P68B1DB1-Normal66"/>
              <w:spacing w:after="200" w:line="276" w:lineRule="auto"/>
              <w:jc w:val="center"/>
              <w:rPr>
                <w:noProof/>
              </w:rPr>
            </w:pPr>
            <w:r>
              <w:rPr>
                <w:noProof/>
              </w:rPr>
              <w:t>T2 </w:t>
            </w:r>
          </w:p>
        </w:tc>
        <w:tc>
          <w:tcPr>
            <w:tcW w:w="844" w:type="dxa"/>
            <w:shd w:val="clear" w:color="auto" w:fill="C6EFCE"/>
            <w:noWrap/>
          </w:tcPr>
          <w:p w14:paraId="7BA03DF8" w14:textId="77777777" w:rsidR="00553430" w:rsidRDefault="00212577">
            <w:pPr>
              <w:pStyle w:val="P68B1DB1-Normal66"/>
              <w:spacing w:after="200" w:line="276" w:lineRule="auto"/>
              <w:jc w:val="center"/>
              <w:rPr>
                <w:noProof/>
              </w:rPr>
            </w:pPr>
            <w:r>
              <w:rPr>
                <w:noProof/>
              </w:rPr>
              <w:t>2024 </w:t>
            </w:r>
          </w:p>
        </w:tc>
        <w:tc>
          <w:tcPr>
            <w:tcW w:w="3282" w:type="dxa"/>
            <w:shd w:val="clear" w:color="auto" w:fill="C6EFCE"/>
            <w:noWrap/>
          </w:tcPr>
          <w:p w14:paraId="4D765DC9" w14:textId="5106B57B" w:rsidR="00553430" w:rsidRDefault="00212577">
            <w:pPr>
              <w:pStyle w:val="P68B1DB1-Normal66"/>
              <w:spacing w:after="200" w:line="276" w:lineRule="auto"/>
              <w:rPr>
                <w:noProof/>
              </w:rPr>
            </w:pPr>
            <w:r>
              <w:rPr>
                <w:noProof/>
              </w:rPr>
              <w:t>20 juges de la Haute Cour</w:t>
            </w:r>
            <w:r>
              <w:rPr>
                <w:noProof/>
              </w:rPr>
              <w:t xml:space="preserve"> administrative de Croatie sont formés à la gestion des risques de corruption dans les procédures de passation de marchés publics et de recours juridictionnel dans les procédures de passation de marchés publics. À cette fin, deux ateliers sont organisés pa</w:t>
            </w:r>
            <w:r>
              <w:rPr>
                <w:noProof/>
              </w:rPr>
              <w:t xml:space="preserve">r l’Académie judiciaire dans le cadre du développement professionnel tout au long de la vie des fonctionnaires judiciaires, sous la forme d’une formation classique/régulière et d’un apprentissage à distance en fonction des circonstances, afin de renforcer </w:t>
            </w:r>
            <w:r>
              <w:rPr>
                <w:noProof/>
              </w:rPr>
              <w:t xml:space="preserve">encore la protection judiciaire dans les procédures de passation de marchés publics. </w:t>
            </w:r>
          </w:p>
        </w:tc>
      </w:tr>
    </w:tbl>
    <w:p w14:paraId="7373D81B" w14:textId="77777777" w:rsidR="00553430" w:rsidRDefault="00553430">
      <w:pPr>
        <w:rPr>
          <w:noProof/>
        </w:rPr>
        <w:sectPr w:rsidR="00553430" w:rsidSect="00FA29B2">
          <w:headerReference w:type="even" r:id="rId237"/>
          <w:headerReference w:type="default" r:id="rId238"/>
          <w:footerReference w:type="even" r:id="rId239"/>
          <w:footerReference w:type="default" r:id="rId240"/>
          <w:headerReference w:type="first" r:id="rId241"/>
          <w:footerReference w:type="first" r:id="rId242"/>
          <w:pgSz w:w="16839" w:h="11907" w:orient="landscape"/>
          <w:pgMar w:top="1134" w:right="1134" w:bottom="1134" w:left="1134" w:header="567" w:footer="567" w:gutter="0"/>
          <w:cols w:space="708"/>
          <w:docGrid w:linePitch="360"/>
        </w:sectPr>
      </w:pPr>
    </w:p>
    <w:p w14:paraId="3E36825D" w14:textId="77777777" w:rsidR="00553430" w:rsidRDefault="00212577">
      <w:pPr>
        <w:pStyle w:val="P68B1DB1-Normal91"/>
        <w:keepNext/>
        <w:tabs>
          <w:tab w:val="left" w:pos="850"/>
        </w:tabs>
        <w:spacing w:before="360" w:line="240" w:lineRule="auto"/>
        <w:ind w:left="850" w:hanging="850"/>
        <w:jc w:val="both"/>
        <w:outlineLvl w:val="0"/>
        <w:rPr>
          <w:noProof/>
        </w:rPr>
      </w:pPr>
      <w:r>
        <w:rPr>
          <w:noProof/>
        </w:rPr>
        <w:t>M. Élément 2.7: RENFORCEMENT DU CADRE FISCAL</w:t>
      </w:r>
    </w:p>
    <w:p w14:paraId="4C33FBAE" w14:textId="77777777" w:rsidR="00553430" w:rsidRDefault="00212577">
      <w:pPr>
        <w:pStyle w:val="P68B1DB1-Normal94"/>
        <w:spacing w:line="240" w:lineRule="auto"/>
        <w:jc w:val="both"/>
        <w:rPr>
          <w:noProof/>
        </w:rPr>
      </w:pPr>
      <w:r>
        <w:rPr>
          <w:noProof/>
        </w:rPr>
        <w:t>Ce volet vise à renforcer davantage</w:t>
      </w:r>
      <w:r>
        <w:rPr>
          <w:noProof/>
        </w:rPr>
        <w:t xml:space="preserve"> le cadre budgétaire et la discipline budgétaire au moyen de la nouvelle loi budgétaire afin d'améliorer les processus budgétaires, d'améliorer l'information financière et d'élaborer un modèle de projection macroéconomique.</w:t>
      </w:r>
    </w:p>
    <w:p w14:paraId="014B3082" w14:textId="77777777" w:rsidR="00553430" w:rsidRDefault="00212577">
      <w:pPr>
        <w:pStyle w:val="P68B1DB1-Normal94"/>
        <w:spacing w:line="240" w:lineRule="auto"/>
        <w:jc w:val="both"/>
        <w:rPr>
          <w:noProof/>
        </w:rPr>
      </w:pPr>
      <w:r>
        <w:rPr>
          <w:noProof/>
        </w:rPr>
        <w:t>Le renforcement du cadre budgéta</w:t>
      </w:r>
      <w:r>
        <w:rPr>
          <w:noProof/>
        </w:rPr>
        <w:t>ire est l’un des éléments clés de l’amélioration de la viabilité des finances publiques, qui, à son tour, contribue à la stabilité macroéconomique et crée les conditions préalables à l’augmentation des taux de croissance potentiels, ainsi qu’à la reprise é</w:t>
      </w:r>
      <w:r>
        <w:rPr>
          <w:noProof/>
        </w:rPr>
        <w:t xml:space="preserve">conomique et à la résilience. </w:t>
      </w:r>
    </w:p>
    <w:p w14:paraId="3C90AD17" w14:textId="77777777" w:rsidR="00553430" w:rsidRDefault="00212577">
      <w:pPr>
        <w:pStyle w:val="P68B1DB1-Normal94"/>
        <w:spacing w:after="200" w:line="276" w:lineRule="auto"/>
        <w:jc w:val="both"/>
        <w:rPr>
          <w:noProof/>
          <w:szCs w:val="24"/>
        </w:rPr>
      </w:pPr>
      <w:r>
        <w:rPr>
          <w:noProof/>
        </w:rPr>
        <w:t>Ce volet répond aux recommandations par pays relatives au renforcement du cadre budgétaire (recommandation par pays 1, 2019) et à la mise en œuvre de politiques budgétaires visant à parvenir à des positions budgétaires pruden</w:t>
      </w:r>
      <w:r>
        <w:rPr>
          <w:noProof/>
        </w:rPr>
        <w:t>tes à moyen terme (recommandation par pays 1, 2020).</w:t>
      </w:r>
    </w:p>
    <w:p w14:paraId="154D183C" w14:textId="77777777" w:rsidR="00553430" w:rsidRDefault="00553430">
      <w:pPr>
        <w:spacing w:line="240" w:lineRule="auto"/>
        <w:jc w:val="both"/>
        <w:rPr>
          <w:rFonts w:ascii="Times New Roman" w:eastAsia="Calibri" w:hAnsi="Times New Roman" w:cs="Times New Roman"/>
          <w:noProof/>
          <w:sz w:val="24"/>
          <w:szCs w:val="24"/>
        </w:rPr>
      </w:pPr>
    </w:p>
    <w:p w14:paraId="49A782AC" w14:textId="77777777" w:rsidR="00553430" w:rsidRDefault="00212577">
      <w:pPr>
        <w:pStyle w:val="P68B1DB1-Normal92"/>
        <w:keepNext/>
        <w:tabs>
          <w:tab w:val="num" w:pos="850"/>
        </w:tabs>
        <w:spacing w:before="40" w:after="0"/>
        <w:ind w:left="851"/>
        <w:jc w:val="both"/>
        <w:outlineLvl w:val="1"/>
        <w:rPr>
          <w:noProof/>
        </w:rPr>
      </w:pPr>
      <w:r>
        <w:rPr>
          <w:noProof/>
        </w:rPr>
        <w:t xml:space="preserve">M.1. </w:t>
      </w:r>
      <w:r>
        <w:rPr>
          <w:noProof/>
        </w:rPr>
        <w:tab/>
        <w:t>Description des réformes et des investissements pour le soutien financier non remboursable</w:t>
      </w:r>
    </w:p>
    <w:p w14:paraId="3A4CE843" w14:textId="77777777" w:rsidR="00553430" w:rsidRDefault="00553430">
      <w:pPr>
        <w:keepNext/>
        <w:spacing w:line="240" w:lineRule="auto"/>
        <w:ind w:left="850"/>
        <w:jc w:val="both"/>
        <w:rPr>
          <w:rFonts w:ascii="Times New Roman" w:eastAsia="Calibri" w:hAnsi="Times New Roman" w:cs="Times New Roman"/>
          <w:noProof/>
          <w:sz w:val="24"/>
          <w:szCs w:val="28"/>
          <w:u w:val="single"/>
        </w:rPr>
      </w:pPr>
    </w:p>
    <w:p w14:paraId="33771BC5" w14:textId="77777777" w:rsidR="00553430" w:rsidRDefault="00212577">
      <w:pPr>
        <w:pStyle w:val="P68B1DB1-Normal94"/>
        <w:keepNext/>
        <w:spacing w:line="240" w:lineRule="auto"/>
        <w:ind w:left="850"/>
        <w:jc w:val="both"/>
        <w:rPr>
          <w:noProof/>
        </w:rPr>
      </w:pPr>
      <w:r>
        <w:rPr>
          <w:noProof/>
          <w:u w:val="single"/>
        </w:rPr>
        <w:t>Réforme C2.7 R1 - Améliorer la planification budgétaire et la déclaration en</w:t>
      </w:r>
      <w:r>
        <w:rPr>
          <w:noProof/>
        </w:rPr>
        <w:t xml:space="preserve"> g </w:t>
      </w:r>
    </w:p>
    <w:p w14:paraId="7B712EB4" w14:textId="77777777" w:rsidR="00553430" w:rsidRDefault="00212577">
      <w:pPr>
        <w:pStyle w:val="P68B1DB1-Normal124"/>
        <w:spacing w:line="240" w:lineRule="auto"/>
        <w:jc w:val="both"/>
        <w:rPr>
          <w:rFonts w:eastAsia="Calibri"/>
          <w:noProof/>
        </w:rPr>
      </w:pPr>
      <w:r>
        <w:rPr>
          <w:noProof/>
        </w:rPr>
        <w:t>L’objectif de cette réfo</w:t>
      </w:r>
      <w:r>
        <w:rPr>
          <w:noProof/>
        </w:rPr>
        <w:t>rme est de modifier la loi budgétaire afin d’améliorer les processus budgétaires et les documents budgétaires connexes, ainsi que l’information financière, garantissant ainsi le développement d’un système de gestion des finances publiques efficace et durab</w:t>
      </w:r>
      <w:r>
        <w:rPr>
          <w:noProof/>
        </w:rPr>
        <w:t>le.</w:t>
      </w:r>
    </w:p>
    <w:p w14:paraId="40199CF0" w14:textId="77777777" w:rsidR="00553430" w:rsidRDefault="00212577">
      <w:pPr>
        <w:pStyle w:val="P68B1DB1-Normal125"/>
        <w:spacing w:line="240" w:lineRule="auto"/>
        <w:jc w:val="both"/>
        <w:rPr>
          <w:noProof/>
        </w:rPr>
      </w:pPr>
      <w:r>
        <w:rPr>
          <w:noProof/>
        </w:rPr>
        <w:t>La réforme comprend:</w:t>
      </w:r>
    </w:p>
    <w:p w14:paraId="31A66C3E" w14:textId="77777777" w:rsidR="00553430" w:rsidRDefault="00212577">
      <w:pPr>
        <w:pStyle w:val="P68B1DB1-Normal126"/>
        <w:numPr>
          <w:ilvl w:val="0"/>
          <w:numId w:val="67"/>
        </w:numPr>
        <w:spacing w:before="120" w:after="120" w:line="240" w:lineRule="auto"/>
        <w:jc w:val="both"/>
        <w:rPr>
          <w:rFonts w:eastAsia="Calibri"/>
          <w:noProof/>
        </w:rPr>
      </w:pPr>
      <w:r>
        <w:rPr>
          <w:noProof/>
        </w:rPr>
        <w:t>Rédaction et adoption de la nouvelle loi budgétaire.</w:t>
      </w:r>
    </w:p>
    <w:p w14:paraId="5893642F" w14:textId="77777777" w:rsidR="00553430" w:rsidRDefault="00212577">
      <w:pPr>
        <w:pStyle w:val="P68B1DB1-Normal126"/>
        <w:numPr>
          <w:ilvl w:val="0"/>
          <w:numId w:val="67"/>
        </w:numPr>
        <w:spacing w:before="120" w:after="120" w:line="240" w:lineRule="auto"/>
        <w:jc w:val="both"/>
        <w:rPr>
          <w:rFonts w:eastAsia="Calibri"/>
          <w:noProof/>
        </w:rPr>
      </w:pPr>
      <w:r>
        <w:rPr>
          <w:noProof/>
        </w:rPr>
        <w:t>Assurer la pleine fonctionnalité de la commission de la politique budgétaire, par la nomination d’un nouveau président sur la base d’un appel public.</w:t>
      </w:r>
    </w:p>
    <w:p w14:paraId="29773ADD" w14:textId="77777777" w:rsidR="00553430" w:rsidRDefault="00212577">
      <w:pPr>
        <w:pStyle w:val="P68B1DB1-Normal125"/>
        <w:spacing w:line="240" w:lineRule="auto"/>
        <w:jc w:val="both"/>
        <w:rPr>
          <w:rFonts w:eastAsia="Calibri"/>
          <w:noProof/>
        </w:rPr>
      </w:pPr>
      <w:r>
        <w:rPr>
          <w:noProof/>
        </w:rPr>
        <w:t xml:space="preserve">La réforme est achevée au </w:t>
      </w:r>
      <w:r>
        <w:rPr>
          <w:noProof/>
        </w:rPr>
        <w:t>plus tard le 31 mars 2022.</w:t>
      </w:r>
    </w:p>
    <w:p w14:paraId="5E19F751" w14:textId="77777777" w:rsidR="00553430" w:rsidRDefault="00212577">
      <w:pPr>
        <w:pStyle w:val="P68B1DB1-Normal127"/>
        <w:keepNext/>
        <w:spacing w:line="240" w:lineRule="auto"/>
        <w:ind w:left="850"/>
        <w:jc w:val="both"/>
        <w:rPr>
          <w:noProof/>
        </w:rPr>
      </w:pPr>
      <w:r>
        <w:rPr>
          <w:noProof/>
        </w:rPr>
        <w:t>Réforme C2.7 R2 - Développement d'un modèle macroéconomique structurel de l'économie croate</w:t>
      </w:r>
    </w:p>
    <w:p w14:paraId="2531BFC2" w14:textId="36F0ACE8" w:rsidR="00553430" w:rsidRDefault="00212577">
      <w:pPr>
        <w:pStyle w:val="P68B1DB1-Normal125"/>
        <w:spacing w:after="200" w:line="276" w:lineRule="auto"/>
        <w:jc w:val="both"/>
        <w:rPr>
          <w:rFonts w:eastAsia="Calibri"/>
          <w:noProof/>
          <w:szCs w:val="24"/>
        </w:rPr>
      </w:pPr>
      <w:r>
        <w:rPr>
          <w:noProof/>
        </w:rPr>
        <w:t>L’objectif de la réforme est d’élaborer un modèle macroéconomique structurel de l’économie croate, qui soit adapté à la production de pré</w:t>
      </w:r>
      <w:r>
        <w:rPr>
          <w:noProof/>
        </w:rPr>
        <w:t>visions macroéconomiques à moyen terme, simulant les effets des politiques économiques et des analyses d’impact des chocs, et, à terme, de renforcer la capacité du ministère des finances à élaborer des prévisions budgétaires.</w:t>
      </w:r>
    </w:p>
    <w:p w14:paraId="00964D72" w14:textId="77777777" w:rsidR="00553430" w:rsidRDefault="00212577">
      <w:pPr>
        <w:pStyle w:val="P68B1DB1-Normal124"/>
        <w:spacing w:line="240" w:lineRule="auto"/>
        <w:jc w:val="both"/>
        <w:rPr>
          <w:rFonts w:eastAsia="Calibri"/>
          <w:noProof/>
          <w:u w:val="single"/>
        </w:rPr>
      </w:pPr>
      <w:r>
        <w:rPr>
          <w:noProof/>
        </w:rPr>
        <w:t>La réforme est achevée au plus</w:t>
      </w:r>
      <w:r>
        <w:rPr>
          <w:noProof/>
        </w:rPr>
        <w:t xml:space="preserve"> tard le 30 septembre 2022. </w:t>
      </w:r>
    </w:p>
    <w:p w14:paraId="2125CB55" w14:textId="77777777" w:rsidR="00553430" w:rsidRDefault="00553430">
      <w:pPr>
        <w:rPr>
          <w:noProof/>
        </w:rPr>
        <w:sectPr w:rsidR="00553430" w:rsidSect="00FA29B2">
          <w:headerReference w:type="even" r:id="rId243"/>
          <w:headerReference w:type="default" r:id="rId244"/>
          <w:footerReference w:type="even" r:id="rId245"/>
          <w:footerReference w:type="default" r:id="rId246"/>
          <w:headerReference w:type="first" r:id="rId247"/>
          <w:footerReference w:type="first" r:id="rId248"/>
          <w:pgSz w:w="11907" w:h="16839"/>
          <w:pgMar w:top="1134" w:right="1134" w:bottom="1134" w:left="1134" w:header="567" w:footer="567" w:gutter="0"/>
          <w:cols w:space="708"/>
          <w:docGrid w:linePitch="360"/>
        </w:sectPr>
      </w:pPr>
    </w:p>
    <w:p w14:paraId="41F64935" w14:textId="77777777" w:rsidR="00553430" w:rsidRDefault="00212577">
      <w:pPr>
        <w:pStyle w:val="P68B1DB1-Normal57"/>
        <w:keepNext/>
        <w:tabs>
          <w:tab w:val="num" w:pos="850"/>
        </w:tabs>
        <w:spacing w:before="40" w:after="0"/>
        <w:ind w:left="851"/>
        <w:jc w:val="both"/>
        <w:outlineLvl w:val="1"/>
        <w:rPr>
          <w:noProof/>
        </w:rPr>
      </w:pPr>
      <w:r>
        <w:rPr>
          <w:noProof/>
        </w:rPr>
        <w:t xml:space="preserve">M.2. </w:t>
      </w:r>
      <w:r>
        <w:rPr>
          <w:noProof/>
        </w:rPr>
        <w:tab/>
        <w:t>Étapes, cibles, indicateurs et calendrier pour le suivi et la mise en œuvre du soutien financier non remboursable</w:t>
      </w:r>
    </w:p>
    <w:p w14:paraId="2063469E" w14:textId="77777777" w:rsidR="00553430" w:rsidRDefault="00553430">
      <w:pPr>
        <w:keepNext/>
        <w:tabs>
          <w:tab w:val="num" w:pos="850"/>
        </w:tabs>
        <w:spacing w:before="40" w:after="0"/>
        <w:ind w:left="851"/>
        <w:jc w:val="both"/>
        <w:outlineLvl w:val="1"/>
        <w:rPr>
          <w:rFonts w:eastAsia="SimSun"/>
          <w:b/>
          <w:noProof/>
          <w:szCs w:val="24"/>
          <w:u w:val="single"/>
        </w:rPr>
      </w:pPr>
    </w:p>
    <w:tbl>
      <w:tblPr>
        <w:tblW w:w="14867" w:type="dxa"/>
        <w:jc w:val="center"/>
        <w:tblCellMar>
          <w:top w:w="28" w:type="dxa"/>
          <w:left w:w="28" w:type="dxa"/>
          <w:bottom w:w="28" w:type="dxa"/>
          <w:right w:w="28" w:type="dxa"/>
        </w:tblCellMar>
        <w:tblLook w:val="04A0" w:firstRow="1" w:lastRow="0" w:firstColumn="1" w:lastColumn="0" w:noHBand="0" w:noVBand="1"/>
      </w:tblPr>
      <w:tblGrid>
        <w:gridCol w:w="768"/>
        <w:gridCol w:w="850"/>
        <w:gridCol w:w="1017"/>
        <w:gridCol w:w="2171"/>
        <w:gridCol w:w="1951"/>
        <w:gridCol w:w="734"/>
        <w:gridCol w:w="852"/>
        <w:gridCol w:w="850"/>
        <w:gridCol w:w="893"/>
        <w:gridCol w:w="806"/>
        <w:gridCol w:w="4249"/>
      </w:tblGrid>
      <w:tr w:rsidR="00553430" w14:paraId="6544993A" w14:textId="77777777">
        <w:trPr>
          <w:trHeight w:val="919"/>
          <w:tblHeader/>
          <w:jc w:val="center"/>
        </w:trPr>
        <w:tc>
          <w:tcPr>
            <w:tcW w:w="768"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B98DACA" w14:textId="77777777" w:rsidR="00553430" w:rsidRDefault="00212577">
            <w:pPr>
              <w:pStyle w:val="P68B1DB1-Normal58"/>
              <w:spacing w:after="0" w:line="276" w:lineRule="auto"/>
              <w:jc w:val="center"/>
              <w:rPr>
                <w:bCs/>
                <w:noProof/>
              </w:rPr>
            </w:pPr>
            <w:r>
              <w:rPr>
                <w:noProof/>
              </w:rPr>
              <w:t>Numéro</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520E447C" w14:textId="77777777" w:rsidR="00553430" w:rsidRDefault="00212577">
            <w:pPr>
              <w:pStyle w:val="P68B1DB1-Normal58"/>
              <w:spacing w:after="0" w:line="276" w:lineRule="auto"/>
              <w:jc w:val="center"/>
              <w:rPr>
                <w:bCs/>
                <w:noProof/>
              </w:rPr>
            </w:pPr>
            <w:r>
              <w:rPr>
                <w:noProof/>
              </w:rPr>
              <w:t>Mesure</w:t>
            </w:r>
          </w:p>
        </w:tc>
        <w:tc>
          <w:tcPr>
            <w:tcW w:w="1017"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8661F5E" w14:textId="77777777" w:rsidR="00553430" w:rsidRDefault="00212577">
            <w:pPr>
              <w:pStyle w:val="P68B1DB1-Normal58"/>
              <w:spacing w:after="0" w:line="276" w:lineRule="auto"/>
              <w:jc w:val="center"/>
              <w:rPr>
                <w:bCs/>
                <w:noProof/>
              </w:rPr>
            </w:pPr>
            <w:r>
              <w:rPr>
                <w:noProof/>
              </w:rPr>
              <w:t>Étape/cible</w:t>
            </w:r>
          </w:p>
        </w:tc>
        <w:tc>
          <w:tcPr>
            <w:tcW w:w="2171" w:type="dxa"/>
            <w:vMerge w:val="restart"/>
            <w:tcBorders>
              <w:top w:val="single" w:sz="4" w:space="0" w:color="auto"/>
              <w:left w:val="nil"/>
              <w:bottom w:val="single" w:sz="4" w:space="0" w:color="000000"/>
              <w:right w:val="single" w:sz="4" w:space="0" w:color="auto"/>
            </w:tcBorders>
            <w:shd w:val="clear" w:color="auto" w:fill="BDD7EE"/>
            <w:vAlign w:val="center"/>
            <w:hideMark/>
          </w:tcPr>
          <w:p w14:paraId="50CE1637" w14:textId="77777777" w:rsidR="00553430" w:rsidRDefault="00212577">
            <w:pPr>
              <w:pStyle w:val="P68B1DB1-Normal58"/>
              <w:spacing w:after="0" w:line="276" w:lineRule="auto"/>
              <w:jc w:val="center"/>
              <w:rPr>
                <w:bCs/>
                <w:noProof/>
              </w:rPr>
            </w:pPr>
            <w:r>
              <w:rPr>
                <w:noProof/>
              </w:rPr>
              <w:t>Nom</w:t>
            </w:r>
          </w:p>
        </w:tc>
        <w:tc>
          <w:tcPr>
            <w:tcW w:w="1951"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D37173F"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 xml:space="preserve">Indicateurs </w:t>
            </w:r>
            <w:r>
              <w:rPr>
                <w:rFonts w:ascii="Times New Roman" w:eastAsia="Times New Roman" w:hAnsi="Times New Roman" w:cs="Times New Roman"/>
                <w:b/>
                <w:noProof/>
              </w:rPr>
              <w:t>qualitatifs</w:t>
            </w:r>
            <w:r>
              <w:rPr>
                <w:rFonts w:ascii="Times New Roman" w:eastAsia="Calibri" w:hAnsi="Times New Roman" w:cs="Times New Roman"/>
                <w:noProof/>
              </w:rPr>
              <w:br/>
            </w:r>
            <w:r>
              <w:rPr>
                <w:rFonts w:ascii="Times New Roman" w:eastAsia="Times New Roman" w:hAnsi="Times New Roman" w:cs="Times New Roman"/>
                <w:b/>
                <w:noProof/>
              </w:rPr>
              <w:t>(pour les jalons)</w:t>
            </w:r>
          </w:p>
        </w:tc>
        <w:tc>
          <w:tcPr>
            <w:tcW w:w="2410" w:type="dxa"/>
            <w:gridSpan w:val="3"/>
            <w:tcBorders>
              <w:top w:val="single" w:sz="4" w:space="0" w:color="auto"/>
              <w:left w:val="nil"/>
              <w:bottom w:val="single" w:sz="4" w:space="0" w:color="auto"/>
              <w:right w:val="single" w:sz="4" w:space="0" w:color="auto"/>
            </w:tcBorders>
            <w:shd w:val="clear" w:color="auto" w:fill="BDD7EE"/>
            <w:vAlign w:val="center"/>
            <w:hideMark/>
          </w:tcPr>
          <w:p w14:paraId="15838882"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eastAsia="Calibri" w:hAnsi="Times New Roman" w:cs="Times New Roman"/>
                <w:noProof/>
              </w:rPr>
              <w:br/>
            </w:r>
            <w:r>
              <w:rPr>
                <w:rFonts w:ascii="Times New Roman" w:eastAsia="Times New Roman" w:hAnsi="Times New Roman" w:cs="Times New Roman"/>
                <w:b/>
                <w:noProof/>
              </w:rPr>
              <w:t>(pour les objectifs)</w:t>
            </w:r>
          </w:p>
        </w:tc>
        <w:tc>
          <w:tcPr>
            <w:tcW w:w="1451" w:type="dxa"/>
            <w:gridSpan w:val="2"/>
            <w:tcBorders>
              <w:top w:val="single" w:sz="4" w:space="0" w:color="auto"/>
              <w:left w:val="nil"/>
              <w:bottom w:val="single" w:sz="4" w:space="0" w:color="auto"/>
              <w:right w:val="single" w:sz="4" w:space="0" w:color="auto"/>
            </w:tcBorders>
            <w:shd w:val="clear" w:color="auto" w:fill="BDD7EE"/>
            <w:vAlign w:val="center"/>
            <w:hideMark/>
          </w:tcPr>
          <w:p w14:paraId="721894AD" w14:textId="77777777" w:rsidR="00553430" w:rsidRDefault="00212577">
            <w:pPr>
              <w:pStyle w:val="P68B1DB1-Normal58"/>
              <w:spacing w:after="0" w:line="276" w:lineRule="auto"/>
              <w:jc w:val="center"/>
              <w:rPr>
                <w:bCs/>
                <w:noProof/>
              </w:rPr>
            </w:pPr>
            <w:r>
              <w:rPr>
                <w:noProof/>
              </w:rPr>
              <w:t xml:space="preserve">Temps </w:t>
            </w:r>
          </w:p>
        </w:tc>
        <w:tc>
          <w:tcPr>
            <w:tcW w:w="424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0CAC8E" w14:textId="77777777" w:rsidR="00553430" w:rsidRDefault="00212577">
            <w:pPr>
              <w:pStyle w:val="P68B1DB1-Normal58"/>
              <w:spacing w:after="0" w:line="276" w:lineRule="auto"/>
              <w:jc w:val="center"/>
              <w:rPr>
                <w:bCs/>
                <w:noProof/>
              </w:rPr>
            </w:pPr>
            <w:r>
              <w:rPr>
                <w:noProof/>
              </w:rPr>
              <w:t>Description de chaque jalon et cible</w:t>
            </w:r>
          </w:p>
        </w:tc>
      </w:tr>
      <w:tr w:rsidR="00553430" w14:paraId="48F5F9F7" w14:textId="77777777">
        <w:trPr>
          <w:trHeight w:val="508"/>
          <w:tblHeader/>
          <w:jc w:val="center"/>
        </w:trPr>
        <w:tc>
          <w:tcPr>
            <w:tcW w:w="768" w:type="dxa"/>
            <w:vMerge/>
            <w:tcBorders>
              <w:top w:val="single" w:sz="4" w:space="0" w:color="auto"/>
              <w:left w:val="single" w:sz="4" w:space="0" w:color="auto"/>
              <w:bottom w:val="single" w:sz="4" w:space="0" w:color="000000"/>
              <w:right w:val="single" w:sz="4" w:space="0" w:color="auto"/>
            </w:tcBorders>
            <w:hideMark/>
          </w:tcPr>
          <w:p w14:paraId="13B73784"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850" w:type="dxa"/>
            <w:vMerge/>
            <w:tcBorders>
              <w:top w:val="single" w:sz="4" w:space="0" w:color="auto"/>
              <w:left w:val="single" w:sz="4" w:space="0" w:color="auto"/>
              <w:bottom w:val="single" w:sz="4" w:space="0" w:color="000000"/>
              <w:right w:val="single" w:sz="4" w:space="0" w:color="auto"/>
            </w:tcBorders>
            <w:hideMark/>
          </w:tcPr>
          <w:p w14:paraId="76D97693"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17" w:type="dxa"/>
            <w:vMerge/>
            <w:tcBorders>
              <w:top w:val="single" w:sz="4" w:space="0" w:color="auto"/>
              <w:left w:val="single" w:sz="4" w:space="0" w:color="auto"/>
              <w:bottom w:val="single" w:sz="4" w:space="0" w:color="000000"/>
              <w:right w:val="single" w:sz="4" w:space="0" w:color="auto"/>
            </w:tcBorders>
            <w:hideMark/>
          </w:tcPr>
          <w:p w14:paraId="0FA6EB61"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2171" w:type="dxa"/>
            <w:vMerge/>
            <w:tcBorders>
              <w:top w:val="single" w:sz="4" w:space="0" w:color="auto"/>
              <w:left w:val="nil"/>
              <w:bottom w:val="single" w:sz="4" w:space="0" w:color="000000"/>
              <w:right w:val="single" w:sz="4" w:space="0" w:color="auto"/>
            </w:tcBorders>
            <w:hideMark/>
          </w:tcPr>
          <w:p w14:paraId="11A09307" w14:textId="77777777" w:rsidR="00553430" w:rsidRDefault="00553430">
            <w:pPr>
              <w:spacing w:after="0" w:line="276" w:lineRule="auto"/>
              <w:rPr>
                <w:rFonts w:ascii="Times New Roman" w:eastAsia="Times New Roman" w:hAnsi="Times New Roman" w:cs="Times New Roman"/>
                <w:b/>
                <w:noProof/>
                <w:sz w:val="20"/>
                <w:szCs w:val="20"/>
              </w:rPr>
            </w:pPr>
          </w:p>
        </w:tc>
        <w:tc>
          <w:tcPr>
            <w:tcW w:w="1951" w:type="dxa"/>
            <w:vMerge/>
            <w:tcBorders>
              <w:top w:val="single" w:sz="4" w:space="0" w:color="auto"/>
              <w:left w:val="single" w:sz="4" w:space="0" w:color="auto"/>
              <w:bottom w:val="single" w:sz="4" w:space="0" w:color="000000"/>
              <w:right w:val="single" w:sz="4" w:space="0" w:color="auto"/>
            </w:tcBorders>
            <w:hideMark/>
          </w:tcPr>
          <w:p w14:paraId="58351C27" w14:textId="77777777" w:rsidR="00553430" w:rsidRDefault="00553430">
            <w:pPr>
              <w:spacing w:after="0" w:line="276" w:lineRule="auto"/>
              <w:rPr>
                <w:rFonts w:ascii="Times New Roman" w:eastAsia="Times New Roman" w:hAnsi="Times New Roman" w:cs="Times New Roman"/>
                <w:b/>
                <w:noProof/>
                <w:sz w:val="20"/>
                <w:szCs w:val="20"/>
              </w:rPr>
            </w:pPr>
          </w:p>
        </w:tc>
        <w:tc>
          <w:tcPr>
            <w:tcW w:w="734" w:type="dxa"/>
            <w:tcBorders>
              <w:top w:val="nil"/>
              <w:left w:val="nil"/>
              <w:bottom w:val="single" w:sz="4" w:space="0" w:color="auto"/>
              <w:right w:val="single" w:sz="4" w:space="0" w:color="auto"/>
            </w:tcBorders>
            <w:shd w:val="clear" w:color="auto" w:fill="BDD7EE"/>
            <w:vAlign w:val="center"/>
            <w:hideMark/>
          </w:tcPr>
          <w:p w14:paraId="0885EF3F" w14:textId="77777777" w:rsidR="00553430" w:rsidRDefault="00212577">
            <w:pPr>
              <w:pStyle w:val="P68B1DB1-Normal58"/>
              <w:spacing w:after="0" w:line="276" w:lineRule="auto"/>
              <w:jc w:val="center"/>
              <w:rPr>
                <w:bCs/>
                <w:noProof/>
              </w:rPr>
            </w:pPr>
            <w:r>
              <w:rPr>
                <w:noProof/>
              </w:rPr>
              <w:t>Unité</w:t>
            </w:r>
          </w:p>
        </w:tc>
        <w:tc>
          <w:tcPr>
            <w:tcW w:w="826" w:type="dxa"/>
            <w:tcBorders>
              <w:top w:val="nil"/>
              <w:left w:val="nil"/>
              <w:bottom w:val="single" w:sz="4" w:space="0" w:color="auto"/>
              <w:right w:val="single" w:sz="4" w:space="0" w:color="auto"/>
            </w:tcBorders>
            <w:shd w:val="clear" w:color="auto" w:fill="BDD7EE"/>
            <w:vAlign w:val="center"/>
            <w:hideMark/>
          </w:tcPr>
          <w:p w14:paraId="1537E6A8" w14:textId="77777777" w:rsidR="00553430" w:rsidRDefault="00212577">
            <w:pPr>
              <w:pStyle w:val="P68B1DB1-Normal58"/>
              <w:spacing w:after="0" w:line="276" w:lineRule="auto"/>
              <w:jc w:val="center"/>
              <w:rPr>
                <w:bCs/>
                <w:noProof/>
              </w:rPr>
            </w:pPr>
            <w:r>
              <w:rPr>
                <w:noProof/>
              </w:rPr>
              <w:t>Données de référence</w:t>
            </w:r>
          </w:p>
        </w:tc>
        <w:tc>
          <w:tcPr>
            <w:tcW w:w="850" w:type="dxa"/>
            <w:tcBorders>
              <w:top w:val="nil"/>
              <w:left w:val="nil"/>
              <w:bottom w:val="single" w:sz="4" w:space="0" w:color="auto"/>
              <w:right w:val="single" w:sz="4" w:space="0" w:color="auto"/>
            </w:tcBorders>
            <w:shd w:val="clear" w:color="auto" w:fill="BDD7EE"/>
            <w:vAlign w:val="center"/>
            <w:hideMark/>
          </w:tcPr>
          <w:p w14:paraId="1C98794D" w14:textId="77777777" w:rsidR="00553430" w:rsidRDefault="00212577">
            <w:pPr>
              <w:pStyle w:val="P68B1DB1-Normal58"/>
              <w:spacing w:after="0" w:line="276" w:lineRule="auto"/>
              <w:jc w:val="center"/>
              <w:rPr>
                <w:bCs/>
                <w:noProof/>
              </w:rPr>
            </w:pPr>
            <w:r>
              <w:rPr>
                <w:noProof/>
              </w:rPr>
              <w:t>Objectif</w:t>
            </w:r>
          </w:p>
        </w:tc>
        <w:tc>
          <w:tcPr>
            <w:tcW w:w="645" w:type="dxa"/>
            <w:tcBorders>
              <w:top w:val="nil"/>
              <w:left w:val="nil"/>
              <w:bottom w:val="single" w:sz="4" w:space="0" w:color="auto"/>
              <w:right w:val="single" w:sz="4" w:space="0" w:color="auto"/>
            </w:tcBorders>
            <w:shd w:val="clear" w:color="auto" w:fill="BDD7EE"/>
            <w:vAlign w:val="center"/>
            <w:hideMark/>
          </w:tcPr>
          <w:p w14:paraId="20723047" w14:textId="77777777" w:rsidR="00553430" w:rsidRDefault="00212577">
            <w:pPr>
              <w:pStyle w:val="P68B1DB1-Normal58"/>
              <w:spacing w:after="0" w:line="276" w:lineRule="auto"/>
              <w:jc w:val="center"/>
              <w:rPr>
                <w:bCs/>
                <w:noProof/>
              </w:rPr>
            </w:pPr>
            <w:r>
              <w:rPr>
                <w:noProof/>
              </w:rPr>
              <w:t>Trimestre</w:t>
            </w:r>
          </w:p>
        </w:tc>
        <w:tc>
          <w:tcPr>
            <w:tcW w:w="806" w:type="dxa"/>
            <w:tcBorders>
              <w:top w:val="nil"/>
              <w:left w:val="nil"/>
              <w:bottom w:val="single" w:sz="4" w:space="0" w:color="auto"/>
              <w:right w:val="single" w:sz="4" w:space="0" w:color="auto"/>
            </w:tcBorders>
            <w:shd w:val="clear" w:color="auto" w:fill="BDD7EE"/>
            <w:vAlign w:val="center"/>
            <w:hideMark/>
          </w:tcPr>
          <w:p w14:paraId="57B2DB33" w14:textId="77777777" w:rsidR="00553430" w:rsidRDefault="00212577">
            <w:pPr>
              <w:pStyle w:val="P68B1DB1-Normal58"/>
              <w:spacing w:after="0" w:line="276" w:lineRule="auto"/>
              <w:jc w:val="center"/>
              <w:rPr>
                <w:bCs/>
                <w:noProof/>
              </w:rPr>
            </w:pPr>
            <w:r>
              <w:rPr>
                <w:noProof/>
              </w:rPr>
              <w:t>Année</w:t>
            </w:r>
          </w:p>
        </w:tc>
        <w:tc>
          <w:tcPr>
            <w:tcW w:w="4249" w:type="dxa"/>
            <w:vMerge/>
            <w:tcBorders>
              <w:top w:val="single" w:sz="4" w:space="0" w:color="auto"/>
              <w:left w:val="single" w:sz="4" w:space="0" w:color="auto"/>
              <w:bottom w:val="single" w:sz="4" w:space="0" w:color="auto"/>
              <w:right w:val="single" w:sz="4" w:space="0" w:color="auto"/>
            </w:tcBorders>
            <w:hideMark/>
          </w:tcPr>
          <w:p w14:paraId="03901157"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73A22F5B" w14:textId="77777777">
        <w:trPr>
          <w:trHeight w:val="283"/>
          <w:jc w:val="center"/>
        </w:trPr>
        <w:tc>
          <w:tcPr>
            <w:tcW w:w="768" w:type="dxa"/>
            <w:tcBorders>
              <w:top w:val="nil"/>
              <w:left w:val="single" w:sz="4" w:space="0" w:color="auto"/>
              <w:bottom w:val="single" w:sz="4" w:space="0" w:color="auto"/>
              <w:right w:val="single" w:sz="4" w:space="0" w:color="auto"/>
            </w:tcBorders>
            <w:shd w:val="clear" w:color="auto" w:fill="C6EFCE"/>
            <w:noWrap/>
          </w:tcPr>
          <w:p w14:paraId="1F835DE3" w14:textId="77777777" w:rsidR="00553430" w:rsidRDefault="00212577">
            <w:pPr>
              <w:pStyle w:val="P68B1DB1-Normal66"/>
              <w:spacing w:after="0" w:line="276" w:lineRule="auto"/>
              <w:jc w:val="center"/>
              <w:rPr>
                <w:noProof/>
              </w:rPr>
            </w:pPr>
            <w:r>
              <w:rPr>
                <w:noProof/>
              </w:rPr>
              <w:t>2</w:t>
            </w:r>
            <w:r>
              <w:rPr>
                <w:noProof/>
              </w:rPr>
              <w:t>47</w:t>
            </w:r>
          </w:p>
        </w:tc>
        <w:tc>
          <w:tcPr>
            <w:tcW w:w="850" w:type="dxa"/>
            <w:tcBorders>
              <w:top w:val="nil"/>
              <w:left w:val="nil"/>
              <w:bottom w:val="single" w:sz="4" w:space="0" w:color="auto"/>
              <w:right w:val="single" w:sz="4" w:space="0" w:color="auto"/>
            </w:tcBorders>
            <w:shd w:val="clear" w:color="auto" w:fill="C6EFCE"/>
            <w:noWrap/>
          </w:tcPr>
          <w:p w14:paraId="0DB58930" w14:textId="77777777" w:rsidR="00553430" w:rsidRDefault="00212577">
            <w:pPr>
              <w:pStyle w:val="P68B1DB1-Normal66"/>
              <w:spacing w:after="200" w:line="276" w:lineRule="auto"/>
              <w:jc w:val="center"/>
              <w:rPr>
                <w:noProof/>
              </w:rPr>
            </w:pPr>
            <w:r>
              <w:rPr>
                <w:noProof/>
              </w:rPr>
              <w:t>C2.7. R1</w:t>
            </w:r>
          </w:p>
        </w:tc>
        <w:tc>
          <w:tcPr>
            <w:tcW w:w="1017" w:type="dxa"/>
            <w:tcBorders>
              <w:top w:val="nil"/>
              <w:left w:val="nil"/>
              <w:bottom w:val="single" w:sz="4" w:space="0" w:color="auto"/>
              <w:right w:val="single" w:sz="4" w:space="0" w:color="auto"/>
            </w:tcBorders>
            <w:shd w:val="clear" w:color="auto" w:fill="C6EFCE"/>
            <w:noWrap/>
          </w:tcPr>
          <w:p w14:paraId="085CA100" w14:textId="77777777" w:rsidR="00553430" w:rsidRDefault="00212577">
            <w:pPr>
              <w:pStyle w:val="P68B1DB1-Normal66"/>
              <w:spacing w:after="200" w:line="276" w:lineRule="auto"/>
              <w:jc w:val="center"/>
              <w:rPr>
                <w:noProof/>
              </w:rPr>
            </w:pPr>
            <w:r>
              <w:rPr>
                <w:noProof/>
              </w:rPr>
              <w:t>M</w:t>
            </w:r>
          </w:p>
        </w:tc>
        <w:tc>
          <w:tcPr>
            <w:tcW w:w="2171" w:type="dxa"/>
            <w:tcBorders>
              <w:top w:val="nil"/>
              <w:left w:val="nil"/>
              <w:bottom w:val="single" w:sz="4" w:space="0" w:color="auto"/>
              <w:right w:val="single" w:sz="4" w:space="0" w:color="auto"/>
            </w:tcBorders>
            <w:shd w:val="clear" w:color="auto" w:fill="C6EFCE"/>
            <w:noWrap/>
          </w:tcPr>
          <w:p w14:paraId="64993711" w14:textId="77777777" w:rsidR="00553430" w:rsidRDefault="00212577">
            <w:pPr>
              <w:pStyle w:val="P68B1DB1-Normal66"/>
              <w:spacing w:after="200" w:line="276" w:lineRule="auto"/>
              <w:rPr>
                <w:noProof/>
              </w:rPr>
            </w:pPr>
            <w:r>
              <w:rPr>
                <w:noProof/>
              </w:rPr>
              <w:t>Renforcer le cadre budgétaire par l'adoption de la loi budgétaire afin d'améliorer les processus budgétaires</w:t>
            </w:r>
          </w:p>
        </w:tc>
        <w:tc>
          <w:tcPr>
            <w:tcW w:w="1951" w:type="dxa"/>
            <w:tcBorders>
              <w:top w:val="nil"/>
              <w:left w:val="nil"/>
              <w:bottom w:val="single" w:sz="4" w:space="0" w:color="auto"/>
              <w:right w:val="single" w:sz="4" w:space="0" w:color="auto"/>
            </w:tcBorders>
            <w:shd w:val="clear" w:color="auto" w:fill="C6EFCE"/>
            <w:noWrap/>
          </w:tcPr>
          <w:p w14:paraId="64E27E9C" w14:textId="77777777" w:rsidR="00553430" w:rsidRDefault="00212577">
            <w:pPr>
              <w:pStyle w:val="P68B1DB1-Normal66"/>
              <w:spacing w:after="200" w:line="276" w:lineRule="auto"/>
              <w:rPr>
                <w:noProof/>
              </w:rPr>
            </w:pPr>
            <w:r>
              <w:rPr>
                <w:noProof/>
              </w:rPr>
              <w:t xml:space="preserve">Entrée en vigueur de la nouvelle loi budgétaire </w:t>
            </w:r>
          </w:p>
        </w:tc>
        <w:tc>
          <w:tcPr>
            <w:tcW w:w="734" w:type="dxa"/>
            <w:tcBorders>
              <w:top w:val="nil"/>
              <w:left w:val="nil"/>
              <w:bottom w:val="single" w:sz="4" w:space="0" w:color="auto"/>
              <w:right w:val="single" w:sz="4" w:space="0" w:color="auto"/>
            </w:tcBorders>
            <w:shd w:val="clear" w:color="auto" w:fill="C6EFCE"/>
            <w:noWrap/>
          </w:tcPr>
          <w:p w14:paraId="6020150A" w14:textId="77777777" w:rsidR="00553430" w:rsidRDefault="00212577">
            <w:pPr>
              <w:pStyle w:val="P68B1DB1-Normal66"/>
              <w:spacing w:after="200" w:line="276" w:lineRule="auto"/>
              <w:jc w:val="center"/>
              <w:rPr>
                <w:noProof/>
              </w:rPr>
            </w:pPr>
            <w:r>
              <w:rPr>
                <w:noProof/>
              </w:rPr>
              <w:t> </w:t>
            </w:r>
          </w:p>
        </w:tc>
        <w:tc>
          <w:tcPr>
            <w:tcW w:w="826" w:type="dxa"/>
            <w:tcBorders>
              <w:top w:val="nil"/>
              <w:left w:val="nil"/>
              <w:bottom w:val="single" w:sz="4" w:space="0" w:color="auto"/>
              <w:right w:val="single" w:sz="4" w:space="0" w:color="auto"/>
            </w:tcBorders>
            <w:shd w:val="clear" w:color="auto" w:fill="C6EFCE"/>
            <w:noWrap/>
          </w:tcPr>
          <w:p w14:paraId="49D40FD3" w14:textId="77777777" w:rsidR="00553430" w:rsidRDefault="00212577">
            <w:pPr>
              <w:pStyle w:val="P68B1DB1-Normal66"/>
              <w:spacing w:after="200" w:line="276" w:lineRule="auto"/>
              <w:jc w:val="center"/>
              <w:rPr>
                <w:noProof/>
              </w:rPr>
            </w:pPr>
            <w:r>
              <w:rPr>
                <w:noProof/>
              </w:rPr>
              <w:t> </w:t>
            </w:r>
          </w:p>
        </w:tc>
        <w:tc>
          <w:tcPr>
            <w:tcW w:w="850" w:type="dxa"/>
            <w:tcBorders>
              <w:top w:val="nil"/>
              <w:left w:val="nil"/>
              <w:bottom w:val="single" w:sz="4" w:space="0" w:color="auto"/>
              <w:right w:val="single" w:sz="4" w:space="0" w:color="auto"/>
            </w:tcBorders>
            <w:shd w:val="clear" w:color="auto" w:fill="C6EFCE"/>
            <w:noWrap/>
          </w:tcPr>
          <w:p w14:paraId="677000C5" w14:textId="77777777" w:rsidR="00553430" w:rsidRDefault="00212577">
            <w:pPr>
              <w:pStyle w:val="P68B1DB1-Normal66"/>
              <w:spacing w:after="200" w:line="276" w:lineRule="auto"/>
              <w:jc w:val="center"/>
              <w:rPr>
                <w:noProof/>
              </w:rPr>
            </w:pPr>
            <w:r>
              <w:rPr>
                <w:noProof/>
              </w:rPr>
              <w:t> </w:t>
            </w:r>
          </w:p>
        </w:tc>
        <w:tc>
          <w:tcPr>
            <w:tcW w:w="645" w:type="dxa"/>
            <w:tcBorders>
              <w:top w:val="nil"/>
              <w:left w:val="nil"/>
              <w:bottom w:val="single" w:sz="4" w:space="0" w:color="auto"/>
              <w:right w:val="single" w:sz="4" w:space="0" w:color="auto"/>
            </w:tcBorders>
            <w:shd w:val="clear" w:color="auto" w:fill="C6EFCE"/>
            <w:noWrap/>
          </w:tcPr>
          <w:p w14:paraId="4EDA6DB7" w14:textId="77777777" w:rsidR="00553430" w:rsidRDefault="00212577">
            <w:pPr>
              <w:pStyle w:val="P68B1DB1-Normal66"/>
              <w:spacing w:after="200" w:line="276" w:lineRule="auto"/>
              <w:jc w:val="center"/>
              <w:rPr>
                <w:noProof/>
              </w:rPr>
            </w:pPr>
            <w:r>
              <w:rPr>
                <w:noProof/>
              </w:rPr>
              <w:t>T4</w:t>
            </w:r>
          </w:p>
        </w:tc>
        <w:tc>
          <w:tcPr>
            <w:tcW w:w="806" w:type="dxa"/>
            <w:tcBorders>
              <w:top w:val="nil"/>
              <w:left w:val="nil"/>
              <w:bottom w:val="single" w:sz="4" w:space="0" w:color="auto"/>
              <w:right w:val="single" w:sz="4" w:space="0" w:color="auto"/>
            </w:tcBorders>
            <w:shd w:val="clear" w:color="auto" w:fill="C6EFCE"/>
            <w:noWrap/>
          </w:tcPr>
          <w:p w14:paraId="2CAFF1C1" w14:textId="77777777" w:rsidR="00553430" w:rsidRDefault="00212577">
            <w:pPr>
              <w:pStyle w:val="P68B1DB1-Normal66"/>
              <w:spacing w:after="200" w:line="276" w:lineRule="auto"/>
              <w:jc w:val="center"/>
              <w:rPr>
                <w:noProof/>
              </w:rPr>
            </w:pPr>
            <w:r>
              <w:rPr>
                <w:noProof/>
              </w:rPr>
              <w:t>2021</w:t>
            </w:r>
          </w:p>
        </w:tc>
        <w:tc>
          <w:tcPr>
            <w:tcW w:w="4249" w:type="dxa"/>
            <w:tcBorders>
              <w:top w:val="nil"/>
              <w:left w:val="nil"/>
              <w:bottom w:val="single" w:sz="4" w:space="0" w:color="auto"/>
              <w:right w:val="single" w:sz="4" w:space="0" w:color="auto"/>
            </w:tcBorders>
            <w:shd w:val="clear" w:color="auto" w:fill="C6EFCE"/>
            <w:noWrap/>
          </w:tcPr>
          <w:p w14:paraId="74DA3EA5" w14:textId="77777777" w:rsidR="00553430" w:rsidRDefault="00212577">
            <w:pPr>
              <w:pStyle w:val="P68B1DB1-Normal66"/>
              <w:spacing w:after="200" w:line="276" w:lineRule="auto"/>
              <w:rPr>
                <w:noProof/>
              </w:rPr>
            </w:pPr>
            <w:r>
              <w:rPr>
                <w:noProof/>
              </w:rPr>
              <w:t xml:space="preserve">La nouvelle loi budgétaire définit le processus et les documents clés </w:t>
            </w:r>
            <w:r>
              <w:rPr>
                <w:noProof/>
              </w:rPr>
              <w:t>pour l’élaboration, l’adoption et l’exécution du budget de l’État, le budget des collectivités locales et régionales et de leurs utilisateurs extrabudgétaires, le cadre d’emprunt pour les collectivités locales et régionales, le suivi de l’utilisation des r</w:t>
            </w:r>
            <w:r>
              <w:rPr>
                <w:noProof/>
              </w:rPr>
              <w:t>ecettes propres et affectées, la prévision et le contrôle des dépenses futures, y compris les engagements pluriannuels, permettant également une plus grande flexibilité dans la mise en œuvre des projets de l’UE et garantissant le respect de la directive 20</w:t>
            </w:r>
            <w:r>
              <w:rPr>
                <w:noProof/>
              </w:rPr>
              <w:t>11/85 du Conseil afin d’établir un système plus efficace de rapports financiers et statistiques.</w:t>
            </w:r>
          </w:p>
        </w:tc>
      </w:tr>
      <w:tr w:rsidR="00553430" w14:paraId="2DB76179" w14:textId="77777777">
        <w:trPr>
          <w:trHeight w:val="283"/>
          <w:jc w:val="center"/>
        </w:trPr>
        <w:tc>
          <w:tcPr>
            <w:tcW w:w="768" w:type="dxa"/>
            <w:tcBorders>
              <w:top w:val="nil"/>
              <w:left w:val="single" w:sz="4" w:space="0" w:color="auto"/>
              <w:bottom w:val="single" w:sz="4" w:space="0" w:color="auto"/>
              <w:right w:val="single" w:sz="4" w:space="0" w:color="auto"/>
            </w:tcBorders>
            <w:shd w:val="clear" w:color="auto" w:fill="C6EFCE"/>
            <w:noWrap/>
          </w:tcPr>
          <w:p w14:paraId="2FFFBA29" w14:textId="77777777" w:rsidR="00553430" w:rsidRDefault="00212577">
            <w:pPr>
              <w:pStyle w:val="P68B1DB1-Normal66"/>
              <w:spacing w:after="200" w:line="276" w:lineRule="auto"/>
              <w:jc w:val="center"/>
              <w:rPr>
                <w:noProof/>
              </w:rPr>
            </w:pPr>
            <w:r>
              <w:rPr>
                <w:noProof/>
              </w:rPr>
              <w:t>248</w:t>
            </w:r>
          </w:p>
        </w:tc>
        <w:tc>
          <w:tcPr>
            <w:tcW w:w="850" w:type="dxa"/>
            <w:tcBorders>
              <w:top w:val="nil"/>
              <w:left w:val="nil"/>
              <w:bottom w:val="single" w:sz="4" w:space="0" w:color="auto"/>
              <w:right w:val="single" w:sz="4" w:space="0" w:color="auto"/>
            </w:tcBorders>
            <w:shd w:val="clear" w:color="auto" w:fill="C6EFCE"/>
            <w:noWrap/>
          </w:tcPr>
          <w:p w14:paraId="0095735E" w14:textId="77777777" w:rsidR="00553430" w:rsidRDefault="00212577">
            <w:pPr>
              <w:pStyle w:val="P68B1DB1-Normal66"/>
              <w:spacing w:after="200" w:line="276" w:lineRule="auto"/>
              <w:jc w:val="center"/>
              <w:rPr>
                <w:noProof/>
              </w:rPr>
            </w:pPr>
            <w:r>
              <w:rPr>
                <w:noProof/>
              </w:rPr>
              <w:t>C2.7. R1</w:t>
            </w:r>
          </w:p>
        </w:tc>
        <w:tc>
          <w:tcPr>
            <w:tcW w:w="1017" w:type="dxa"/>
            <w:tcBorders>
              <w:top w:val="nil"/>
              <w:left w:val="nil"/>
              <w:bottom w:val="single" w:sz="4" w:space="0" w:color="auto"/>
              <w:right w:val="single" w:sz="4" w:space="0" w:color="auto"/>
            </w:tcBorders>
            <w:shd w:val="clear" w:color="auto" w:fill="C6EFCE"/>
            <w:noWrap/>
          </w:tcPr>
          <w:p w14:paraId="007780AB" w14:textId="77777777" w:rsidR="00553430" w:rsidRDefault="00212577">
            <w:pPr>
              <w:pStyle w:val="P68B1DB1-Normal66"/>
              <w:spacing w:after="200" w:line="276" w:lineRule="auto"/>
              <w:jc w:val="center"/>
              <w:rPr>
                <w:noProof/>
              </w:rPr>
            </w:pPr>
            <w:r>
              <w:rPr>
                <w:noProof/>
              </w:rPr>
              <w:t>M</w:t>
            </w:r>
          </w:p>
        </w:tc>
        <w:tc>
          <w:tcPr>
            <w:tcW w:w="2171" w:type="dxa"/>
            <w:tcBorders>
              <w:top w:val="nil"/>
              <w:left w:val="nil"/>
              <w:bottom w:val="single" w:sz="4" w:space="0" w:color="auto"/>
              <w:right w:val="single" w:sz="4" w:space="0" w:color="auto"/>
            </w:tcBorders>
            <w:shd w:val="clear" w:color="auto" w:fill="C6EFCE"/>
            <w:noWrap/>
          </w:tcPr>
          <w:p w14:paraId="038FD759" w14:textId="77777777" w:rsidR="00553430" w:rsidRDefault="00212577">
            <w:pPr>
              <w:pStyle w:val="P68B1DB1-Normal66"/>
              <w:spacing w:after="200" w:line="276" w:lineRule="auto"/>
              <w:rPr>
                <w:noProof/>
              </w:rPr>
            </w:pPr>
            <w:r>
              <w:rPr>
                <w:noProof/>
              </w:rPr>
              <w:t>Assurer la pleine fonctionnalité de la commission de la politique budgétaire.</w:t>
            </w:r>
          </w:p>
        </w:tc>
        <w:tc>
          <w:tcPr>
            <w:tcW w:w="1951" w:type="dxa"/>
            <w:tcBorders>
              <w:top w:val="nil"/>
              <w:left w:val="nil"/>
              <w:bottom w:val="single" w:sz="4" w:space="0" w:color="auto"/>
              <w:right w:val="single" w:sz="4" w:space="0" w:color="auto"/>
            </w:tcBorders>
            <w:shd w:val="clear" w:color="auto" w:fill="C6EFCE"/>
            <w:noWrap/>
          </w:tcPr>
          <w:p w14:paraId="40452B49" w14:textId="2E9D58C9" w:rsidR="00553430" w:rsidRDefault="00212577">
            <w:pPr>
              <w:pStyle w:val="P68B1DB1-Normal66"/>
              <w:spacing w:after="200" w:line="276" w:lineRule="auto"/>
              <w:rPr>
                <w:noProof/>
              </w:rPr>
            </w:pPr>
            <w:r>
              <w:rPr>
                <w:noProof/>
              </w:rPr>
              <w:t xml:space="preserve">Nomination par le Parlement du nouveau président de la commission de la politique budgétaire </w:t>
            </w:r>
          </w:p>
        </w:tc>
        <w:tc>
          <w:tcPr>
            <w:tcW w:w="734" w:type="dxa"/>
            <w:tcBorders>
              <w:top w:val="nil"/>
              <w:left w:val="nil"/>
              <w:bottom w:val="single" w:sz="4" w:space="0" w:color="auto"/>
              <w:right w:val="single" w:sz="4" w:space="0" w:color="auto"/>
            </w:tcBorders>
            <w:shd w:val="clear" w:color="auto" w:fill="C6EFCE"/>
            <w:noWrap/>
          </w:tcPr>
          <w:p w14:paraId="389A78B1" w14:textId="77777777" w:rsidR="00553430" w:rsidRDefault="00212577">
            <w:pPr>
              <w:pStyle w:val="P68B1DB1-Normal66"/>
              <w:spacing w:after="200" w:line="276" w:lineRule="auto"/>
              <w:jc w:val="center"/>
              <w:rPr>
                <w:noProof/>
              </w:rPr>
            </w:pPr>
            <w:r>
              <w:rPr>
                <w:noProof/>
              </w:rPr>
              <w:t> </w:t>
            </w:r>
          </w:p>
        </w:tc>
        <w:tc>
          <w:tcPr>
            <w:tcW w:w="826" w:type="dxa"/>
            <w:tcBorders>
              <w:top w:val="nil"/>
              <w:left w:val="nil"/>
              <w:bottom w:val="single" w:sz="4" w:space="0" w:color="auto"/>
              <w:right w:val="single" w:sz="4" w:space="0" w:color="auto"/>
            </w:tcBorders>
            <w:shd w:val="clear" w:color="auto" w:fill="C6EFCE"/>
            <w:noWrap/>
          </w:tcPr>
          <w:p w14:paraId="1914F1A0" w14:textId="77777777" w:rsidR="00553430" w:rsidRDefault="00212577">
            <w:pPr>
              <w:pStyle w:val="P68B1DB1-Normal66"/>
              <w:spacing w:after="200" w:line="276" w:lineRule="auto"/>
              <w:jc w:val="center"/>
              <w:rPr>
                <w:noProof/>
              </w:rPr>
            </w:pPr>
            <w:r>
              <w:rPr>
                <w:noProof/>
              </w:rPr>
              <w:t> </w:t>
            </w:r>
          </w:p>
        </w:tc>
        <w:tc>
          <w:tcPr>
            <w:tcW w:w="850" w:type="dxa"/>
            <w:tcBorders>
              <w:top w:val="nil"/>
              <w:left w:val="nil"/>
              <w:bottom w:val="single" w:sz="4" w:space="0" w:color="auto"/>
              <w:right w:val="single" w:sz="4" w:space="0" w:color="auto"/>
            </w:tcBorders>
            <w:shd w:val="clear" w:color="auto" w:fill="C6EFCE"/>
            <w:noWrap/>
          </w:tcPr>
          <w:p w14:paraId="53863A00" w14:textId="77777777" w:rsidR="00553430" w:rsidRDefault="00212577">
            <w:pPr>
              <w:pStyle w:val="P68B1DB1-Normal66"/>
              <w:spacing w:after="200" w:line="276" w:lineRule="auto"/>
              <w:jc w:val="center"/>
              <w:rPr>
                <w:noProof/>
              </w:rPr>
            </w:pPr>
            <w:r>
              <w:rPr>
                <w:noProof/>
              </w:rPr>
              <w:t> </w:t>
            </w:r>
          </w:p>
        </w:tc>
        <w:tc>
          <w:tcPr>
            <w:tcW w:w="645" w:type="dxa"/>
            <w:tcBorders>
              <w:top w:val="nil"/>
              <w:left w:val="nil"/>
              <w:bottom w:val="single" w:sz="4" w:space="0" w:color="auto"/>
              <w:right w:val="single" w:sz="4" w:space="0" w:color="auto"/>
            </w:tcBorders>
            <w:shd w:val="clear" w:color="auto" w:fill="C6EFCE"/>
            <w:noWrap/>
          </w:tcPr>
          <w:p w14:paraId="5F6BF8A6" w14:textId="77777777" w:rsidR="00553430" w:rsidRDefault="00212577">
            <w:pPr>
              <w:pStyle w:val="P68B1DB1-Normal66"/>
              <w:spacing w:after="200" w:line="276" w:lineRule="auto"/>
              <w:jc w:val="center"/>
              <w:rPr>
                <w:noProof/>
              </w:rPr>
            </w:pPr>
            <w:r>
              <w:rPr>
                <w:noProof/>
              </w:rPr>
              <w:t>T4</w:t>
            </w:r>
          </w:p>
        </w:tc>
        <w:tc>
          <w:tcPr>
            <w:tcW w:w="806" w:type="dxa"/>
            <w:tcBorders>
              <w:top w:val="nil"/>
              <w:left w:val="nil"/>
              <w:bottom w:val="single" w:sz="4" w:space="0" w:color="auto"/>
              <w:right w:val="single" w:sz="4" w:space="0" w:color="auto"/>
            </w:tcBorders>
            <w:shd w:val="clear" w:color="auto" w:fill="C6EFCE"/>
            <w:noWrap/>
          </w:tcPr>
          <w:p w14:paraId="4C2EF2AA" w14:textId="77777777" w:rsidR="00553430" w:rsidRDefault="00212577">
            <w:pPr>
              <w:pStyle w:val="P68B1DB1-Normal66"/>
              <w:spacing w:after="200" w:line="276" w:lineRule="auto"/>
              <w:jc w:val="center"/>
              <w:rPr>
                <w:noProof/>
              </w:rPr>
            </w:pPr>
            <w:r>
              <w:rPr>
                <w:noProof/>
              </w:rPr>
              <w:t>2021</w:t>
            </w:r>
          </w:p>
        </w:tc>
        <w:tc>
          <w:tcPr>
            <w:tcW w:w="4249" w:type="dxa"/>
            <w:tcBorders>
              <w:top w:val="nil"/>
              <w:left w:val="nil"/>
              <w:bottom w:val="single" w:sz="4" w:space="0" w:color="auto"/>
              <w:right w:val="single" w:sz="4" w:space="0" w:color="auto"/>
            </w:tcBorders>
            <w:shd w:val="clear" w:color="auto" w:fill="C6EFCE"/>
            <w:noWrap/>
          </w:tcPr>
          <w:p w14:paraId="40202EFC" w14:textId="77777777" w:rsidR="00553430" w:rsidRDefault="00212577">
            <w:pPr>
              <w:pStyle w:val="P68B1DB1-Normal66"/>
              <w:spacing w:after="200" w:line="276" w:lineRule="auto"/>
              <w:rPr>
                <w:noProof/>
              </w:rPr>
            </w:pPr>
            <w:r>
              <w:rPr>
                <w:noProof/>
              </w:rPr>
              <w:t>La nomination d’un nouveau président de la commission de la politique budgétaire garantit la pleine fonctionnalité de la Commission et la mise en œu</w:t>
            </w:r>
            <w:r>
              <w:rPr>
                <w:noProof/>
              </w:rPr>
              <w:t>vre de la loi sur la responsabilité budgétaire (JO 111/2018).</w:t>
            </w:r>
          </w:p>
        </w:tc>
      </w:tr>
      <w:tr w:rsidR="00553430" w14:paraId="65753DFE" w14:textId="77777777">
        <w:trPr>
          <w:trHeight w:val="283"/>
          <w:jc w:val="center"/>
        </w:trPr>
        <w:tc>
          <w:tcPr>
            <w:tcW w:w="768" w:type="dxa"/>
            <w:tcBorders>
              <w:top w:val="nil"/>
              <w:left w:val="single" w:sz="4" w:space="0" w:color="auto"/>
              <w:bottom w:val="single" w:sz="4" w:space="0" w:color="auto"/>
              <w:right w:val="single" w:sz="4" w:space="0" w:color="auto"/>
            </w:tcBorders>
            <w:shd w:val="clear" w:color="auto" w:fill="C6EFCE"/>
            <w:noWrap/>
          </w:tcPr>
          <w:p w14:paraId="6F233652" w14:textId="77777777" w:rsidR="00553430" w:rsidRDefault="00212577">
            <w:pPr>
              <w:pStyle w:val="P68B1DB1-Normal66"/>
              <w:spacing w:after="200" w:line="276" w:lineRule="auto"/>
              <w:jc w:val="center"/>
              <w:rPr>
                <w:noProof/>
              </w:rPr>
            </w:pPr>
            <w:r>
              <w:rPr>
                <w:noProof/>
              </w:rPr>
              <w:t>249</w:t>
            </w:r>
          </w:p>
        </w:tc>
        <w:tc>
          <w:tcPr>
            <w:tcW w:w="850" w:type="dxa"/>
            <w:tcBorders>
              <w:top w:val="nil"/>
              <w:left w:val="nil"/>
              <w:bottom w:val="single" w:sz="4" w:space="0" w:color="auto"/>
              <w:right w:val="single" w:sz="4" w:space="0" w:color="auto"/>
            </w:tcBorders>
            <w:shd w:val="clear" w:color="auto" w:fill="C6EFCE"/>
            <w:noWrap/>
          </w:tcPr>
          <w:p w14:paraId="34E7E00D" w14:textId="77777777" w:rsidR="00553430" w:rsidRDefault="00212577">
            <w:pPr>
              <w:pStyle w:val="P68B1DB1-Normal66"/>
              <w:spacing w:after="200" w:line="276" w:lineRule="auto"/>
              <w:jc w:val="center"/>
              <w:rPr>
                <w:noProof/>
              </w:rPr>
            </w:pPr>
            <w:r>
              <w:rPr>
                <w:noProof/>
              </w:rPr>
              <w:t>C2.7. R2</w:t>
            </w:r>
          </w:p>
        </w:tc>
        <w:tc>
          <w:tcPr>
            <w:tcW w:w="1017" w:type="dxa"/>
            <w:tcBorders>
              <w:top w:val="nil"/>
              <w:left w:val="nil"/>
              <w:bottom w:val="single" w:sz="4" w:space="0" w:color="auto"/>
              <w:right w:val="single" w:sz="4" w:space="0" w:color="auto"/>
            </w:tcBorders>
            <w:shd w:val="clear" w:color="auto" w:fill="C6EFCE"/>
            <w:noWrap/>
          </w:tcPr>
          <w:p w14:paraId="3E8B1ABB" w14:textId="77777777" w:rsidR="00553430" w:rsidRDefault="00212577">
            <w:pPr>
              <w:pStyle w:val="P68B1DB1-Normal66"/>
              <w:spacing w:after="200" w:line="276" w:lineRule="auto"/>
              <w:jc w:val="center"/>
              <w:rPr>
                <w:noProof/>
              </w:rPr>
            </w:pPr>
            <w:r>
              <w:rPr>
                <w:noProof/>
              </w:rPr>
              <w:t>M</w:t>
            </w:r>
          </w:p>
        </w:tc>
        <w:tc>
          <w:tcPr>
            <w:tcW w:w="2171" w:type="dxa"/>
            <w:tcBorders>
              <w:top w:val="nil"/>
              <w:left w:val="nil"/>
              <w:bottom w:val="single" w:sz="4" w:space="0" w:color="auto"/>
              <w:right w:val="single" w:sz="4" w:space="0" w:color="auto"/>
            </w:tcBorders>
            <w:shd w:val="clear" w:color="auto" w:fill="C6EFCE"/>
            <w:noWrap/>
          </w:tcPr>
          <w:p w14:paraId="798D40C3" w14:textId="77777777" w:rsidR="00553430" w:rsidRDefault="00212577">
            <w:pPr>
              <w:pStyle w:val="P68B1DB1-Normal66"/>
              <w:spacing w:after="200" w:line="276" w:lineRule="auto"/>
              <w:rPr>
                <w:noProof/>
              </w:rPr>
            </w:pPr>
            <w:r>
              <w:rPr>
                <w:noProof/>
              </w:rPr>
              <w:t>Développement d'un modèle macroéconomique structurel de l'économie croate pour la production de prévisions macroéconomiques à moyen terme, planification budgétaire</w:t>
            </w:r>
            <w:r>
              <w:rPr>
                <w:noProof/>
              </w:rPr>
              <w:br/>
              <w:t>et analyses de</w:t>
            </w:r>
            <w:r>
              <w:rPr>
                <w:noProof/>
              </w:rPr>
              <w:t xml:space="preserve"> politique économique</w:t>
            </w:r>
          </w:p>
        </w:tc>
        <w:tc>
          <w:tcPr>
            <w:tcW w:w="1951" w:type="dxa"/>
            <w:tcBorders>
              <w:top w:val="nil"/>
              <w:left w:val="nil"/>
              <w:bottom w:val="single" w:sz="4" w:space="0" w:color="auto"/>
              <w:right w:val="single" w:sz="4" w:space="0" w:color="auto"/>
            </w:tcBorders>
            <w:shd w:val="clear" w:color="auto" w:fill="C6EFCE"/>
            <w:noWrap/>
          </w:tcPr>
          <w:p w14:paraId="3AFA67F6" w14:textId="77777777" w:rsidR="00553430" w:rsidRDefault="00212577">
            <w:pPr>
              <w:pStyle w:val="P68B1DB1-Normal66"/>
              <w:spacing w:after="200" w:line="276" w:lineRule="auto"/>
              <w:rPr>
                <w:noProof/>
              </w:rPr>
            </w:pPr>
            <w:r>
              <w:rPr>
                <w:noProof/>
              </w:rPr>
              <w:t>Élaboration et utilisation d'un modèle de projection macroéconomique structurelle pleinement fonctionnel de l'économie croate pour établir des projections sous-tendant le budget annuel.</w:t>
            </w:r>
          </w:p>
        </w:tc>
        <w:tc>
          <w:tcPr>
            <w:tcW w:w="734" w:type="dxa"/>
            <w:tcBorders>
              <w:top w:val="nil"/>
              <w:left w:val="nil"/>
              <w:bottom w:val="single" w:sz="4" w:space="0" w:color="auto"/>
              <w:right w:val="single" w:sz="4" w:space="0" w:color="auto"/>
            </w:tcBorders>
            <w:shd w:val="clear" w:color="auto" w:fill="C6EFCE"/>
            <w:noWrap/>
          </w:tcPr>
          <w:p w14:paraId="33730A3B" w14:textId="77777777" w:rsidR="00553430" w:rsidRDefault="00212577">
            <w:pPr>
              <w:pStyle w:val="P68B1DB1-Normal66"/>
              <w:spacing w:after="200" w:line="276" w:lineRule="auto"/>
              <w:jc w:val="center"/>
              <w:rPr>
                <w:noProof/>
              </w:rPr>
            </w:pPr>
            <w:r>
              <w:rPr>
                <w:noProof/>
              </w:rPr>
              <w:t> </w:t>
            </w:r>
          </w:p>
        </w:tc>
        <w:tc>
          <w:tcPr>
            <w:tcW w:w="826" w:type="dxa"/>
            <w:tcBorders>
              <w:top w:val="nil"/>
              <w:left w:val="nil"/>
              <w:bottom w:val="single" w:sz="4" w:space="0" w:color="auto"/>
              <w:right w:val="single" w:sz="4" w:space="0" w:color="auto"/>
            </w:tcBorders>
            <w:shd w:val="clear" w:color="auto" w:fill="C6EFCE"/>
            <w:noWrap/>
          </w:tcPr>
          <w:p w14:paraId="5F5C464F" w14:textId="77777777" w:rsidR="00553430" w:rsidRDefault="00212577">
            <w:pPr>
              <w:pStyle w:val="P68B1DB1-Normal66"/>
              <w:spacing w:after="200" w:line="276" w:lineRule="auto"/>
              <w:jc w:val="center"/>
              <w:rPr>
                <w:noProof/>
              </w:rPr>
            </w:pPr>
            <w:r>
              <w:rPr>
                <w:noProof/>
              </w:rPr>
              <w:t> </w:t>
            </w:r>
          </w:p>
        </w:tc>
        <w:tc>
          <w:tcPr>
            <w:tcW w:w="850" w:type="dxa"/>
            <w:tcBorders>
              <w:top w:val="nil"/>
              <w:left w:val="nil"/>
              <w:bottom w:val="single" w:sz="4" w:space="0" w:color="auto"/>
              <w:right w:val="single" w:sz="4" w:space="0" w:color="auto"/>
            </w:tcBorders>
            <w:shd w:val="clear" w:color="auto" w:fill="C6EFCE"/>
            <w:noWrap/>
          </w:tcPr>
          <w:p w14:paraId="72022C79" w14:textId="77777777" w:rsidR="00553430" w:rsidRDefault="00212577">
            <w:pPr>
              <w:pStyle w:val="P68B1DB1-Normal66"/>
              <w:spacing w:after="200" w:line="276" w:lineRule="auto"/>
              <w:jc w:val="center"/>
              <w:rPr>
                <w:noProof/>
              </w:rPr>
            </w:pPr>
            <w:r>
              <w:rPr>
                <w:noProof/>
              </w:rPr>
              <w:t> </w:t>
            </w:r>
          </w:p>
        </w:tc>
        <w:tc>
          <w:tcPr>
            <w:tcW w:w="645" w:type="dxa"/>
            <w:tcBorders>
              <w:top w:val="nil"/>
              <w:left w:val="nil"/>
              <w:bottom w:val="single" w:sz="4" w:space="0" w:color="auto"/>
              <w:right w:val="single" w:sz="4" w:space="0" w:color="auto"/>
            </w:tcBorders>
            <w:shd w:val="clear" w:color="auto" w:fill="C6EFCE"/>
            <w:noWrap/>
          </w:tcPr>
          <w:p w14:paraId="58710DC0" w14:textId="77777777" w:rsidR="00553430" w:rsidRDefault="00212577">
            <w:pPr>
              <w:pStyle w:val="P68B1DB1-Normal66"/>
              <w:spacing w:after="200" w:line="276" w:lineRule="auto"/>
              <w:jc w:val="center"/>
              <w:rPr>
                <w:noProof/>
              </w:rPr>
            </w:pPr>
            <w:r>
              <w:rPr>
                <w:noProof/>
              </w:rPr>
              <w:t>T3</w:t>
            </w:r>
          </w:p>
        </w:tc>
        <w:tc>
          <w:tcPr>
            <w:tcW w:w="806" w:type="dxa"/>
            <w:tcBorders>
              <w:top w:val="nil"/>
              <w:left w:val="nil"/>
              <w:bottom w:val="single" w:sz="4" w:space="0" w:color="auto"/>
              <w:right w:val="single" w:sz="4" w:space="0" w:color="auto"/>
            </w:tcBorders>
            <w:shd w:val="clear" w:color="auto" w:fill="C6EFCE"/>
            <w:noWrap/>
          </w:tcPr>
          <w:p w14:paraId="042958E5" w14:textId="77777777" w:rsidR="00553430" w:rsidRDefault="00212577">
            <w:pPr>
              <w:pStyle w:val="P68B1DB1-Normal66"/>
              <w:spacing w:after="200" w:line="276" w:lineRule="auto"/>
              <w:jc w:val="center"/>
              <w:rPr>
                <w:noProof/>
              </w:rPr>
            </w:pPr>
            <w:r>
              <w:rPr>
                <w:noProof/>
              </w:rPr>
              <w:t>2022</w:t>
            </w:r>
          </w:p>
        </w:tc>
        <w:tc>
          <w:tcPr>
            <w:tcW w:w="4249" w:type="dxa"/>
            <w:tcBorders>
              <w:top w:val="nil"/>
              <w:left w:val="nil"/>
              <w:bottom w:val="single" w:sz="4" w:space="0" w:color="auto"/>
              <w:right w:val="single" w:sz="4" w:space="0" w:color="auto"/>
            </w:tcBorders>
            <w:shd w:val="clear" w:color="auto" w:fill="C6EFCE"/>
            <w:noWrap/>
          </w:tcPr>
          <w:p w14:paraId="4143EA03" w14:textId="77777777" w:rsidR="00553430" w:rsidRDefault="00212577">
            <w:pPr>
              <w:pStyle w:val="P68B1DB1-Normal66"/>
              <w:spacing w:after="200" w:line="276" w:lineRule="auto"/>
              <w:rPr>
                <w:noProof/>
              </w:rPr>
            </w:pPr>
            <w:r>
              <w:rPr>
                <w:noProof/>
              </w:rPr>
              <w:t>Un modèle macroéconomique structur</w:t>
            </w:r>
            <w:r>
              <w:rPr>
                <w:noProof/>
              </w:rPr>
              <w:t>el de l'économie croate est élaboré pour produire des prévisions macroéconomiques à moyen terme, simuler les effets des politiques économiques et l'impact des chocs et, à terme, renforcer la capacité du ministère des finances à élaborer des prévisions budg</w:t>
            </w:r>
            <w:r>
              <w:rPr>
                <w:noProof/>
              </w:rPr>
              <w:t>étaires. Le modèle initial sera élaboré d’ici la fin de 2021 et sera pleinement opérationnel d’ici la mi-2022, ce qui permettra d’établir des projections sous-tendant le budget 2023. Les résultats du modèle sont utilisés pour l'élaboration des documents bu</w:t>
            </w:r>
            <w:r>
              <w:rPr>
                <w:noProof/>
              </w:rPr>
              <w:t>dgétaires, améliorant ainsi la qualité des prévisions budgétaires à moyen terme et, partant, la viabilité des finances publiques.</w:t>
            </w:r>
          </w:p>
        </w:tc>
      </w:tr>
    </w:tbl>
    <w:p w14:paraId="5DD82F5C" w14:textId="77777777" w:rsidR="00553430" w:rsidRDefault="00553430">
      <w:pPr>
        <w:rPr>
          <w:noProof/>
        </w:rPr>
        <w:sectPr w:rsidR="00553430" w:rsidSect="00FA29B2">
          <w:headerReference w:type="even" r:id="rId249"/>
          <w:headerReference w:type="default" r:id="rId250"/>
          <w:footerReference w:type="even" r:id="rId251"/>
          <w:footerReference w:type="default" r:id="rId252"/>
          <w:headerReference w:type="first" r:id="rId253"/>
          <w:footerReference w:type="first" r:id="rId254"/>
          <w:pgSz w:w="16839" w:h="11907" w:orient="landscape"/>
          <w:pgMar w:top="1134" w:right="1134" w:bottom="1134" w:left="1134" w:header="567" w:footer="567" w:gutter="0"/>
          <w:cols w:space="708"/>
          <w:docGrid w:linePitch="360"/>
        </w:sectPr>
      </w:pPr>
    </w:p>
    <w:p w14:paraId="499DC073" w14:textId="77777777" w:rsidR="00553430" w:rsidRDefault="00212577">
      <w:pPr>
        <w:pStyle w:val="P68B1DB1-Normal111"/>
        <w:keepNext/>
        <w:tabs>
          <w:tab w:val="left" w:pos="850"/>
        </w:tabs>
        <w:spacing w:before="360" w:line="240" w:lineRule="auto"/>
        <w:ind w:left="850" w:hanging="850"/>
        <w:jc w:val="both"/>
        <w:outlineLvl w:val="0"/>
        <w:rPr>
          <w:noProof/>
        </w:rPr>
      </w:pPr>
      <w:r>
        <w:rPr>
          <w:noProof/>
        </w:rPr>
        <w:t xml:space="preserve">N. Élément 2.8: RENFORCEMENT DU CADRE DE LANCEMENT DE </w:t>
      </w:r>
      <w:r>
        <w:rPr>
          <w:noProof/>
        </w:rPr>
        <w:t>L'ANTI-MONEY</w:t>
      </w:r>
    </w:p>
    <w:p w14:paraId="43ECE86C" w14:textId="77777777" w:rsidR="00553430" w:rsidRDefault="00212577">
      <w:pPr>
        <w:pStyle w:val="P68B1DB1-Normal83"/>
        <w:spacing w:line="240" w:lineRule="auto"/>
        <w:jc w:val="both"/>
        <w:rPr>
          <w:noProof/>
        </w:rPr>
      </w:pPr>
      <w:r>
        <w:rPr>
          <w:noProof/>
        </w:rPr>
        <w:t>L’objectif de ce volet est de renforcer la capacité des autorités croates (autorités de surveillance, bureau de lutte contre le blanchiment de capitaux, services répressifs) à lutter contre le blanchiment de capitaux et le financement du terro</w:t>
      </w:r>
      <w:r>
        <w:rPr>
          <w:noProof/>
        </w:rPr>
        <w:t>risme, à améliorer leur coordination et leur coopération et à sensibiliser davantage toutes les parties prenantes concernées.</w:t>
      </w:r>
    </w:p>
    <w:p w14:paraId="729D5F9B" w14:textId="77777777" w:rsidR="00553430" w:rsidRDefault="00212577">
      <w:pPr>
        <w:pStyle w:val="P68B1DB1-Normal83"/>
        <w:spacing w:line="240" w:lineRule="auto"/>
        <w:jc w:val="both"/>
        <w:rPr>
          <w:noProof/>
        </w:rPr>
      </w:pPr>
      <w:r>
        <w:rPr>
          <w:noProof/>
        </w:rPr>
        <w:t>Cette réforme est conforme au plan d'action de la Croatie pour la participation au mécanisme de change européen II (MCE II).</w:t>
      </w:r>
    </w:p>
    <w:p w14:paraId="1A69BE7D" w14:textId="77777777" w:rsidR="00553430" w:rsidRDefault="00553430">
      <w:pPr>
        <w:spacing w:line="240" w:lineRule="auto"/>
        <w:jc w:val="both"/>
        <w:rPr>
          <w:rFonts w:ascii="Times New Roman" w:eastAsia="Times New Roman" w:hAnsi="Times New Roman" w:cs="Times New Roman"/>
          <w:noProof/>
          <w:sz w:val="24"/>
          <w:szCs w:val="24"/>
        </w:rPr>
      </w:pPr>
    </w:p>
    <w:p w14:paraId="65BD7A94" w14:textId="77777777" w:rsidR="00553430" w:rsidRDefault="00212577">
      <w:pPr>
        <w:pStyle w:val="P68B1DB1-Normal113"/>
        <w:keepNext/>
        <w:spacing w:before="40" w:after="0"/>
        <w:ind w:left="851"/>
        <w:jc w:val="both"/>
        <w:outlineLvl w:val="1"/>
        <w:rPr>
          <w:noProof/>
        </w:rPr>
      </w:pPr>
      <w:r>
        <w:rPr>
          <w:noProof/>
        </w:rPr>
        <w:t>N.1.</w:t>
      </w:r>
      <w:r>
        <w:rPr>
          <w:noProof/>
        </w:rPr>
        <w:t xml:space="preserve"> </w:t>
      </w:r>
      <w:r>
        <w:rPr>
          <w:noProof/>
        </w:rPr>
        <w:tab/>
        <w:t>Description des réformes et des investissements pour le soutien financier non remboursable</w:t>
      </w:r>
    </w:p>
    <w:p w14:paraId="3114704F" w14:textId="77777777" w:rsidR="00553430" w:rsidRDefault="00212577">
      <w:pPr>
        <w:pStyle w:val="P68B1DB1-Normal128"/>
        <w:keepNext/>
        <w:tabs>
          <w:tab w:val="num" w:pos="850"/>
        </w:tabs>
        <w:spacing w:before="240" w:after="0"/>
        <w:ind w:left="851"/>
        <w:jc w:val="both"/>
        <w:outlineLvl w:val="2"/>
        <w:rPr>
          <w:noProof/>
        </w:rPr>
      </w:pPr>
      <w:r>
        <w:rPr>
          <w:noProof/>
        </w:rPr>
        <w:t>Réforme C2.8 R1 - Sensibilisation à la nécessité de prévenir le blanchiment de capitaux</w:t>
      </w:r>
    </w:p>
    <w:p w14:paraId="782559CB" w14:textId="77777777" w:rsidR="00553430" w:rsidRDefault="00212577">
      <w:pPr>
        <w:pStyle w:val="P68B1DB1-Normal46"/>
        <w:spacing w:line="240" w:lineRule="auto"/>
        <w:jc w:val="both"/>
        <w:rPr>
          <w:rFonts w:eastAsiaTheme="minorEastAsia"/>
          <w:noProof/>
        </w:rPr>
      </w:pPr>
      <w:r>
        <w:rPr>
          <w:noProof/>
        </w:rPr>
        <w:t>L’objectif de cette réforme est de maintenir l’efficacité du système financ</w:t>
      </w:r>
      <w:r>
        <w:rPr>
          <w:noProof/>
        </w:rPr>
        <w:t>ier conformément aux normes internationales tout en prévenant les flux financiers illégitimes en sensibilisant, par la mise en place d’un cadre de formation régulière, toutes les institutions et autorités responsables de la mise en œuvre des mesures de lut</w:t>
      </w:r>
      <w:r>
        <w:rPr>
          <w:noProof/>
        </w:rPr>
        <w:t>te contre le blanchiment de capitaux.</w:t>
      </w:r>
    </w:p>
    <w:p w14:paraId="4BF2AB72" w14:textId="77777777" w:rsidR="00553430" w:rsidRDefault="00212577">
      <w:pPr>
        <w:pStyle w:val="P68B1DB1-Normal128"/>
        <w:keepNext/>
        <w:tabs>
          <w:tab w:val="num" w:pos="850"/>
        </w:tabs>
        <w:spacing w:before="240" w:after="0"/>
        <w:ind w:left="851"/>
        <w:jc w:val="both"/>
        <w:outlineLvl w:val="2"/>
        <w:rPr>
          <w:noProof/>
        </w:rPr>
      </w:pPr>
      <w:r>
        <w:rPr>
          <w:noProof/>
        </w:rPr>
        <w:t xml:space="preserve">Réforme C2.8 R2 - Renforcer la coopération entre l'Office de lutte contre le blanchiment de capitaux et les autorités de contrôle </w:t>
      </w:r>
    </w:p>
    <w:p w14:paraId="37A80111" w14:textId="77777777" w:rsidR="00553430" w:rsidRDefault="00212577">
      <w:pPr>
        <w:pStyle w:val="P68B1DB1-Normal129"/>
        <w:spacing w:line="240" w:lineRule="auto"/>
        <w:jc w:val="both"/>
        <w:rPr>
          <w:noProof/>
        </w:rPr>
      </w:pPr>
      <w:r>
        <w:rPr>
          <w:noProof/>
        </w:rPr>
        <w:t>L’objectif de cette réforme est de renforcer la coopération entre l’Office de lutte con</w:t>
      </w:r>
      <w:r>
        <w:rPr>
          <w:noProof/>
        </w:rPr>
        <w:t xml:space="preserve">tre le blanchiment de capitaux et les autorités de surveillance en améliorant l’échange d’informations et de bonnes pratiques en matière de lutte contre le blanchiment de capitaux et le financement du terrorisme. </w:t>
      </w:r>
    </w:p>
    <w:p w14:paraId="433DBC0C" w14:textId="77777777" w:rsidR="00553430" w:rsidRDefault="00212577">
      <w:pPr>
        <w:pStyle w:val="P68B1DB1-Normal128"/>
        <w:keepNext/>
        <w:tabs>
          <w:tab w:val="num" w:pos="850"/>
        </w:tabs>
        <w:ind w:left="851"/>
        <w:jc w:val="both"/>
        <w:outlineLvl w:val="2"/>
        <w:rPr>
          <w:noProof/>
        </w:rPr>
      </w:pPr>
      <w:r>
        <w:rPr>
          <w:noProof/>
        </w:rPr>
        <w:t>Réforme C2.8 R3 – Achèvement de la mise en</w:t>
      </w:r>
      <w:r>
        <w:rPr>
          <w:noProof/>
        </w:rPr>
        <w:t xml:space="preserve"> œuvre du plan d’action visant à réduire les risques recensés de blanchiment de capitaux et de financement du terrorisme</w:t>
      </w:r>
    </w:p>
    <w:p w14:paraId="3263EE27" w14:textId="77777777" w:rsidR="00553430" w:rsidRDefault="00212577">
      <w:pPr>
        <w:pStyle w:val="P68B1DB1-Normal129"/>
        <w:spacing w:line="240" w:lineRule="auto"/>
        <w:jc w:val="both"/>
        <w:rPr>
          <w:noProof/>
        </w:rPr>
      </w:pPr>
      <w:r>
        <w:rPr>
          <w:noProof/>
        </w:rPr>
        <w:t>L’objectif général de cette réforme est de mettre en œuvre le plan d’action visant à réduire les risques recensés dans l’évaluation nat</w:t>
      </w:r>
      <w:r>
        <w:rPr>
          <w:noProof/>
        </w:rPr>
        <w:t>ionale des risques de blanchiment de capitaux et de financement du terrorisme en Croatie adoptée par le gouvernement. Le plan d’action contient des mesures visant, par exemple, à renforcer la capacité administrative de l’Office de lutte contre le blanchime</w:t>
      </w:r>
      <w:r>
        <w:rPr>
          <w:noProof/>
        </w:rPr>
        <w:t>nt de capitaux, de l’inspection financière et des autorités de surveillance, à accroître le nombre d’activités de surveillance, à améliorer l’infrastructure informatique et à dispenser une formation aux agents de toutes les entités assujetties en vue de re</w:t>
      </w:r>
      <w:r>
        <w:rPr>
          <w:noProof/>
        </w:rPr>
        <w:t xml:space="preserve">nforcer la coopération et les capacités administratives. </w:t>
      </w:r>
    </w:p>
    <w:p w14:paraId="3EB4272F" w14:textId="77777777" w:rsidR="00553430" w:rsidRDefault="00212577">
      <w:pPr>
        <w:pStyle w:val="P68B1DB1-Normal128"/>
        <w:keepNext/>
        <w:tabs>
          <w:tab w:val="num" w:pos="850"/>
        </w:tabs>
        <w:ind w:left="851"/>
        <w:jc w:val="both"/>
        <w:outlineLvl w:val="2"/>
        <w:rPr>
          <w:noProof/>
        </w:rPr>
      </w:pPr>
      <w:r>
        <w:rPr>
          <w:noProof/>
        </w:rPr>
        <w:t>Réforme C2.8 R4 - Renforcer la surveillance de la lutte contre le blanchiment de capitaux et le financement du terrorisme sur la base d'une évaluation des risques dans le secteur financier en Croati</w:t>
      </w:r>
      <w:r>
        <w:rPr>
          <w:noProof/>
        </w:rPr>
        <w:t>e</w:t>
      </w:r>
    </w:p>
    <w:p w14:paraId="205007D3" w14:textId="77777777" w:rsidR="00553430" w:rsidRDefault="00212577">
      <w:pPr>
        <w:pStyle w:val="P68B1DB1-Normal46"/>
        <w:jc w:val="both"/>
        <w:rPr>
          <w:noProof/>
        </w:rPr>
      </w:pPr>
      <w:r>
        <w:rPr>
          <w:noProof/>
        </w:rPr>
        <w:t xml:space="preserve">L’objectif général de cette réforme est d’améliorer le cadre de prévention du blanchiment de capitaux et de lutte contre le financement du terrorisme en Croatie et de renforcer les capacités institutionnelles et administratives, en mettant en œuvre les </w:t>
      </w:r>
      <w:r>
        <w:rPr>
          <w:noProof/>
        </w:rPr>
        <w:t xml:space="preserve">recommandations formulées dans le cadre du projet d’instrument d’appui technique (IST) relatif à l’élaboration d’une approche fondée sur les risques en matière de surveillance de la lutte contre le blanchiment de capitaux et le financement du terrorisme. </w:t>
      </w:r>
    </w:p>
    <w:p w14:paraId="3948E3A6" w14:textId="77777777" w:rsidR="00553430" w:rsidRDefault="00212577">
      <w:pPr>
        <w:pStyle w:val="P68B1DB1-Normal129"/>
        <w:rPr>
          <w:noProof/>
        </w:rPr>
      </w:pPr>
      <w:r>
        <w:rPr>
          <w:noProof/>
        </w:rPr>
        <w:t>La réforme est achevée au plus tard le 31 décembre 2025.</w:t>
      </w:r>
    </w:p>
    <w:p w14:paraId="3C522169" w14:textId="77777777" w:rsidR="00553430" w:rsidRDefault="00553430">
      <w:pPr>
        <w:rPr>
          <w:noProof/>
        </w:rPr>
        <w:sectPr w:rsidR="00553430" w:rsidSect="00FA29B2">
          <w:headerReference w:type="even" r:id="rId255"/>
          <w:headerReference w:type="default" r:id="rId256"/>
          <w:footerReference w:type="even" r:id="rId257"/>
          <w:footerReference w:type="default" r:id="rId258"/>
          <w:headerReference w:type="first" r:id="rId259"/>
          <w:footerReference w:type="first" r:id="rId260"/>
          <w:pgSz w:w="11906" w:h="16838"/>
          <w:pgMar w:top="1134" w:right="1134" w:bottom="1134" w:left="1134" w:header="567" w:footer="567" w:gutter="0"/>
          <w:cols w:space="708"/>
          <w:docGrid w:linePitch="360"/>
        </w:sectPr>
      </w:pPr>
    </w:p>
    <w:p w14:paraId="35D88546" w14:textId="77777777" w:rsidR="00553430" w:rsidRDefault="00212577">
      <w:pPr>
        <w:pStyle w:val="P68B1DB1-Normal113"/>
        <w:keepNext/>
        <w:tabs>
          <w:tab w:val="num" w:pos="850"/>
        </w:tabs>
        <w:spacing w:before="40" w:after="0"/>
        <w:ind w:left="851"/>
        <w:jc w:val="both"/>
        <w:outlineLvl w:val="1"/>
        <w:rPr>
          <w:noProof/>
        </w:rPr>
      </w:pPr>
      <w:r>
        <w:rPr>
          <w:noProof/>
        </w:rPr>
        <w:t xml:space="preserve">N.2. </w:t>
      </w:r>
      <w:r>
        <w:rPr>
          <w:noProof/>
        </w:rPr>
        <w:tab/>
        <w:t>Étapes, cibles, indicateurs et calendrier pour le suivi et la mise en œuvre du soutien financier non remboursable</w:t>
      </w:r>
    </w:p>
    <w:p w14:paraId="4E7D96E3" w14:textId="77777777" w:rsidR="00553430" w:rsidRDefault="00553430">
      <w:pPr>
        <w:keepNext/>
        <w:tabs>
          <w:tab w:val="num" w:pos="850"/>
        </w:tabs>
        <w:spacing w:before="40" w:after="0"/>
        <w:ind w:left="851"/>
        <w:jc w:val="both"/>
        <w:outlineLvl w:val="1"/>
        <w:rPr>
          <w:rFonts w:eastAsiaTheme="minorEastAsia"/>
          <w:b/>
          <w:noProof/>
          <w:szCs w:val="24"/>
          <w:u w:val="single"/>
        </w:rPr>
      </w:pPr>
    </w:p>
    <w:tbl>
      <w:tblPr>
        <w:tblW w:w="15081" w:type="dxa"/>
        <w:jc w:val="center"/>
        <w:tblLayout w:type="fixed"/>
        <w:tblCellMar>
          <w:top w:w="28" w:type="dxa"/>
          <w:left w:w="28" w:type="dxa"/>
          <w:bottom w:w="28" w:type="dxa"/>
          <w:right w:w="28" w:type="dxa"/>
        </w:tblCellMar>
        <w:tblLook w:val="04A0" w:firstRow="1" w:lastRow="0" w:firstColumn="1" w:lastColumn="0" w:noHBand="0" w:noVBand="1"/>
      </w:tblPr>
      <w:tblGrid>
        <w:gridCol w:w="846"/>
        <w:gridCol w:w="992"/>
        <w:gridCol w:w="1037"/>
        <w:gridCol w:w="1373"/>
        <w:gridCol w:w="2693"/>
        <w:gridCol w:w="851"/>
        <w:gridCol w:w="1134"/>
        <w:gridCol w:w="992"/>
        <w:gridCol w:w="957"/>
        <w:gridCol w:w="709"/>
        <w:gridCol w:w="3497"/>
      </w:tblGrid>
      <w:tr w:rsidR="00553430" w14:paraId="7088FF70" w14:textId="77777777">
        <w:trPr>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3124EBE" w14:textId="77777777" w:rsidR="00553430" w:rsidRDefault="00212577">
            <w:pPr>
              <w:pStyle w:val="P68B1DB1-Normal58"/>
              <w:spacing w:after="0" w:line="276" w:lineRule="auto"/>
              <w:jc w:val="center"/>
              <w:rPr>
                <w:bCs/>
                <w:noProof/>
              </w:rPr>
            </w:pPr>
            <w:r>
              <w:rPr>
                <w:noProof/>
              </w:rPr>
              <w:t>Numéro</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63A56B" w14:textId="77777777" w:rsidR="00553430" w:rsidRDefault="00212577">
            <w:pPr>
              <w:pStyle w:val="P68B1DB1-Normal58"/>
              <w:spacing w:after="0" w:line="276" w:lineRule="auto"/>
              <w:jc w:val="center"/>
              <w:rPr>
                <w:bCs/>
                <w:noProof/>
              </w:rPr>
            </w:pPr>
            <w:r>
              <w:rPr>
                <w:noProof/>
              </w:rPr>
              <w:t>Mesure</w:t>
            </w:r>
          </w:p>
        </w:tc>
        <w:tc>
          <w:tcPr>
            <w:tcW w:w="103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CDBDE7" w14:textId="77777777" w:rsidR="00553430" w:rsidRDefault="00212577">
            <w:pPr>
              <w:pStyle w:val="P68B1DB1-Normal58"/>
              <w:spacing w:after="0" w:line="276" w:lineRule="auto"/>
              <w:jc w:val="center"/>
              <w:rPr>
                <w:bCs/>
                <w:noProof/>
              </w:rPr>
            </w:pPr>
            <w:r>
              <w:rPr>
                <w:noProof/>
              </w:rPr>
              <w:t>Ét</w:t>
            </w:r>
            <w:r>
              <w:rPr>
                <w:noProof/>
              </w:rPr>
              <w:t>ape/cible</w:t>
            </w:r>
          </w:p>
        </w:tc>
        <w:tc>
          <w:tcPr>
            <w:tcW w:w="1373" w:type="dxa"/>
            <w:vMerge w:val="restart"/>
            <w:tcBorders>
              <w:top w:val="single" w:sz="4" w:space="0" w:color="auto"/>
              <w:left w:val="nil"/>
              <w:bottom w:val="single" w:sz="4" w:space="0" w:color="auto"/>
              <w:right w:val="single" w:sz="4" w:space="0" w:color="auto"/>
            </w:tcBorders>
            <w:shd w:val="clear" w:color="auto" w:fill="BDD7EE"/>
            <w:vAlign w:val="center"/>
            <w:hideMark/>
          </w:tcPr>
          <w:p w14:paraId="64FB446C" w14:textId="77777777" w:rsidR="00553430" w:rsidRDefault="00212577">
            <w:pPr>
              <w:pStyle w:val="P68B1DB1-Normal58"/>
              <w:spacing w:after="0" w:line="276" w:lineRule="auto"/>
              <w:jc w:val="center"/>
              <w:rPr>
                <w:bCs/>
                <w:noProof/>
              </w:rPr>
            </w:pPr>
            <w:r>
              <w:rPr>
                <w:noProof/>
              </w:rPr>
              <w:t>Nom</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67CC6AB" w14:textId="77777777" w:rsidR="00553430" w:rsidRDefault="00212577">
            <w:pPr>
              <w:pStyle w:val="P68B1DB1-Normal59"/>
              <w:spacing w:after="0" w:line="276" w:lineRule="auto"/>
              <w:ind w:right="-72"/>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qualitatifs</w:t>
            </w:r>
            <w:r>
              <w:rPr>
                <w:rFonts w:ascii="Times New Roman" w:hAnsi="Times New Roman" w:cs="Times New Roman"/>
                <w:noProof/>
              </w:rPr>
              <w:br/>
            </w:r>
            <w:r>
              <w:rPr>
                <w:rFonts w:ascii="Times New Roman" w:eastAsia="Times New Roman" w:hAnsi="Times New Roman" w:cs="Times New Roman"/>
                <w:b/>
                <w:noProof/>
              </w:rPr>
              <w:t>(pour les jalons)</w:t>
            </w:r>
          </w:p>
        </w:tc>
        <w:tc>
          <w:tcPr>
            <w:tcW w:w="2977" w:type="dxa"/>
            <w:gridSpan w:val="3"/>
            <w:tcBorders>
              <w:top w:val="single" w:sz="4" w:space="0" w:color="auto"/>
              <w:left w:val="nil"/>
              <w:bottom w:val="single" w:sz="4" w:space="0" w:color="auto"/>
              <w:right w:val="single" w:sz="4" w:space="0" w:color="auto"/>
            </w:tcBorders>
            <w:shd w:val="clear" w:color="auto" w:fill="BDD7EE"/>
            <w:vAlign w:val="center"/>
            <w:hideMark/>
          </w:tcPr>
          <w:p w14:paraId="4BDE4305"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hAnsi="Times New Roman" w:cs="Times New Roman"/>
                <w:noProof/>
              </w:rPr>
              <w:br/>
            </w:r>
            <w:r>
              <w:rPr>
                <w:rFonts w:ascii="Times New Roman" w:eastAsia="Times New Roman" w:hAnsi="Times New Roman" w:cs="Times New Roman"/>
                <w:b/>
                <w:noProof/>
              </w:rPr>
              <w:t>(pour les objectifs)</w:t>
            </w:r>
          </w:p>
        </w:tc>
        <w:tc>
          <w:tcPr>
            <w:tcW w:w="1666" w:type="dxa"/>
            <w:gridSpan w:val="2"/>
            <w:tcBorders>
              <w:top w:val="single" w:sz="4" w:space="0" w:color="auto"/>
              <w:left w:val="nil"/>
              <w:bottom w:val="single" w:sz="4" w:space="0" w:color="auto"/>
              <w:right w:val="single" w:sz="4" w:space="0" w:color="auto"/>
            </w:tcBorders>
            <w:shd w:val="clear" w:color="auto" w:fill="BDD7EE"/>
            <w:vAlign w:val="center"/>
            <w:hideMark/>
          </w:tcPr>
          <w:p w14:paraId="28BDF9CC" w14:textId="77777777" w:rsidR="00553430" w:rsidRDefault="00212577">
            <w:pPr>
              <w:pStyle w:val="P68B1DB1-Normal58"/>
              <w:spacing w:after="0" w:line="276" w:lineRule="auto"/>
              <w:jc w:val="center"/>
              <w:rPr>
                <w:noProof/>
              </w:rPr>
            </w:pPr>
            <w:r>
              <w:rPr>
                <w:noProof/>
              </w:rPr>
              <w:t>Calendrier indicatif d'achèvement</w:t>
            </w:r>
          </w:p>
        </w:tc>
        <w:tc>
          <w:tcPr>
            <w:tcW w:w="34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24DEEE" w14:textId="77777777" w:rsidR="00553430" w:rsidRDefault="00212577">
            <w:pPr>
              <w:pStyle w:val="P68B1DB1-Normal58"/>
              <w:spacing w:after="0" w:line="276" w:lineRule="auto"/>
              <w:jc w:val="center"/>
              <w:rPr>
                <w:bCs/>
                <w:noProof/>
              </w:rPr>
            </w:pPr>
            <w:r>
              <w:rPr>
                <w:noProof/>
              </w:rPr>
              <w:t>Description de chaque jalon et cible</w:t>
            </w:r>
          </w:p>
        </w:tc>
      </w:tr>
      <w:tr w:rsidR="00553430" w14:paraId="1161F0C1" w14:textId="77777777">
        <w:trPr>
          <w:tblHeader/>
          <w:jc w:val="center"/>
        </w:trPr>
        <w:tc>
          <w:tcPr>
            <w:tcW w:w="846" w:type="dxa"/>
            <w:vMerge/>
            <w:tcBorders>
              <w:top w:val="single" w:sz="4" w:space="0" w:color="auto"/>
              <w:left w:val="single" w:sz="4" w:space="0" w:color="auto"/>
              <w:bottom w:val="single" w:sz="4" w:space="0" w:color="auto"/>
              <w:right w:val="single" w:sz="4" w:space="0" w:color="auto"/>
            </w:tcBorders>
            <w:hideMark/>
          </w:tcPr>
          <w:p w14:paraId="52BC679E"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992" w:type="dxa"/>
            <w:vMerge/>
            <w:tcBorders>
              <w:top w:val="single" w:sz="4" w:space="0" w:color="auto"/>
              <w:left w:val="single" w:sz="4" w:space="0" w:color="auto"/>
              <w:bottom w:val="single" w:sz="4" w:space="0" w:color="auto"/>
              <w:right w:val="single" w:sz="4" w:space="0" w:color="auto"/>
            </w:tcBorders>
            <w:hideMark/>
          </w:tcPr>
          <w:p w14:paraId="20E00306"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37" w:type="dxa"/>
            <w:vMerge/>
            <w:tcBorders>
              <w:top w:val="single" w:sz="4" w:space="0" w:color="auto"/>
              <w:left w:val="single" w:sz="4" w:space="0" w:color="auto"/>
              <w:bottom w:val="single" w:sz="4" w:space="0" w:color="auto"/>
              <w:right w:val="single" w:sz="4" w:space="0" w:color="auto"/>
            </w:tcBorders>
            <w:hideMark/>
          </w:tcPr>
          <w:p w14:paraId="4CE0C2DD"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373" w:type="dxa"/>
            <w:vMerge/>
            <w:tcBorders>
              <w:top w:val="single" w:sz="4" w:space="0" w:color="auto"/>
              <w:left w:val="single" w:sz="4" w:space="0" w:color="auto"/>
              <w:bottom w:val="single" w:sz="4" w:space="0" w:color="auto"/>
              <w:right w:val="single" w:sz="4" w:space="0" w:color="auto"/>
            </w:tcBorders>
            <w:hideMark/>
          </w:tcPr>
          <w:p w14:paraId="65A06F46" w14:textId="77777777" w:rsidR="00553430" w:rsidRDefault="00553430">
            <w:pPr>
              <w:spacing w:after="0" w:line="276" w:lineRule="auto"/>
              <w:rPr>
                <w:rFonts w:ascii="Times New Roman" w:eastAsia="Times New Roman" w:hAnsi="Times New Roman" w:cs="Times New Roman"/>
                <w:b/>
                <w:noProof/>
                <w:sz w:val="20"/>
                <w:szCs w:val="20"/>
              </w:rPr>
            </w:pPr>
          </w:p>
        </w:tc>
        <w:tc>
          <w:tcPr>
            <w:tcW w:w="2693" w:type="dxa"/>
            <w:vMerge/>
            <w:tcBorders>
              <w:top w:val="single" w:sz="4" w:space="0" w:color="auto"/>
              <w:left w:val="single" w:sz="4" w:space="0" w:color="auto"/>
              <w:bottom w:val="single" w:sz="4" w:space="0" w:color="auto"/>
              <w:right w:val="single" w:sz="4" w:space="0" w:color="auto"/>
            </w:tcBorders>
            <w:hideMark/>
          </w:tcPr>
          <w:p w14:paraId="56D9CC36" w14:textId="77777777" w:rsidR="00553430" w:rsidRDefault="00553430">
            <w:pPr>
              <w:spacing w:after="0" w:line="276" w:lineRule="auto"/>
              <w:rPr>
                <w:rFonts w:ascii="Times New Roman" w:eastAsia="Times New Roman" w:hAnsi="Times New Roman" w:cs="Times New Roman"/>
                <w:b/>
                <w:noProof/>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BDD7EE"/>
            <w:hideMark/>
          </w:tcPr>
          <w:p w14:paraId="7C7C1026" w14:textId="77777777" w:rsidR="00553430" w:rsidRDefault="00212577">
            <w:pPr>
              <w:pStyle w:val="P68B1DB1-Normal58"/>
              <w:spacing w:after="0" w:line="276" w:lineRule="auto"/>
              <w:jc w:val="center"/>
              <w:rPr>
                <w:bCs/>
                <w:noProof/>
              </w:rPr>
            </w:pPr>
            <w:r>
              <w:rPr>
                <w:noProof/>
              </w:rPr>
              <w:t>Unité</w:t>
            </w:r>
          </w:p>
        </w:tc>
        <w:tc>
          <w:tcPr>
            <w:tcW w:w="1134" w:type="dxa"/>
            <w:tcBorders>
              <w:top w:val="single" w:sz="4" w:space="0" w:color="auto"/>
              <w:left w:val="single" w:sz="4" w:space="0" w:color="auto"/>
              <w:bottom w:val="single" w:sz="4" w:space="0" w:color="auto"/>
              <w:right w:val="single" w:sz="4" w:space="0" w:color="auto"/>
            </w:tcBorders>
            <w:shd w:val="clear" w:color="auto" w:fill="BDD7EE"/>
            <w:hideMark/>
          </w:tcPr>
          <w:p w14:paraId="3E848E85" w14:textId="77777777" w:rsidR="00553430" w:rsidRDefault="00212577">
            <w:pPr>
              <w:pStyle w:val="P68B1DB1-Normal58"/>
              <w:spacing w:after="0" w:line="276" w:lineRule="auto"/>
              <w:jc w:val="center"/>
              <w:rPr>
                <w:bCs/>
                <w:noProof/>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BDD7EE"/>
            <w:hideMark/>
          </w:tcPr>
          <w:p w14:paraId="7E5C62F3" w14:textId="77777777" w:rsidR="00553430" w:rsidRDefault="00212577">
            <w:pPr>
              <w:pStyle w:val="P68B1DB1-Normal58"/>
              <w:spacing w:after="0" w:line="276" w:lineRule="auto"/>
              <w:jc w:val="center"/>
              <w:rPr>
                <w:bCs/>
                <w:noProof/>
              </w:rPr>
            </w:pPr>
            <w:r>
              <w:rPr>
                <w:noProof/>
              </w:rPr>
              <w:t>Objectif</w:t>
            </w:r>
          </w:p>
        </w:tc>
        <w:tc>
          <w:tcPr>
            <w:tcW w:w="957" w:type="dxa"/>
            <w:tcBorders>
              <w:top w:val="single" w:sz="4" w:space="0" w:color="auto"/>
              <w:left w:val="single" w:sz="4" w:space="0" w:color="auto"/>
              <w:bottom w:val="single" w:sz="4" w:space="0" w:color="auto"/>
              <w:right w:val="single" w:sz="4" w:space="0" w:color="auto"/>
            </w:tcBorders>
            <w:shd w:val="clear" w:color="auto" w:fill="BDD7EE"/>
            <w:hideMark/>
          </w:tcPr>
          <w:p w14:paraId="394CEDED" w14:textId="77777777" w:rsidR="00553430" w:rsidRDefault="00212577">
            <w:pPr>
              <w:pStyle w:val="P68B1DB1-Normal58"/>
              <w:spacing w:after="0" w:line="276" w:lineRule="auto"/>
              <w:jc w:val="center"/>
              <w:rPr>
                <w:bCs/>
                <w:noProof/>
              </w:rPr>
            </w:pPr>
            <w:r>
              <w:rPr>
                <w:noProof/>
              </w:rPr>
              <w:t>Trimestre</w:t>
            </w:r>
          </w:p>
        </w:tc>
        <w:tc>
          <w:tcPr>
            <w:tcW w:w="709" w:type="dxa"/>
            <w:tcBorders>
              <w:top w:val="single" w:sz="4" w:space="0" w:color="auto"/>
              <w:left w:val="single" w:sz="4" w:space="0" w:color="auto"/>
              <w:bottom w:val="single" w:sz="4" w:space="0" w:color="auto"/>
              <w:right w:val="single" w:sz="4" w:space="0" w:color="auto"/>
            </w:tcBorders>
            <w:shd w:val="clear" w:color="auto" w:fill="BDD7EE"/>
            <w:hideMark/>
          </w:tcPr>
          <w:p w14:paraId="57507B6E" w14:textId="77777777" w:rsidR="00553430" w:rsidRDefault="00212577">
            <w:pPr>
              <w:pStyle w:val="P68B1DB1-Normal58"/>
              <w:spacing w:after="0" w:line="276" w:lineRule="auto"/>
              <w:jc w:val="center"/>
              <w:rPr>
                <w:bCs/>
                <w:noProof/>
              </w:rPr>
            </w:pPr>
            <w:r>
              <w:rPr>
                <w:noProof/>
              </w:rPr>
              <w:t>Année</w:t>
            </w:r>
          </w:p>
        </w:tc>
        <w:tc>
          <w:tcPr>
            <w:tcW w:w="3497" w:type="dxa"/>
            <w:vMerge/>
            <w:tcBorders>
              <w:top w:val="single" w:sz="4" w:space="0" w:color="auto"/>
              <w:left w:val="single" w:sz="4" w:space="0" w:color="auto"/>
              <w:bottom w:val="single" w:sz="4" w:space="0" w:color="auto"/>
              <w:right w:val="single" w:sz="4" w:space="0" w:color="auto"/>
            </w:tcBorders>
            <w:hideMark/>
          </w:tcPr>
          <w:p w14:paraId="459C1F1A"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48E674CF"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55DDA73" w14:textId="77777777" w:rsidR="00553430" w:rsidRDefault="00212577">
            <w:pPr>
              <w:pStyle w:val="P68B1DB1-Normal102"/>
              <w:spacing w:after="0" w:line="276" w:lineRule="auto"/>
              <w:jc w:val="center"/>
              <w:rPr>
                <w:noProof/>
              </w:rPr>
            </w:pPr>
            <w:r>
              <w:rPr>
                <w:noProof/>
              </w:rPr>
              <w:t>250</w:t>
            </w:r>
          </w:p>
        </w:tc>
        <w:tc>
          <w:tcPr>
            <w:tcW w:w="992" w:type="dxa"/>
            <w:tcBorders>
              <w:top w:val="single" w:sz="4" w:space="0" w:color="auto"/>
              <w:left w:val="nil"/>
              <w:bottom w:val="single" w:sz="4" w:space="0" w:color="auto"/>
              <w:right w:val="single" w:sz="4" w:space="0" w:color="auto"/>
            </w:tcBorders>
            <w:shd w:val="clear" w:color="auto" w:fill="C6EFCE"/>
            <w:noWrap/>
          </w:tcPr>
          <w:p w14:paraId="2C9272C7" w14:textId="77777777" w:rsidR="00553430" w:rsidRDefault="00212577">
            <w:pPr>
              <w:pStyle w:val="P68B1DB1-Normal102"/>
              <w:spacing w:line="276" w:lineRule="auto"/>
              <w:jc w:val="center"/>
              <w:rPr>
                <w:noProof/>
              </w:rPr>
            </w:pPr>
            <w:r>
              <w:rPr>
                <w:noProof/>
              </w:rPr>
              <w:t>C2.8. R1</w:t>
            </w:r>
          </w:p>
        </w:tc>
        <w:tc>
          <w:tcPr>
            <w:tcW w:w="1037" w:type="dxa"/>
            <w:tcBorders>
              <w:top w:val="single" w:sz="4" w:space="0" w:color="auto"/>
              <w:left w:val="nil"/>
              <w:bottom w:val="single" w:sz="4" w:space="0" w:color="auto"/>
              <w:right w:val="single" w:sz="4" w:space="0" w:color="auto"/>
            </w:tcBorders>
            <w:shd w:val="clear" w:color="auto" w:fill="C6EFCE"/>
            <w:noWrap/>
          </w:tcPr>
          <w:p w14:paraId="0949FFA8" w14:textId="77777777" w:rsidR="00553430" w:rsidRDefault="00212577">
            <w:pPr>
              <w:pStyle w:val="P68B1DB1-Normal102"/>
              <w:spacing w:line="276" w:lineRule="auto"/>
              <w:jc w:val="center"/>
              <w:rPr>
                <w:noProof/>
              </w:rPr>
            </w:pPr>
            <w:r>
              <w:rPr>
                <w:noProof/>
              </w:rPr>
              <w:t>M</w:t>
            </w:r>
          </w:p>
        </w:tc>
        <w:tc>
          <w:tcPr>
            <w:tcW w:w="1373" w:type="dxa"/>
            <w:tcBorders>
              <w:top w:val="single" w:sz="4" w:space="0" w:color="auto"/>
              <w:left w:val="nil"/>
              <w:bottom w:val="single" w:sz="4" w:space="0" w:color="auto"/>
              <w:right w:val="single" w:sz="4" w:space="0" w:color="auto"/>
            </w:tcBorders>
            <w:shd w:val="clear" w:color="auto" w:fill="C6EFCE"/>
            <w:noWrap/>
          </w:tcPr>
          <w:p w14:paraId="76E18ED1" w14:textId="77777777" w:rsidR="00553430" w:rsidRDefault="00212577">
            <w:pPr>
              <w:pStyle w:val="P68B1DB1-Normal102"/>
              <w:spacing w:line="276" w:lineRule="auto"/>
              <w:rPr>
                <w:noProof/>
              </w:rPr>
            </w:pPr>
            <w:r>
              <w:rPr>
                <w:noProof/>
              </w:rPr>
              <w:t>Sensibilisation de toutes les parties responsables grâce à une formation régulière</w:t>
            </w:r>
          </w:p>
        </w:tc>
        <w:tc>
          <w:tcPr>
            <w:tcW w:w="2693" w:type="dxa"/>
            <w:tcBorders>
              <w:top w:val="single" w:sz="4" w:space="0" w:color="auto"/>
              <w:left w:val="nil"/>
              <w:bottom w:val="single" w:sz="4" w:space="0" w:color="auto"/>
              <w:right w:val="single" w:sz="4" w:space="0" w:color="auto"/>
            </w:tcBorders>
            <w:shd w:val="clear" w:color="auto" w:fill="C6EFCE"/>
            <w:noWrap/>
          </w:tcPr>
          <w:p w14:paraId="4630F05F" w14:textId="77777777" w:rsidR="00553430" w:rsidRDefault="00212577">
            <w:pPr>
              <w:pStyle w:val="P68B1DB1-Normal102"/>
              <w:spacing w:line="276" w:lineRule="auto"/>
              <w:rPr>
                <w:noProof/>
              </w:rPr>
            </w:pPr>
            <w:r>
              <w:rPr>
                <w:noProof/>
              </w:rPr>
              <w:t>Cadre en place pour la formation continue du personnel tenu de rendre compte de la prévention du blanchiment de capitaux et du financement du terrorisme</w:t>
            </w:r>
          </w:p>
        </w:tc>
        <w:tc>
          <w:tcPr>
            <w:tcW w:w="851" w:type="dxa"/>
            <w:tcBorders>
              <w:top w:val="single" w:sz="4" w:space="0" w:color="auto"/>
              <w:left w:val="nil"/>
              <w:bottom w:val="single" w:sz="4" w:space="0" w:color="auto"/>
              <w:right w:val="single" w:sz="4" w:space="0" w:color="auto"/>
            </w:tcBorders>
            <w:shd w:val="clear" w:color="auto" w:fill="C6EFCE"/>
            <w:noWrap/>
          </w:tcPr>
          <w:p w14:paraId="5E823D82" w14:textId="77777777" w:rsidR="00553430" w:rsidRDefault="00212577">
            <w:pPr>
              <w:pStyle w:val="P68B1DB1-Normal102"/>
              <w:spacing w:line="276" w:lineRule="auto"/>
              <w:jc w:val="center"/>
              <w:rPr>
                <w:noProof/>
              </w:rPr>
            </w:pPr>
            <w:r>
              <w:rPr>
                <w:noProof/>
              </w:rPr>
              <w:t> </w:t>
            </w:r>
          </w:p>
        </w:tc>
        <w:tc>
          <w:tcPr>
            <w:tcW w:w="1134" w:type="dxa"/>
            <w:tcBorders>
              <w:top w:val="single" w:sz="4" w:space="0" w:color="auto"/>
              <w:left w:val="nil"/>
              <w:bottom w:val="single" w:sz="4" w:space="0" w:color="auto"/>
              <w:right w:val="single" w:sz="4" w:space="0" w:color="auto"/>
            </w:tcBorders>
            <w:shd w:val="clear" w:color="auto" w:fill="C6EFCE"/>
            <w:noWrap/>
          </w:tcPr>
          <w:p w14:paraId="457E8BA1" w14:textId="77777777" w:rsidR="00553430" w:rsidRDefault="00212577">
            <w:pPr>
              <w:pStyle w:val="P68B1DB1-Normal102"/>
              <w:spacing w:line="276" w:lineRule="auto"/>
              <w:jc w:val="center"/>
              <w:rPr>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22BF6C71" w14:textId="77777777" w:rsidR="00553430" w:rsidRDefault="00212577">
            <w:pPr>
              <w:pStyle w:val="P68B1DB1-Normal102"/>
              <w:spacing w:line="276" w:lineRule="auto"/>
              <w:jc w:val="center"/>
              <w:rPr>
                <w:noProof/>
              </w:rPr>
            </w:pPr>
            <w:r>
              <w:rPr>
                <w:noProof/>
              </w:rPr>
              <w:t> </w:t>
            </w:r>
          </w:p>
        </w:tc>
        <w:tc>
          <w:tcPr>
            <w:tcW w:w="957" w:type="dxa"/>
            <w:tcBorders>
              <w:top w:val="single" w:sz="4" w:space="0" w:color="auto"/>
              <w:left w:val="nil"/>
              <w:bottom w:val="single" w:sz="4" w:space="0" w:color="auto"/>
              <w:right w:val="single" w:sz="4" w:space="0" w:color="auto"/>
            </w:tcBorders>
            <w:shd w:val="clear" w:color="auto" w:fill="C6EFCE"/>
            <w:noWrap/>
          </w:tcPr>
          <w:p w14:paraId="24AFF36F" w14:textId="77777777" w:rsidR="00553430" w:rsidRDefault="00212577">
            <w:pPr>
              <w:pStyle w:val="P68B1DB1-Normal102"/>
              <w:spacing w:line="276"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0D1AAEA3" w14:textId="77777777" w:rsidR="00553430" w:rsidRDefault="00212577">
            <w:pPr>
              <w:pStyle w:val="P68B1DB1-Normal102"/>
              <w:spacing w:line="276" w:lineRule="auto"/>
              <w:jc w:val="center"/>
              <w:rPr>
                <w:noProof/>
              </w:rPr>
            </w:pPr>
            <w:r>
              <w:rPr>
                <w:noProof/>
              </w:rPr>
              <w:t>2020</w:t>
            </w:r>
          </w:p>
        </w:tc>
        <w:tc>
          <w:tcPr>
            <w:tcW w:w="3497" w:type="dxa"/>
            <w:tcBorders>
              <w:top w:val="single" w:sz="4" w:space="0" w:color="auto"/>
              <w:left w:val="nil"/>
              <w:bottom w:val="single" w:sz="4" w:space="0" w:color="auto"/>
              <w:right w:val="single" w:sz="4" w:space="0" w:color="auto"/>
            </w:tcBorders>
            <w:shd w:val="clear" w:color="auto" w:fill="C6EFCE"/>
            <w:noWrap/>
          </w:tcPr>
          <w:p w14:paraId="53AA575D" w14:textId="77777777" w:rsidR="00553430" w:rsidRDefault="00212577">
            <w:pPr>
              <w:pStyle w:val="P68B1DB1-Normal102"/>
              <w:spacing w:line="276" w:lineRule="auto"/>
              <w:rPr>
                <w:noProof/>
              </w:rPr>
            </w:pPr>
            <w:r>
              <w:rPr>
                <w:noProof/>
              </w:rPr>
              <w:t>Le cad</w:t>
            </w:r>
            <w:r>
              <w:rPr>
                <w:noProof/>
              </w:rPr>
              <w:t>re mis en place pour la formation continue par les organes de surveillance et l’Office de lutte contre le blanchiment de capitaux du personnel de tous les établissements et autorités déclarants, y compris les responsables de la conformité en matière de lut</w:t>
            </w:r>
            <w:r>
              <w:rPr>
                <w:noProof/>
              </w:rPr>
              <w:t xml:space="preserve">te contre le blanchiment de capitaux et la direction des établissements de crédit. Les initiatives éducatives envisagées dans le cadre se concentrent sur la sensibilisation à l’approche fondée sur les risques pour la mise en œuvre des mesures de vigilance </w:t>
            </w:r>
            <w:r>
              <w:rPr>
                <w:noProof/>
              </w:rPr>
              <w:t>à l’égard de la clientèle et à l’obligation de signaler les activités suspectes. Dans le cadre de ce cadre, les organes de surveillance et l’Office de lutte contre le blanchiment de capitaux fournissent régulièrement aux établissements et aux autorités des</w:t>
            </w:r>
            <w:r>
              <w:rPr>
                <w:noProof/>
              </w:rPr>
              <w:t xml:space="preserve"> informations actualisées sur l’évolution de la situation en matière de blanchiment de capitaux.</w:t>
            </w:r>
          </w:p>
        </w:tc>
      </w:tr>
      <w:tr w:rsidR="00553430" w14:paraId="35194D49" w14:textId="77777777">
        <w:trPr>
          <w:jc w:val="center"/>
        </w:trPr>
        <w:tc>
          <w:tcPr>
            <w:tcW w:w="846" w:type="dxa"/>
            <w:tcBorders>
              <w:top w:val="nil"/>
              <w:left w:val="single" w:sz="4" w:space="0" w:color="auto"/>
              <w:bottom w:val="single" w:sz="4" w:space="0" w:color="auto"/>
              <w:right w:val="single" w:sz="4" w:space="0" w:color="auto"/>
            </w:tcBorders>
            <w:shd w:val="clear" w:color="auto" w:fill="C6EFCE"/>
            <w:noWrap/>
          </w:tcPr>
          <w:p w14:paraId="4C1C03DD" w14:textId="77777777" w:rsidR="00553430" w:rsidRDefault="00212577">
            <w:pPr>
              <w:pStyle w:val="P68B1DB1-Normal102"/>
              <w:spacing w:line="276" w:lineRule="auto"/>
              <w:jc w:val="center"/>
              <w:rPr>
                <w:noProof/>
              </w:rPr>
            </w:pPr>
            <w:r>
              <w:rPr>
                <w:noProof/>
              </w:rPr>
              <w:t>251</w:t>
            </w:r>
          </w:p>
        </w:tc>
        <w:tc>
          <w:tcPr>
            <w:tcW w:w="992" w:type="dxa"/>
            <w:tcBorders>
              <w:top w:val="nil"/>
              <w:left w:val="nil"/>
              <w:bottom w:val="single" w:sz="4" w:space="0" w:color="auto"/>
              <w:right w:val="single" w:sz="4" w:space="0" w:color="auto"/>
            </w:tcBorders>
            <w:shd w:val="clear" w:color="auto" w:fill="C6EFCE"/>
            <w:noWrap/>
          </w:tcPr>
          <w:p w14:paraId="69CD06E1" w14:textId="77777777" w:rsidR="00553430" w:rsidRDefault="00212577">
            <w:pPr>
              <w:pStyle w:val="P68B1DB1-Normal102"/>
              <w:spacing w:line="276" w:lineRule="auto"/>
              <w:jc w:val="center"/>
              <w:rPr>
                <w:noProof/>
              </w:rPr>
            </w:pPr>
            <w:r>
              <w:rPr>
                <w:noProof/>
              </w:rPr>
              <w:t>C2.8. R2</w:t>
            </w:r>
          </w:p>
        </w:tc>
        <w:tc>
          <w:tcPr>
            <w:tcW w:w="1037" w:type="dxa"/>
            <w:tcBorders>
              <w:top w:val="nil"/>
              <w:left w:val="nil"/>
              <w:bottom w:val="single" w:sz="4" w:space="0" w:color="auto"/>
              <w:right w:val="single" w:sz="4" w:space="0" w:color="auto"/>
            </w:tcBorders>
            <w:shd w:val="clear" w:color="auto" w:fill="C6EFCE"/>
            <w:noWrap/>
          </w:tcPr>
          <w:p w14:paraId="798DDE85" w14:textId="77777777" w:rsidR="00553430" w:rsidRDefault="00212577">
            <w:pPr>
              <w:pStyle w:val="P68B1DB1-Normal102"/>
              <w:spacing w:line="276" w:lineRule="auto"/>
              <w:jc w:val="center"/>
              <w:rPr>
                <w:noProof/>
              </w:rPr>
            </w:pPr>
            <w:r>
              <w:rPr>
                <w:noProof/>
              </w:rPr>
              <w:t>M</w:t>
            </w:r>
          </w:p>
        </w:tc>
        <w:tc>
          <w:tcPr>
            <w:tcW w:w="1373" w:type="dxa"/>
            <w:tcBorders>
              <w:top w:val="nil"/>
              <w:left w:val="nil"/>
              <w:bottom w:val="single" w:sz="4" w:space="0" w:color="auto"/>
              <w:right w:val="single" w:sz="4" w:space="0" w:color="auto"/>
            </w:tcBorders>
            <w:shd w:val="clear" w:color="auto" w:fill="C6EFCE"/>
            <w:noWrap/>
          </w:tcPr>
          <w:p w14:paraId="529E8D06" w14:textId="77777777" w:rsidR="00553430" w:rsidRDefault="00212577">
            <w:pPr>
              <w:pStyle w:val="P68B1DB1-Normal102"/>
              <w:spacing w:line="276" w:lineRule="auto"/>
              <w:rPr>
                <w:noProof/>
              </w:rPr>
            </w:pPr>
            <w:r>
              <w:rPr>
                <w:noProof/>
              </w:rPr>
              <w:t xml:space="preserve">Poursuite de la coopération entre l’Office de lutte contre le blanchiment de capitaux et les autorités de contrôle </w:t>
            </w:r>
          </w:p>
        </w:tc>
        <w:tc>
          <w:tcPr>
            <w:tcW w:w="2693" w:type="dxa"/>
            <w:tcBorders>
              <w:top w:val="nil"/>
              <w:left w:val="nil"/>
              <w:bottom w:val="single" w:sz="4" w:space="0" w:color="auto"/>
              <w:right w:val="single" w:sz="4" w:space="0" w:color="auto"/>
            </w:tcBorders>
            <w:shd w:val="clear" w:color="auto" w:fill="C6EFCE"/>
            <w:noWrap/>
          </w:tcPr>
          <w:p w14:paraId="279510FF" w14:textId="77777777" w:rsidR="00553430" w:rsidRDefault="00212577">
            <w:pPr>
              <w:pStyle w:val="P68B1DB1-Normal102"/>
              <w:spacing w:line="276" w:lineRule="auto"/>
              <w:rPr>
                <w:noProof/>
              </w:rPr>
            </w:pPr>
            <w:r>
              <w:rPr>
                <w:noProof/>
              </w:rPr>
              <w:t xml:space="preserve">Signature d’un accord de </w:t>
            </w:r>
            <w:r>
              <w:rPr>
                <w:noProof/>
              </w:rPr>
              <w:t>coopération actualisé entre l’Office de lutte contre le blanchiment de capitaux et les autorités de contrôle sur l’échange d’informations et la coopération</w:t>
            </w:r>
          </w:p>
        </w:tc>
        <w:tc>
          <w:tcPr>
            <w:tcW w:w="851" w:type="dxa"/>
            <w:tcBorders>
              <w:top w:val="nil"/>
              <w:left w:val="nil"/>
              <w:bottom w:val="single" w:sz="4" w:space="0" w:color="auto"/>
              <w:right w:val="single" w:sz="4" w:space="0" w:color="auto"/>
            </w:tcBorders>
            <w:shd w:val="clear" w:color="auto" w:fill="C6EFCE"/>
            <w:noWrap/>
          </w:tcPr>
          <w:p w14:paraId="1CB9DD1B" w14:textId="77777777" w:rsidR="00553430" w:rsidRDefault="00212577">
            <w:pPr>
              <w:pStyle w:val="P68B1DB1-Normal102"/>
              <w:spacing w:line="276" w:lineRule="auto"/>
              <w:jc w:val="center"/>
              <w:rPr>
                <w:noProof/>
              </w:rPr>
            </w:pPr>
            <w:r>
              <w:rPr>
                <w:noProof/>
              </w:rPr>
              <w:t> </w:t>
            </w:r>
          </w:p>
        </w:tc>
        <w:tc>
          <w:tcPr>
            <w:tcW w:w="1134" w:type="dxa"/>
            <w:tcBorders>
              <w:top w:val="nil"/>
              <w:left w:val="nil"/>
              <w:bottom w:val="single" w:sz="4" w:space="0" w:color="auto"/>
              <w:right w:val="single" w:sz="4" w:space="0" w:color="auto"/>
            </w:tcBorders>
            <w:shd w:val="clear" w:color="auto" w:fill="C6EFCE"/>
            <w:noWrap/>
          </w:tcPr>
          <w:p w14:paraId="21641FD0" w14:textId="77777777" w:rsidR="00553430" w:rsidRDefault="00212577">
            <w:pPr>
              <w:pStyle w:val="P68B1DB1-Normal102"/>
              <w:spacing w:line="276" w:lineRule="auto"/>
              <w:jc w:val="center"/>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19254196" w14:textId="77777777" w:rsidR="00553430" w:rsidRDefault="00212577">
            <w:pPr>
              <w:pStyle w:val="P68B1DB1-Normal102"/>
              <w:spacing w:line="276" w:lineRule="auto"/>
              <w:jc w:val="center"/>
              <w:rPr>
                <w:noProof/>
              </w:rPr>
            </w:pPr>
            <w:r>
              <w:rPr>
                <w:noProof/>
              </w:rPr>
              <w:t> </w:t>
            </w:r>
          </w:p>
        </w:tc>
        <w:tc>
          <w:tcPr>
            <w:tcW w:w="957" w:type="dxa"/>
            <w:tcBorders>
              <w:top w:val="nil"/>
              <w:left w:val="nil"/>
              <w:bottom w:val="single" w:sz="4" w:space="0" w:color="auto"/>
              <w:right w:val="single" w:sz="4" w:space="0" w:color="auto"/>
            </w:tcBorders>
            <w:shd w:val="clear" w:color="auto" w:fill="C6EFCE"/>
            <w:noWrap/>
          </w:tcPr>
          <w:p w14:paraId="4551D4DC" w14:textId="77777777" w:rsidR="00553430" w:rsidRDefault="00212577">
            <w:pPr>
              <w:pStyle w:val="P68B1DB1-Normal102"/>
              <w:spacing w:line="276" w:lineRule="auto"/>
              <w:jc w:val="center"/>
              <w:rPr>
                <w:noProof/>
              </w:rPr>
            </w:pPr>
            <w:r>
              <w:rPr>
                <w:noProof/>
              </w:rPr>
              <w:t>T4</w:t>
            </w:r>
          </w:p>
        </w:tc>
        <w:tc>
          <w:tcPr>
            <w:tcW w:w="709" w:type="dxa"/>
            <w:tcBorders>
              <w:top w:val="nil"/>
              <w:left w:val="nil"/>
              <w:bottom w:val="single" w:sz="4" w:space="0" w:color="auto"/>
              <w:right w:val="single" w:sz="4" w:space="0" w:color="auto"/>
            </w:tcBorders>
            <w:shd w:val="clear" w:color="auto" w:fill="C6EFCE"/>
            <w:noWrap/>
          </w:tcPr>
          <w:p w14:paraId="6F5FCCB1" w14:textId="77777777" w:rsidR="00553430" w:rsidRDefault="00212577">
            <w:pPr>
              <w:pStyle w:val="P68B1DB1-Normal102"/>
              <w:spacing w:line="276" w:lineRule="auto"/>
              <w:jc w:val="center"/>
              <w:rPr>
                <w:noProof/>
              </w:rPr>
            </w:pPr>
            <w:r>
              <w:rPr>
                <w:noProof/>
              </w:rPr>
              <w:t>2020</w:t>
            </w:r>
          </w:p>
        </w:tc>
        <w:tc>
          <w:tcPr>
            <w:tcW w:w="3497" w:type="dxa"/>
            <w:tcBorders>
              <w:top w:val="nil"/>
              <w:left w:val="nil"/>
              <w:bottom w:val="single" w:sz="4" w:space="0" w:color="auto"/>
              <w:right w:val="single" w:sz="4" w:space="0" w:color="auto"/>
            </w:tcBorders>
            <w:shd w:val="clear" w:color="auto" w:fill="C6EFCE"/>
            <w:noWrap/>
          </w:tcPr>
          <w:p w14:paraId="493C9B29" w14:textId="77777777" w:rsidR="00553430" w:rsidRDefault="00212577">
            <w:pPr>
              <w:pStyle w:val="P68B1DB1-Normal102"/>
              <w:spacing w:after="0" w:line="276" w:lineRule="auto"/>
              <w:rPr>
                <w:noProof/>
              </w:rPr>
            </w:pPr>
            <w:r>
              <w:rPr>
                <w:noProof/>
              </w:rPr>
              <w:t>Accord de coopération actualisé entre l’Office de lutte contre le blanchiment de capit</w:t>
            </w:r>
            <w:r>
              <w:rPr>
                <w:noProof/>
              </w:rPr>
              <w:t xml:space="preserve">aux et les autorités de contrôle en matière d’échange d’informations et de coopération, qui comprend: </w:t>
            </w:r>
            <w:r>
              <w:rPr>
                <w:noProof/>
              </w:rPr>
              <w:br/>
              <w:t xml:space="preserve">i) l'échange de données et d'informations nécessaires aux procédures de surveillance, </w:t>
            </w:r>
            <w:r>
              <w:rPr>
                <w:noProof/>
              </w:rPr>
              <w:br/>
              <w:t>ii) l'échange d'informations sur les irrégularités constatées dans</w:t>
            </w:r>
            <w:r>
              <w:rPr>
                <w:noProof/>
              </w:rPr>
              <w:t xml:space="preserve"> les entités déclarantes, </w:t>
            </w:r>
            <w:r>
              <w:rPr>
                <w:noProof/>
              </w:rPr>
              <w:br/>
              <w:t xml:space="preserve">iii) l'échange d'informations sur les dernières typologies de blanchisseurs de capitaux/financiers du terrorisme identifiées par le Bureau de lutte contre le blanchiment de capitaux et les autorités de surveillance, </w:t>
            </w:r>
            <w:r>
              <w:rPr>
                <w:noProof/>
              </w:rPr>
              <w:br/>
              <w:t>iv) l'augmen</w:t>
            </w:r>
            <w:r>
              <w:rPr>
                <w:noProof/>
              </w:rPr>
              <w:t xml:space="preserve">tation des activités de surveillance sur la base des risques identifiés de blanchiment de capitaux et de financement du terrorisme et </w:t>
            </w:r>
            <w:r>
              <w:rPr>
                <w:noProof/>
              </w:rPr>
              <w:br/>
              <w:t>v) l'échange de données statistiques aux fins de l'évaluation nationale des risques de blanchiment de capitaux et de fina</w:t>
            </w:r>
            <w:r>
              <w:rPr>
                <w:noProof/>
              </w:rPr>
              <w:t>ncement du terrorisme et de l'évaluation de l'efficacité des efforts du système en matière de prévention et de détection du blanchiment de capitaux et du financement du terrorisme.</w:t>
            </w:r>
          </w:p>
        </w:tc>
      </w:tr>
      <w:tr w:rsidR="00553430" w14:paraId="4B0FD465" w14:textId="77777777">
        <w:trPr>
          <w:jc w:val="center"/>
        </w:trPr>
        <w:tc>
          <w:tcPr>
            <w:tcW w:w="846" w:type="dxa"/>
            <w:tcBorders>
              <w:top w:val="nil"/>
              <w:left w:val="single" w:sz="4" w:space="0" w:color="auto"/>
              <w:bottom w:val="single" w:sz="4" w:space="0" w:color="auto"/>
              <w:right w:val="single" w:sz="4" w:space="0" w:color="auto"/>
            </w:tcBorders>
            <w:shd w:val="clear" w:color="auto" w:fill="C6EFCE"/>
            <w:noWrap/>
          </w:tcPr>
          <w:p w14:paraId="26B6B7BF" w14:textId="77777777" w:rsidR="00553430" w:rsidRDefault="00212577">
            <w:pPr>
              <w:pStyle w:val="P68B1DB1-Normal102"/>
              <w:spacing w:line="276" w:lineRule="auto"/>
              <w:jc w:val="center"/>
              <w:rPr>
                <w:noProof/>
              </w:rPr>
            </w:pPr>
            <w:r>
              <w:rPr>
                <w:noProof/>
              </w:rPr>
              <w:t>252</w:t>
            </w:r>
          </w:p>
        </w:tc>
        <w:tc>
          <w:tcPr>
            <w:tcW w:w="992" w:type="dxa"/>
            <w:tcBorders>
              <w:top w:val="nil"/>
              <w:left w:val="nil"/>
              <w:bottom w:val="single" w:sz="4" w:space="0" w:color="auto"/>
              <w:right w:val="single" w:sz="4" w:space="0" w:color="auto"/>
            </w:tcBorders>
            <w:shd w:val="clear" w:color="auto" w:fill="C6EFCE"/>
            <w:noWrap/>
          </w:tcPr>
          <w:p w14:paraId="4AB3E624" w14:textId="77777777" w:rsidR="00553430" w:rsidRDefault="00212577">
            <w:pPr>
              <w:pStyle w:val="P68B1DB1-Normal102"/>
              <w:spacing w:line="276" w:lineRule="auto"/>
              <w:jc w:val="center"/>
              <w:rPr>
                <w:noProof/>
              </w:rPr>
            </w:pPr>
            <w:r>
              <w:rPr>
                <w:noProof/>
              </w:rPr>
              <w:t>C2.8. R2</w:t>
            </w:r>
          </w:p>
        </w:tc>
        <w:tc>
          <w:tcPr>
            <w:tcW w:w="1037" w:type="dxa"/>
            <w:tcBorders>
              <w:top w:val="nil"/>
              <w:left w:val="nil"/>
              <w:bottom w:val="single" w:sz="4" w:space="0" w:color="auto"/>
              <w:right w:val="single" w:sz="4" w:space="0" w:color="auto"/>
            </w:tcBorders>
            <w:shd w:val="clear" w:color="auto" w:fill="C6EFCE"/>
            <w:noWrap/>
          </w:tcPr>
          <w:p w14:paraId="7290BF0D" w14:textId="77777777" w:rsidR="00553430" w:rsidRDefault="00212577">
            <w:pPr>
              <w:pStyle w:val="P68B1DB1-Normal102"/>
              <w:spacing w:line="276" w:lineRule="auto"/>
              <w:jc w:val="center"/>
              <w:rPr>
                <w:noProof/>
              </w:rPr>
            </w:pPr>
            <w:r>
              <w:rPr>
                <w:noProof/>
              </w:rPr>
              <w:t>T</w:t>
            </w:r>
          </w:p>
        </w:tc>
        <w:tc>
          <w:tcPr>
            <w:tcW w:w="1373" w:type="dxa"/>
            <w:tcBorders>
              <w:top w:val="nil"/>
              <w:left w:val="nil"/>
              <w:bottom w:val="single" w:sz="4" w:space="0" w:color="auto"/>
              <w:right w:val="single" w:sz="4" w:space="0" w:color="auto"/>
            </w:tcBorders>
            <w:shd w:val="clear" w:color="auto" w:fill="C6EFCE"/>
            <w:noWrap/>
          </w:tcPr>
          <w:p w14:paraId="35FE5CF8" w14:textId="77777777" w:rsidR="00553430" w:rsidRDefault="00212577">
            <w:pPr>
              <w:pStyle w:val="P68B1DB1-Normal102"/>
              <w:spacing w:line="276" w:lineRule="auto"/>
              <w:rPr>
                <w:noProof/>
              </w:rPr>
            </w:pPr>
            <w:r>
              <w:rPr>
                <w:noProof/>
              </w:rPr>
              <w:t xml:space="preserve">Renforcer la surveillance par des réunions régulières du groupe de travail interinstitutionnel sur la surveillance </w:t>
            </w:r>
          </w:p>
        </w:tc>
        <w:tc>
          <w:tcPr>
            <w:tcW w:w="2693" w:type="dxa"/>
            <w:tcBorders>
              <w:top w:val="nil"/>
              <w:left w:val="nil"/>
              <w:bottom w:val="single" w:sz="4" w:space="0" w:color="auto"/>
              <w:right w:val="single" w:sz="4" w:space="0" w:color="auto"/>
            </w:tcBorders>
            <w:shd w:val="clear" w:color="auto" w:fill="C6EFCE"/>
            <w:noWrap/>
          </w:tcPr>
          <w:p w14:paraId="7A416AAF" w14:textId="77777777" w:rsidR="00553430" w:rsidRDefault="00212577">
            <w:pPr>
              <w:pStyle w:val="P68B1DB1-Normal102"/>
              <w:spacing w:line="276" w:lineRule="auto"/>
              <w:rPr>
                <w:noProof/>
              </w:rPr>
            </w:pPr>
            <w:r>
              <w:rPr>
                <w:noProof/>
              </w:rPr>
              <w:t xml:space="preserve"> </w:t>
            </w:r>
          </w:p>
        </w:tc>
        <w:tc>
          <w:tcPr>
            <w:tcW w:w="851" w:type="dxa"/>
            <w:tcBorders>
              <w:top w:val="nil"/>
              <w:left w:val="nil"/>
              <w:bottom w:val="single" w:sz="4" w:space="0" w:color="auto"/>
              <w:right w:val="single" w:sz="4" w:space="0" w:color="auto"/>
            </w:tcBorders>
            <w:shd w:val="clear" w:color="auto" w:fill="C6EFCE"/>
            <w:noWrap/>
          </w:tcPr>
          <w:p w14:paraId="3AA6BE8D" w14:textId="77777777" w:rsidR="00553430" w:rsidRDefault="00212577">
            <w:pPr>
              <w:pStyle w:val="P68B1DB1-Normal102"/>
              <w:spacing w:line="276" w:lineRule="auto"/>
              <w:jc w:val="center"/>
              <w:rPr>
                <w:noProof/>
              </w:rPr>
            </w:pPr>
            <w:r>
              <w:rPr>
                <w:noProof/>
              </w:rPr>
              <w:t>Numéro</w:t>
            </w:r>
          </w:p>
        </w:tc>
        <w:tc>
          <w:tcPr>
            <w:tcW w:w="1134" w:type="dxa"/>
            <w:tcBorders>
              <w:top w:val="nil"/>
              <w:left w:val="nil"/>
              <w:bottom w:val="single" w:sz="4" w:space="0" w:color="auto"/>
              <w:right w:val="single" w:sz="4" w:space="0" w:color="auto"/>
            </w:tcBorders>
            <w:shd w:val="clear" w:color="auto" w:fill="C6EFCE"/>
            <w:noWrap/>
          </w:tcPr>
          <w:p w14:paraId="29E8EE2E" w14:textId="77777777" w:rsidR="00553430" w:rsidRDefault="00212577">
            <w:pPr>
              <w:pStyle w:val="P68B1DB1-Normal102"/>
              <w:spacing w:line="276" w:lineRule="auto"/>
              <w:jc w:val="center"/>
              <w:rPr>
                <w:noProof/>
              </w:rPr>
            </w:pPr>
            <w:r>
              <w:rPr>
                <w:noProof/>
              </w:rPr>
              <w:t>0</w:t>
            </w:r>
          </w:p>
        </w:tc>
        <w:tc>
          <w:tcPr>
            <w:tcW w:w="992" w:type="dxa"/>
            <w:tcBorders>
              <w:top w:val="nil"/>
              <w:left w:val="nil"/>
              <w:bottom w:val="single" w:sz="4" w:space="0" w:color="auto"/>
              <w:right w:val="single" w:sz="4" w:space="0" w:color="auto"/>
            </w:tcBorders>
            <w:shd w:val="clear" w:color="auto" w:fill="C6EFCE"/>
            <w:noWrap/>
          </w:tcPr>
          <w:p w14:paraId="68063513" w14:textId="77777777" w:rsidR="00553430" w:rsidRDefault="00212577">
            <w:pPr>
              <w:pStyle w:val="P68B1DB1-Normal102"/>
              <w:spacing w:line="276" w:lineRule="auto"/>
              <w:jc w:val="center"/>
              <w:rPr>
                <w:noProof/>
              </w:rPr>
            </w:pPr>
            <w:r>
              <w:rPr>
                <w:noProof/>
              </w:rPr>
              <w:t>12</w:t>
            </w:r>
          </w:p>
        </w:tc>
        <w:tc>
          <w:tcPr>
            <w:tcW w:w="957" w:type="dxa"/>
            <w:tcBorders>
              <w:top w:val="nil"/>
              <w:left w:val="nil"/>
              <w:bottom w:val="single" w:sz="4" w:space="0" w:color="auto"/>
              <w:right w:val="single" w:sz="4" w:space="0" w:color="auto"/>
            </w:tcBorders>
            <w:shd w:val="clear" w:color="auto" w:fill="C6EFCE"/>
            <w:noWrap/>
          </w:tcPr>
          <w:p w14:paraId="512EF5FD" w14:textId="77777777" w:rsidR="00553430" w:rsidRDefault="00212577">
            <w:pPr>
              <w:pStyle w:val="P68B1DB1-Normal102"/>
              <w:spacing w:line="276" w:lineRule="auto"/>
              <w:jc w:val="center"/>
              <w:rPr>
                <w:noProof/>
              </w:rPr>
            </w:pPr>
            <w:r>
              <w:rPr>
                <w:noProof/>
              </w:rPr>
              <w:t>T4</w:t>
            </w:r>
          </w:p>
        </w:tc>
        <w:tc>
          <w:tcPr>
            <w:tcW w:w="709" w:type="dxa"/>
            <w:tcBorders>
              <w:top w:val="nil"/>
              <w:left w:val="nil"/>
              <w:bottom w:val="single" w:sz="4" w:space="0" w:color="auto"/>
              <w:right w:val="single" w:sz="4" w:space="0" w:color="auto"/>
            </w:tcBorders>
            <w:shd w:val="clear" w:color="auto" w:fill="C6EFCE"/>
            <w:noWrap/>
          </w:tcPr>
          <w:p w14:paraId="119FCDD2" w14:textId="77777777" w:rsidR="00553430" w:rsidRDefault="00212577">
            <w:pPr>
              <w:pStyle w:val="P68B1DB1-Normal102"/>
              <w:spacing w:line="276" w:lineRule="auto"/>
              <w:jc w:val="center"/>
              <w:rPr>
                <w:noProof/>
              </w:rPr>
            </w:pPr>
            <w:r>
              <w:rPr>
                <w:noProof/>
              </w:rPr>
              <w:t>2024</w:t>
            </w:r>
          </w:p>
        </w:tc>
        <w:tc>
          <w:tcPr>
            <w:tcW w:w="3497" w:type="dxa"/>
            <w:tcBorders>
              <w:top w:val="nil"/>
              <w:left w:val="nil"/>
              <w:bottom w:val="single" w:sz="4" w:space="0" w:color="auto"/>
              <w:right w:val="single" w:sz="4" w:space="0" w:color="auto"/>
            </w:tcBorders>
            <w:shd w:val="clear" w:color="auto" w:fill="C6EFCE"/>
            <w:noWrap/>
          </w:tcPr>
          <w:p w14:paraId="3AA79BC6" w14:textId="77777777" w:rsidR="00553430" w:rsidRDefault="00212577">
            <w:pPr>
              <w:pStyle w:val="P68B1DB1-Normal102"/>
              <w:spacing w:line="276" w:lineRule="auto"/>
              <w:rPr>
                <w:noProof/>
              </w:rPr>
            </w:pPr>
            <w:r>
              <w:rPr>
                <w:noProof/>
              </w:rPr>
              <w:t>Afin d’harmoniser les pratiques de surveillance, d’améliorer l’échange d’expériences et de connaissances entre les aut</w:t>
            </w:r>
            <w:r>
              <w:rPr>
                <w:noProof/>
              </w:rPr>
              <w:t>orités de surveillance et d’échanger des informations, le groupe de travail interinstitutionnel sur la surveillance LBC/FT (MIRS) se réunit au moins 12 fois entre fin 2020 et fin 2024. Le groupe de travail interinstitutionnel sur la surveillance renforce l</w:t>
            </w:r>
            <w:r>
              <w:rPr>
                <w:noProof/>
              </w:rPr>
              <w:t xml:space="preserve">a coopération entre toutes les autorités de surveillance chargées de superviser la mise en œuvre des mesures et actions prévues par la loi sur la lutte contre le blanchiment de capitaux et le financement du terrorisme. En particulier, le groupe de travail </w:t>
            </w:r>
            <w:r>
              <w:rPr>
                <w:noProof/>
              </w:rPr>
              <w:t>interinstitutionnel sur le contrôle contrôle: i) l’échange efficace de données statistiques sur la surveillance continue, ii) l’échange d’expériences en matière de surveillance («meilleures pratiques»), iii) l’échange d’informations sur les irrégularités d</w:t>
            </w:r>
            <w:r>
              <w:rPr>
                <w:noProof/>
              </w:rPr>
              <w:t>étectées dans l’application de la loi, iv) le renforcement et la coordination des activités de surveillance et v) l’échange d’informations sur les plans de surveillance.</w:t>
            </w:r>
          </w:p>
        </w:tc>
      </w:tr>
      <w:tr w:rsidR="00553430" w14:paraId="5C2824B4" w14:textId="77777777">
        <w:trPr>
          <w:jc w:val="center"/>
        </w:trPr>
        <w:tc>
          <w:tcPr>
            <w:tcW w:w="846" w:type="dxa"/>
            <w:tcBorders>
              <w:top w:val="nil"/>
              <w:left w:val="single" w:sz="4" w:space="0" w:color="auto"/>
              <w:bottom w:val="single" w:sz="4" w:space="0" w:color="auto"/>
              <w:right w:val="single" w:sz="4" w:space="0" w:color="auto"/>
            </w:tcBorders>
            <w:shd w:val="clear" w:color="auto" w:fill="C6EFCE"/>
            <w:noWrap/>
          </w:tcPr>
          <w:p w14:paraId="3953FBE3" w14:textId="77777777" w:rsidR="00553430" w:rsidRDefault="00212577">
            <w:pPr>
              <w:pStyle w:val="P68B1DB1-Normal102"/>
              <w:spacing w:line="276" w:lineRule="auto"/>
              <w:jc w:val="center"/>
              <w:rPr>
                <w:noProof/>
              </w:rPr>
            </w:pPr>
            <w:r>
              <w:rPr>
                <w:noProof/>
              </w:rPr>
              <w:t>253</w:t>
            </w:r>
          </w:p>
        </w:tc>
        <w:tc>
          <w:tcPr>
            <w:tcW w:w="992" w:type="dxa"/>
            <w:tcBorders>
              <w:top w:val="nil"/>
              <w:left w:val="nil"/>
              <w:bottom w:val="single" w:sz="4" w:space="0" w:color="auto"/>
              <w:right w:val="single" w:sz="4" w:space="0" w:color="auto"/>
            </w:tcBorders>
            <w:shd w:val="clear" w:color="auto" w:fill="C6EFCE"/>
            <w:noWrap/>
          </w:tcPr>
          <w:p w14:paraId="65F2FB18" w14:textId="77777777" w:rsidR="00553430" w:rsidRDefault="00212577">
            <w:pPr>
              <w:pStyle w:val="P68B1DB1-Normal102"/>
              <w:spacing w:line="276" w:lineRule="auto"/>
              <w:jc w:val="center"/>
              <w:rPr>
                <w:noProof/>
              </w:rPr>
            </w:pPr>
            <w:r>
              <w:rPr>
                <w:noProof/>
              </w:rPr>
              <w:t>C2.8. R3</w:t>
            </w:r>
          </w:p>
        </w:tc>
        <w:tc>
          <w:tcPr>
            <w:tcW w:w="1037" w:type="dxa"/>
            <w:tcBorders>
              <w:top w:val="nil"/>
              <w:left w:val="nil"/>
              <w:bottom w:val="single" w:sz="4" w:space="0" w:color="auto"/>
              <w:right w:val="single" w:sz="4" w:space="0" w:color="auto"/>
            </w:tcBorders>
            <w:shd w:val="clear" w:color="auto" w:fill="C6EFCE"/>
            <w:noWrap/>
          </w:tcPr>
          <w:p w14:paraId="3597BA6F" w14:textId="77777777" w:rsidR="00553430" w:rsidRDefault="00212577">
            <w:pPr>
              <w:pStyle w:val="P68B1DB1-Normal102"/>
              <w:spacing w:line="276" w:lineRule="auto"/>
              <w:jc w:val="center"/>
              <w:rPr>
                <w:noProof/>
              </w:rPr>
            </w:pPr>
            <w:r>
              <w:rPr>
                <w:noProof/>
              </w:rPr>
              <w:t>M</w:t>
            </w:r>
          </w:p>
        </w:tc>
        <w:tc>
          <w:tcPr>
            <w:tcW w:w="1373" w:type="dxa"/>
            <w:tcBorders>
              <w:top w:val="nil"/>
              <w:left w:val="nil"/>
              <w:bottom w:val="single" w:sz="4" w:space="0" w:color="auto"/>
              <w:right w:val="single" w:sz="4" w:space="0" w:color="auto"/>
            </w:tcBorders>
            <w:shd w:val="clear" w:color="auto" w:fill="C6EFCE"/>
            <w:noWrap/>
          </w:tcPr>
          <w:p w14:paraId="18D811B0" w14:textId="77777777" w:rsidR="00553430" w:rsidRDefault="00212577">
            <w:pPr>
              <w:pStyle w:val="P68B1DB1-Normal102"/>
              <w:spacing w:line="276" w:lineRule="auto"/>
              <w:rPr>
                <w:noProof/>
              </w:rPr>
            </w:pPr>
            <w:r>
              <w:rPr>
                <w:noProof/>
              </w:rPr>
              <w:t xml:space="preserve">Achever la mise en œuvre du nouveau plan d'action visant à atténuer </w:t>
            </w:r>
            <w:r>
              <w:rPr>
                <w:noProof/>
              </w:rPr>
              <w:t>les risques identifiés de blanchiment d'argent et de financement du terrorisme sur la base d'une évaluation nationale des risques mise à jour.</w:t>
            </w:r>
          </w:p>
        </w:tc>
        <w:tc>
          <w:tcPr>
            <w:tcW w:w="2693" w:type="dxa"/>
            <w:tcBorders>
              <w:top w:val="nil"/>
              <w:left w:val="nil"/>
              <w:bottom w:val="single" w:sz="4" w:space="0" w:color="auto"/>
              <w:right w:val="single" w:sz="4" w:space="0" w:color="auto"/>
            </w:tcBorders>
            <w:shd w:val="clear" w:color="auto" w:fill="C6EFCE"/>
            <w:noWrap/>
          </w:tcPr>
          <w:p w14:paraId="342B4CDA" w14:textId="77777777" w:rsidR="00553430" w:rsidRDefault="00212577">
            <w:pPr>
              <w:pStyle w:val="P68B1DB1-Normal102"/>
              <w:spacing w:line="276" w:lineRule="auto"/>
              <w:rPr>
                <w:noProof/>
              </w:rPr>
            </w:pPr>
            <w:r>
              <w:rPr>
                <w:noProof/>
              </w:rPr>
              <w:t>Achever la mise en œuvre du nouveau plan d’action visant à atténuer les risques recensés de blanchiment de capita</w:t>
            </w:r>
            <w:r>
              <w:rPr>
                <w:noProof/>
              </w:rPr>
              <w:t xml:space="preserve">ux et de financement du terrorisme en renforçant encore la coopération et l’échange d’informations </w:t>
            </w:r>
          </w:p>
        </w:tc>
        <w:tc>
          <w:tcPr>
            <w:tcW w:w="851" w:type="dxa"/>
            <w:tcBorders>
              <w:top w:val="nil"/>
              <w:left w:val="nil"/>
              <w:bottom w:val="single" w:sz="4" w:space="0" w:color="auto"/>
              <w:right w:val="single" w:sz="4" w:space="0" w:color="auto"/>
            </w:tcBorders>
            <w:shd w:val="clear" w:color="auto" w:fill="C6EFCE"/>
            <w:noWrap/>
          </w:tcPr>
          <w:p w14:paraId="7C301EB5" w14:textId="77777777" w:rsidR="00553430" w:rsidRDefault="00212577">
            <w:pPr>
              <w:pStyle w:val="P68B1DB1-Normal102"/>
              <w:spacing w:line="276" w:lineRule="auto"/>
              <w:jc w:val="center"/>
              <w:rPr>
                <w:noProof/>
              </w:rPr>
            </w:pPr>
            <w:r>
              <w:rPr>
                <w:noProof/>
              </w:rPr>
              <w:t> </w:t>
            </w:r>
          </w:p>
        </w:tc>
        <w:tc>
          <w:tcPr>
            <w:tcW w:w="1134" w:type="dxa"/>
            <w:tcBorders>
              <w:top w:val="nil"/>
              <w:left w:val="nil"/>
              <w:bottom w:val="single" w:sz="4" w:space="0" w:color="auto"/>
              <w:right w:val="single" w:sz="4" w:space="0" w:color="auto"/>
            </w:tcBorders>
            <w:shd w:val="clear" w:color="auto" w:fill="C6EFCE"/>
            <w:noWrap/>
          </w:tcPr>
          <w:p w14:paraId="5D170BF3" w14:textId="77777777" w:rsidR="00553430" w:rsidRDefault="00212577">
            <w:pPr>
              <w:pStyle w:val="P68B1DB1-Normal102"/>
              <w:spacing w:line="276" w:lineRule="auto"/>
              <w:jc w:val="center"/>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58324F67" w14:textId="77777777" w:rsidR="00553430" w:rsidRDefault="00212577">
            <w:pPr>
              <w:pStyle w:val="P68B1DB1-Normal102"/>
              <w:spacing w:line="276" w:lineRule="auto"/>
              <w:jc w:val="center"/>
              <w:rPr>
                <w:noProof/>
              </w:rPr>
            </w:pPr>
            <w:r>
              <w:rPr>
                <w:noProof/>
              </w:rPr>
              <w:t> </w:t>
            </w:r>
          </w:p>
        </w:tc>
        <w:tc>
          <w:tcPr>
            <w:tcW w:w="957" w:type="dxa"/>
            <w:tcBorders>
              <w:top w:val="nil"/>
              <w:left w:val="nil"/>
              <w:bottom w:val="single" w:sz="4" w:space="0" w:color="auto"/>
              <w:right w:val="single" w:sz="4" w:space="0" w:color="auto"/>
            </w:tcBorders>
            <w:shd w:val="clear" w:color="auto" w:fill="C6EFCE"/>
            <w:noWrap/>
          </w:tcPr>
          <w:p w14:paraId="1D1D125D" w14:textId="77777777" w:rsidR="00553430" w:rsidRDefault="00212577">
            <w:pPr>
              <w:pStyle w:val="P68B1DB1-Normal102"/>
              <w:spacing w:line="276" w:lineRule="auto"/>
              <w:jc w:val="center"/>
              <w:rPr>
                <w:noProof/>
              </w:rPr>
            </w:pPr>
            <w:r>
              <w:rPr>
                <w:noProof/>
              </w:rPr>
              <w:t>T4</w:t>
            </w:r>
          </w:p>
        </w:tc>
        <w:tc>
          <w:tcPr>
            <w:tcW w:w="709" w:type="dxa"/>
            <w:tcBorders>
              <w:top w:val="nil"/>
              <w:left w:val="nil"/>
              <w:bottom w:val="single" w:sz="4" w:space="0" w:color="auto"/>
              <w:right w:val="single" w:sz="4" w:space="0" w:color="auto"/>
            </w:tcBorders>
            <w:shd w:val="clear" w:color="auto" w:fill="C6EFCE"/>
            <w:noWrap/>
          </w:tcPr>
          <w:p w14:paraId="7F563B7E" w14:textId="77777777" w:rsidR="00553430" w:rsidRDefault="00212577">
            <w:pPr>
              <w:pStyle w:val="P68B1DB1-Normal102"/>
              <w:spacing w:line="276" w:lineRule="auto"/>
              <w:jc w:val="center"/>
              <w:rPr>
                <w:noProof/>
              </w:rPr>
            </w:pPr>
            <w:r>
              <w:rPr>
                <w:noProof/>
              </w:rPr>
              <w:t>2021</w:t>
            </w:r>
          </w:p>
        </w:tc>
        <w:tc>
          <w:tcPr>
            <w:tcW w:w="3497" w:type="dxa"/>
            <w:tcBorders>
              <w:top w:val="nil"/>
              <w:left w:val="nil"/>
              <w:bottom w:val="single" w:sz="4" w:space="0" w:color="auto"/>
              <w:right w:val="single" w:sz="4" w:space="0" w:color="auto"/>
            </w:tcBorders>
            <w:shd w:val="clear" w:color="auto" w:fill="C6EFCE"/>
            <w:noWrap/>
          </w:tcPr>
          <w:p w14:paraId="2A355C71" w14:textId="77777777" w:rsidR="00553430" w:rsidRDefault="00212577">
            <w:pPr>
              <w:pStyle w:val="P68B1DB1-Normal102"/>
              <w:spacing w:line="276" w:lineRule="auto"/>
              <w:rPr>
                <w:noProof/>
              </w:rPr>
            </w:pPr>
            <w:r>
              <w:rPr>
                <w:noProof/>
              </w:rPr>
              <w:t>Sur la base de l’évaluation nationale des risques de blanchiment de capitaux et de financement du terrorisme en République de Croatie, un plan</w:t>
            </w:r>
            <w:r>
              <w:rPr>
                <w:noProof/>
              </w:rPr>
              <w:t xml:space="preserve"> d’action visant à atténuer les risques recensés de blanchiment de capitaux et de financement du terrorisme est pleinement mis en œuvre au plus tard le 31 décembre 2021. Le plan d’action contient des mesures visant à réduire les risques recensés, le droit </w:t>
            </w:r>
            <w:r>
              <w:rPr>
                <w:noProof/>
              </w:rPr>
              <w:t>public et les autres organismes désignés par les titulaires pour la mise en œuvre des mesures individuelles, ainsi que le délai de mise en œuvre des mesures. Le plan tient compte des risques recensés par les autorités de surveillance (Banque nationale croa</w:t>
            </w:r>
            <w:r>
              <w:rPr>
                <w:noProof/>
              </w:rPr>
              <w:t>te, Inspection financière, Agence croate de surveillance des services financiers), le Bureau de lutte contre le blanchiment de capitaux, le Bureau du procureur de la République de Croatie et les entités soumises à obligations légales (banques et autres). E</w:t>
            </w:r>
            <w:r>
              <w:rPr>
                <w:noProof/>
              </w:rPr>
              <w:t>lle renforce encore la coopération et l'échange d'informations entre toutes les institutions et autorités responsables.</w:t>
            </w:r>
          </w:p>
        </w:tc>
      </w:tr>
      <w:tr w:rsidR="00553430" w14:paraId="12979751" w14:textId="77777777">
        <w:trPr>
          <w:jc w:val="center"/>
        </w:trPr>
        <w:tc>
          <w:tcPr>
            <w:tcW w:w="846" w:type="dxa"/>
            <w:tcBorders>
              <w:top w:val="nil"/>
              <w:left w:val="single" w:sz="4" w:space="0" w:color="auto"/>
              <w:bottom w:val="single" w:sz="4" w:space="0" w:color="auto"/>
              <w:right w:val="single" w:sz="4" w:space="0" w:color="auto"/>
            </w:tcBorders>
            <w:shd w:val="clear" w:color="auto" w:fill="C6EFCE"/>
            <w:noWrap/>
          </w:tcPr>
          <w:p w14:paraId="0B14FC70" w14:textId="77777777" w:rsidR="00553430" w:rsidRDefault="00212577">
            <w:pPr>
              <w:pStyle w:val="P68B1DB1-Normal102"/>
              <w:spacing w:line="276" w:lineRule="auto"/>
              <w:jc w:val="center"/>
              <w:rPr>
                <w:noProof/>
              </w:rPr>
            </w:pPr>
            <w:r>
              <w:rPr>
                <w:noProof/>
              </w:rPr>
              <w:t>254</w:t>
            </w:r>
          </w:p>
        </w:tc>
        <w:tc>
          <w:tcPr>
            <w:tcW w:w="992" w:type="dxa"/>
            <w:tcBorders>
              <w:top w:val="nil"/>
              <w:left w:val="nil"/>
              <w:bottom w:val="single" w:sz="4" w:space="0" w:color="auto"/>
              <w:right w:val="single" w:sz="4" w:space="0" w:color="auto"/>
            </w:tcBorders>
            <w:shd w:val="clear" w:color="auto" w:fill="C6EFCE"/>
            <w:noWrap/>
          </w:tcPr>
          <w:p w14:paraId="3F250F82" w14:textId="77777777" w:rsidR="00553430" w:rsidRDefault="00212577">
            <w:pPr>
              <w:pStyle w:val="P68B1DB1-Normal102"/>
              <w:spacing w:line="276" w:lineRule="auto"/>
              <w:jc w:val="center"/>
              <w:rPr>
                <w:noProof/>
              </w:rPr>
            </w:pPr>
            <w:r>
              <w:rPr>
                <w:noProof/>
              </w:rPr>
              <w:t>C2.8. R4</w:t>
            </w:r>
          </w:p>
        </w:tc>
        <w:tc>
          <w:tcPr>
            <w:tcW w:w="1037" w:type="dxa"/>
            <w:tcBorders>
              <w:top w:val="nil"/>
              <w:left w:val="nil"/>
              <w:bottom w:val="single" w:sz="4" w:space="0" w:color="auto"/>
              <w:right w:val="single" w:sz="4" w:space="0" w:color="auto"/>
            </w:tcBorders>
            <w:shd w:val="clear" w:color="auto" w:fill="C6EFCE"/>
            <w:noWrap/>
          </w:tcPr>
          <w:p w14:paraId="0BD0B842" w14:textId="77777777" w:rsidR="00553430" w:rsidRDefault="00212577">
            <w:pPr>
              <w:pStyle w:val="P68B1DB1-Normal102"/>
              <w:spacing w:line="276" w:lineRule="auto"/>
              <w:jc w:val="center"/>
              <w:rPr>
                <w:noProof/>
              </w:rPr>
            </w:pPr>
            <w:r>
              <w:rPr>
                <w:noProof/>
              </w:rPr>
              <w:t>M</w:t>
            </w:r>
          </w:p>
        </w:tc>
        <w:tc>
          <w:tcPr>
            <w:tcW w:w="1373" w:type="dxa"/>
            <w:tcBorders>
              <w:top w:val="nil"/>
              <w:left w:val="nil"/>
              <w:bottom w:val="single" w:sz="4" w:space="0" w:color="auto"/>
              <w:right w:val="single" w:sz="4" w:space="0" w:color="auto"/>
            </w:tcBorders>
            <w:shd w:val="clear" w:color="auto" w:fill="C6EFCE"/>
            <w:noWrap/>
          </w:tcPr>
          <w:p w14:paraId="61398122" w14:textId="77777777" w:rsidR="00553430" w:rsidRDefault="00212577">
            <w:pPr>
              <w:pStyle w:val="P68B1DB1-Normal102"/>
              <w:spacing w:line="276" w:lineRule="auto"/>
              <w:rPr>
                <w:noProof/>
              </w:rPr>
            </w:pPr>
            <w:r>
              <w:rPr>
                <w:noProof/>
              </w:rPr>
              <w:t>Renforcement de la surveillance du secteur financier</w:t>
            </w:r>
            <w:r>
              <w:rPr>
                <w:noProof/>
              </w:rPr>
              <w:t xml:space="preserve"> sur la base d’une évaluation des risques dans le domaine de la LBC/FT</w:t>
            </w:r>
          </w:p>
        </w:tc>
        <w:tc>
          <w:tcPr>
            <w:tcW w:w="2693" w:type="dxa"/>
            <w:tcBorders>
              <w:top w:val="nil"/>
              <w:left w:val="nil"/>
              <w:bottom w:val="single" w:sz="4" w:space="0" w:color="auto"/>
              <w:right w:val="single" w:sz="4" w:space="0" w:color="auto"/>
            </w:tcBorders>
            <w:shd w:val="clear" w:color="auto" w:fill="C6EFCE"/>
            <w:noWrap/>
          </w:tcPr>
          <w:p w14:paraId="761BE84A" w14:textId="77777777" w:rsidR="00553430" w:rsidRDefault="00212577">
            <w:pPr>
              <w:pStyle w:val="P68B1DB1-Normal102"/>
              <w:spacing w:line="276" w:lineRule="auto"/>
              <w:rPr>
                <w:noProof/>
              </w:rPr>
            </w:pPr>
            <w:r>
              <w:rPr>
                <w:noProof/>
              </w:rPr>
              <w:t>Mise en œuvre intégrale de procédures et de méthodologies renforcées pour la surveillance fondée sur les risques, élaborées dans le cadre du projet de l’instrument d’appui technique (IS</w:t>
            </w:r>
            <w:r>
              <w:rPr>
                <w:noProof/>
              </w:rPr>
              <w:t>T) «Surveillance fondée sur les risques en matière de lutte contre le blanchiment de capitaux et le financement du terrorisme dans le secteur financier en Croatie», afin d’atténuer efficacement les risques recensés de blanchiment de capitaux et de financem</w:t>
            </w:r>
            <w:r>
              <w:rPr>
                <w:noProof/>
              </w:rPr>
              <w:t>ent du terrorisme</w:t>
            </w:r>
          </w:p>
        </w:tc>
        <w:tc>
          <w:tcPr>
            <w:tcW w:w="851" w:type="dxa"/>
            <w:tcBorders>
              <w:top w:val="nil"/>
              <w:left w:val="nil"/>
              <w:bottom w:val="single" w:sz="4" w:space="0" w:color="auto"/>
              <w:right w:val="single" w:sz="4" w:space="0" w:color="auto"/>
            </w:tcBorders>
            <w:shd w:val="clear" w:color="auto" w:fill="C6EFCE"/>
            <w:noWrap/>
          </w:tcPr>
          <w:p w14:paraId="27AB5126" w14:textId="77777777" w:rsidR="00553430" w:rsidRDefault="00212577">
            <w:pPr>
              <w:pStyle w:val="P68B1DB1-Normal102"/>
              <w:spacing w:line="276" w:lineRule="auto"/>
              <w:jc w:val="center"/>
              <w:rPr>
                <w:noProof/>
              </w:rPr>
            </w:pPr>
            <w:r>
              <w:rPr>
                <w:noProof/>
              </w:rPr>
              <w:t> </w:t>
            </w:r>
          </w:p>
        </w:tc>
        <w:tc>
          <w:tcPr>
            <w:tcW w:w="1134" w:type="dxa"/>
            <w:tcBorders>
              <w:top w:val="nil"/>
              <w:left w:val="nil"/>
              <w:bottom w:val="single" w:sz="4" w:space="0" w:color="auto"/>
              <w:right w:val="single" w:sz="4" w:space="0" w:color="auto"/>
            </w:tcBorders>
            <w:shd w:val="clear" w:color="auto" w:fill="C6EFCE"/>
            <w:noWrap/>
          </w:tcPr>
          <w:p w14:paraId="7254F8CA" w14:textId="77777777" w:rsidR="00553430" w:rsidRDefault="00212577">
            <w:pPr>
              <w:pStyle w:val="P68B1DB1-Normal102"/>
              <w:spacing w:line="276" w:lineRule="auto"/>
              <w:jc w:val="center"/>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40D9635B" w14:textId="77777777" w:rsidR="00553430" w:rsidRDefault="00212577">
            <w:pPr>
              <w:pStyle w:val="P68B1DB1-Normal102"/>
              <w:spacing w:line="276" w:lineRule="auto"/>
              <w:jc w:val="center"/>
              <w:rPr>
                <w:noProof/>
              </w:rPr>
            </w:pPr>
            <w:r>
              <w:rPr>
                <w:noProof/>
              </w:rPr>
              <w:t> </w:t>
            </w:r>
          </w:p>
        </w:tc>
        <w:tc>
          <w:tcPr>
            <w:tcW w:w="957" w:type="dxa"/>
            <w:tcBorders>
              <w:top w:val="nil"/>
              <w:left w:val="nil"/>
              <w:bottom w:val="single" w:sz="4" w:space="0" w:color="auto"/>
              <w:right w:val="single" w:sz="4" w:space="0" w:color="auto"/>
            </w:tcBorders>
            <w:shd w:val="clear" w:color="auto" w:fill="C6EFCE"/>
            <w:noWrap/>
          </w:tcPr>
          <w:p w14:paraId="6EC56B34" w14:textId="77777777" w:rsidR="00553430" w:rsidRDefault="00212577">
            <w:pPr>
              <w:pStyle w:val="P68B1DB1-Normal102"/>
              <w:spacing w:line="276" w:lineRule="auto"/>
              <w:jc w:val="center"/>
              <w:rPr>
                <w:noProof/>
              </w:rPr>
            </w:pPr>
            <w:r>
              <w:rPr>
                <w:noProof/>
              </w:rPr>
              <w:t>T4</w:t>
            </w:r>
          </w:p>
        </w:tc>
        <w:tc>
          <w:tcPr>
            <w:tcW w:w="709" w:type="dxa"/>
            <w:tcBorders>
              <w:top w:val="nil"/>
              <w:left w:val="nil"/>
              <w:bottom w:val="single" w:sz="4" w:space="0" w:color="auto"/>
              <w:right w:val="single" w:sz="4" w:space="0" w:color="auto"/>
            </w:tcBorders>
            <w:shd w:val="clear" w:color="auto" w:fill="C6EFCE"/>
            <w:noWrap/>
          </w:tcPr>
          <w:p w14:paraId="26AE9F3B" w14:textId="77777777" w:rsidR="00553430" w:rsidRDefault="00212577">
            <w:pPr>
              <w:pStyle w:val="P68B1DB1-Normal102"/>
              <w:spacing w:line="276" w:lineRule="auto"/>
              <w:jc w:val="center"/>
              <w:rPr>
                <w:noProof/>
              </w:rPr>
            </w:pPr>
            <w:r>
              <w:rPr>
                <w:noProof/>
              </w:rPr>
              <w:t>2023</w:t>
            </w:r>
          </w:p>
        </w:tc>
        <w:tc>
          <w:tcPr>
            <w:tcW w:w="3497" w:type="dxa"/>
            <w:tcBorders>
              <w:top w:val="nil"/>
              <w:left w:val="nil"/>
              <w:bottom w:val="single" w:sz="4" w:space="0" w:color="auto"/>
              <w:right w:val="single" w:sz="4" w:space="0" w:color="auto"/>
            </w:tcBorders>
            <w:shd w:val="clear" w:color="auto" w:fill="C6EFCE"/>
            <w:noWrap/>
          </w:tcPr>
          <w:p w14:paraId="141F5F4C" w14:textId="77777777" w:rsidR="00553430" w:rsidRDefault="00212577">
            <w:pPr>
              <w:pStyle w:val="P68B1DB1-Normal102"/>
              <w:spacing w:line="276" w:lineRule="auto"/>
              <w:rPr>
                <w:noProof/>
              </w:rPr>
            </w:pPr>
            <w:r>
              <w:rPr>
                <w:noProof/>
              </w:rPr>
              <w:t>Les autorités prennent des mesures, si nécessaire en adoptant une législation, pour renforcer la surveillance du secteur financier, sur la base d’une évaluation des risques réalisée par la Banque nationale croate et l’Agence</w:t>
            </w:r>
            <w:r>
              <w:rPr>
                <w:noProof/>
              </w:rPr>
              <w:t xml:space="preserve"> croate de surveillance des services financiers et en utilisant une approche fondée sur les risques élaborée conformément aux résultats de l’assistance technique fournie au titre de l’instrument d’appui technique. Les actions renforcent les capacités insti</w:t>
            </w:r>
            <w:r>
              <w:rPr>
                <w:noProof/>
              </w:rPr>
              <w:t>tutionnelles et administratives et contribuent à améliorer l’efficacité de l’ensemble du système de prévention de la lutte contre le blanchiment de capitaux et le financement du terrorisme en Croatie et, à terme, à améliorer le cadre global de lutte contre</w:t>
            </w:r>
            <w:r>
              <w:rPr>
                <w:noProof/>
              </w:rPr>
              <w:t xml:space="preserve"> le blanchiment de capitaux en Croatie.</w:t>
            </w:r>
          </w:p>
        </w:tc>
      </w:tr>
    </w:tbl>
    <w:p w14:paraId="5C94B473" w14:textId="77777777" w:rsidR="00553430" w:rsidRDefault="00553430">
      <w:pPr>
        <w:rPr>
          <w:noProof/>
        </w:rPr>
        <w:sectPr w:rsidR="00553430" w:rsidSect="00FA29B2">
          <w:headerReference w:type="even" r:id="rId261"/>
          <w:headerReference w:type="default" r:id="rId262"/>
          <w:footerReference w:type="even" r:id="rId263"/>
          <w:footerReference w:type="default" r:id="rId264"/>
          <w:headerReference w:type="first" r:id="rId265"/>
          <w:footerReference w:type="first" r:id="rId266"/>
          <w:pgSz w:w="16839" w:h="11907" w:orient="landscape"/>
          <w:pgMar w:top="1134" w:right="1134" w:bottom="1134" w:left="1134" w:header="567" w:footer="567" w:gutter="0"/>
          <w:cols w:space="708"/>
          <w:docGrid w:linePitch="360"/>
        </w:sectPr>
      </w:pPr>
    </w:p>
    <w:p w14:paraId="4FDB7831" w14:textId="77777777" w:rsidR="00553430" w:rsidRDefault="00212577">
      <w:pPr>
        <w:pStyle w:val="P68B1DB1-Normal111"/>
        <w:keepNext/>
        <w:tabs>
          <w:tab w:val="left" w:pos="850"/>
        </w:tabs>
        <w:spacing w:before="360" w:line="276" w:lineRule="auto"/>
        <w:ind w:left="850" w:firstLine="1"/>
        <w:jc w:val="both"/>
        <w:outlineLvl w:val="0"/>
        <w:rPr>
          <w:noProof/>
        </w:rPr>
      </w:pPr>
      <w:r>
        <w:rPr>
          <w:noProof/>
        </w:rPr>
        <w:t>O. Élément 2.9: RENFORCEMENT DU CADRE DE MARCHÉS PUBLICS</w:t>
      </w:r>
    </w:p>
    <w:p w14:paraId="319ED687" w14:textId="7A163451" w:rsidR="00553430" w:rsidRDefault="00212577">
      <w:pPr>
        <w:pStyle w:val="P68B1DB1-Text1112"/>
        <w:spacing w:line="276" w:lineRule="auto"/>
        <w:ind w:left="0"/>
        <w:jc w:val="both"/>
        <w:rPr>
          <w:noProof/>
        </w:rPr>
      </w:pPr>
      <w:r>
        <w:rPr>
          <w:noProof/>
        </w:rPr>
        <w:t>Afin de renforcer le cadre des marchés publics et de l’aligner sur les meilleures pratiques de</w:t>
      </w:r>
      <w:r>
        <w:rPr>
          <w:noProof/>
        </w:rPr>
        <w:t xml:space="preserve"> l’UE, ce volet du plan croate pour la reprise et la résilience comprend des mesures visant à améliorer le système de formation aux marchés publics, à renforcer le système de réexamen par l’introduction de recours électroniques obligatoires et à encourager</w:t>
      </w:r>
      <w:r>
        <w:rPr>
          <w:noProof/>
        </w:rPr>
        <w:t xml:space="preserve"> le recours à des marchés publics innovants. Le système renforcé de passation des marchés publics contribue, </w:t>
      </w:r>
      <w:r>
        <w:rPr>
          <w:i/>
          <w:noProof/>
        </w:rPr>
        <w:t>entre autres,</w:t>
      </w:r>
      <w:r>
        <w:rPr>
          <w:noProof/>
        </w:rPr>
        <w:t xml:space="preserve"> à la lutte contre la corruption et conduit à une meilleure absorption des fonds de l’Union, ce qui devrait améliorer l’environnement </w:t>
      </w:r>
      <w:r>
        <w:rPr>
          <w:noProof/>
        </w:rPr>
        <w:t xml:space="preserve">des entreprises, accroître les investissements privés, la productivité et créer de nouveaux emplois. </w:t>
      </w:r>
    </w:p>
    <w:p w14:paraId="3598D402" w14:textId="3AF7F57A" w:rsidR="00553430" w:rsidRDefault="00212577">
      <w:pPr>
        <w:pStyle w:val="P68B1DB1-Text1112"/>
        <w:spacing w:line="276" w:lineRule="auto"/>
        <w:ind w:left="0"/>
        <w:jc w:val="both"/>
        <w:rPr>
          <w:noProof/>
        </w:rPr>
      </w:pPr>
      <w:r>
        <w:rPr>
          <w:noProof/>
        </w:rPr>
        <w:t>Ce volet comprend trois réformes et un investissement visant à renforcer la transparence et l'efficacité du système de passation des marchés publics en Cr</w:t>
      </w:r>
      <w:r>
        <w:rPr>
          <w:noProof/>
        </w:rPr>
        <w:t xml:space="preserve">oatie. Elles contribuent également à renforcer la prévention de la corruption, en particulier au niveau local (recommandation 2019) et à améliorer les capacités et l’efficacité de l’administration publique croate (recommandation 2020). </w:t>
      </w:r>
    </w:p>
    <w:p w14:paraId="430A17D5" w14:textId="77777777" w:rsidR="00553430" w:rsidRDefault="00212577">
      <w:pPr>
        <w:pStyle w:val="P68B1DB1-Normal113"/>
        <w:keepNext/>
        <w:spacing w:before="40" w:after="0" w:line="276" w:lineRule="auto"/>
        <w:ind w:left="851"/>
        <w:jc w:val="both"/>
        <w:outlineLvl w:val="1"/>
        <w:rPr>
          <w:noProof/>
        </w:rPr>
      </w:pPr>
      <w:r>
        <w:rPr>
          <w:noProof/>
        </w:rPr>
        <w:t xml:space="preserve">O.1. </w:t>
      </w:r>
      <w:r>
        <w:rPr>
          <w:noProof/>
        </w:rPr>
        <w:tab/>
        <w:t>Description d</w:t>
      </w:r>
      <w:r>
        <w:rPr>
          <w:noProof/>
        </w:rPr>
        <w:t>es réformes et des investissements pour le soutien financier non remboursable</w:t>
      </w:r>
    </w:p>
    <w:p w14:paraId="75412EAD" w14:textId="77777777" w:rsidR="00553430" w:rsidRDefault="00553430">
      <w:pPr>
        <w:keepNext/>
        <w:spacing w:line="276" w:lineRule="auto"/>
        <w:ind w:left="850"/>
        <w:jc w:val="both"/>
        <w:rPr>
          <w:rFonts w:ascii="Times New Roman" w:hAnsi="Times New Roman" w:cs="Times New Roman"/>
          <w:noProof/>
          <w:sz w:val="24"/>
          <w:szCs w:val="24"/>
          <w:u w:val="single"/>
        </w:rPr>
      </w:pPr>
    </w:p>
    <w:p w14:paraId="60A89D0E" w14:textId="77777777" w:rsidR="00553430" w:rsidRDefault="00212577">
      <w:pPr>
        <w:pStyle w:val="P68B1DB1-Normal81"/>
        <w:keepNext/>
        <w:spacing w:line="276" w:lineRule="auto"/>
        <w:ind w:left="850"/>
        <w:jc w:val="both"/>
        <w:rPr>
          <w:noProof/>
        </w:rPr>
      </w:pPr>
      <w:r>
        <w:rPr>
          <w:noProof/>
        </w:rPr>
        <w:t xml:space="preserve">Réforme C2.9 R1 - Formation continue aux marchés publics </w:t>
      </w:r>
    </w:p>
    <w:p w14:paraId="3F9E05D1" w14:textId="77777777" w:rsidR="00553430" w:rsidRDefault="00212577">
      <w:pPr>
        <w:pStyle w:val="P68B1DB1-Normal46"/>
        <w:spacing w:line="276" w:lineRule="auto"/>
        <w:jc w:val="both"/>
        <w:rPr>
          <w:noProof/>
        </w:rPr>
      </w:pPr>
      <w:r>
        <w:rPr>
          <w:noProof/>
        </w:rPr>
        <w:t xml:space="preserve">L’objectif de la réforme est d’améliorer le système de formation aux marchés publics en développant de nouveaux outils </w:t>
      </w:r>
      <w:r>
        <w:rPr>
          <w:noProof/>
        </w:rPr>
        <w:t>permettant d’acquérir des connaissances théoriques et pratiques, des aptitudes et des compétences professionnelles pour une mise en œuvre professionnelle, rentable, efficiente et efficace des procédures de passation de marchés publics à tous les niveaux. E</w:t>
      </w:r>
      <w:r>
        <w:rPr>
          <w:noProof/>
        </w:rPr>
        <w:t>lle s’appuie sur une approche globale visant à renforcer la compétitivité des parties prenantes dans le système de passation des marchés publics en intégrant les résultats de l’analyse de la charge de travail dans le cadre de l’action d’investissement C2.9</w:t>
      </w:r>
      <w:r>
        <w:rPr>
          <w:noProof/>
        </w:rPr>
        <w:t>.R1-I1. En particulier, l’analyse définit les besoins de formation continue et planifiée des principaux agents des marchés publics sur la base de la matrice de compétences définissant 30 compétences et aptitudes.</w:t>
      </w:r>
    </w:p>
    <w:p w14:paraId="2C51F3B3" w14:textId="77777777" w:rsidR="00553430" w:rsidRDefault="00212577">
      <w:pPr>
        <w:pStyle w:val="P68B1DB1-Normal46"/>
        <w:spacing w:line="276" w:lineRule="auto"/>
        <w:jc w:val="both"/>
        <w:rPr>
          <w:noProof/>
        </w:rPr>
      </w:pPr>
      <w:r>
        <w:rPr>
          <w:noProof/>
        </w:rPr>
        <w:t xml:space="preserve">En outre, le cadre européen de compétences </w:t>
      </w:r>
      <w:r>
        <w:rPr>
          <w:noProof/>
        </w:rPr>
        <w:t>pour les professionnels des marchés publics ProcurCompEU, qui sert de cadre de référence commun pour les praticiens des marchés publics, est introduit dans le système de formation croate au plus tard le 31 décembre 2023. Premièrement, pour les individus, l</w:t>
      </w:r>
      <w:r>
        <w:rPr>
          <w:noProof/>
        </w:rPr>
        <w:t>e cadre facilite l'identification et la conception des compétences personnelles et professionnelles. Deuxièmement, les entités adjudicatrices l’utilisent pour évaluer et améliorer l’efficacité des marchés publics dans leur organisation. Enfin, les prestata</w:t>
      </w:r>
      <w:r>
        <w:rPr>
          <w:noProof/>
        </w:rPr>
        <w:t xml:space="preserve">ires de formation dans le domaine des marchés publics doivent pouvoir utiliser le cadre ProcurCompEU pour élaborer des programmes complets d’apprentissage et de formation. </w:t>
      </w:r>
    </w:p>
    <w:p w14:paraId="5EFEEC86" w14:textId="77777777" w:rsidR="00553430" w:rsidRDefault="00212577">
      <w:pPr>
        <w:pStyle w:val="P68B1DB1-Normal46"/>
        <w:spacing w:line="276" w:lineRule="auto"/>
        <w:jc w:val="both"/>
        <w:rPr>
          <w:noProof/>
        </w:rPr>
      </w:pPr>
      <w:r>
        <w:rPr>
          <w:noProof/>
        </w:rPr>
        <w:t>Troisièmement, les programmes de formation générale, qui seront également ouverts a</w:t>
      </w:r>
      <w:r>
        <w:rPr>
          <w:noProof/>
        </w:rPr>
        <w:t>ux soumissionnaires, augmenteront le niveau de connaissances et de compétences des soumissionnaires dans la conduite des procédures de passation de marchés publics, améliorant ainsi le niveau de participation et de succès des PME dans les marchés publics.</w:t>
      </w:r>
    </w:p>
    <w:p w14:paraId="74C4A9FE" w14:textId="77777777" w:rsidR="00553430" w:rsidRDefault="00212577">
      <w:pPr>
        <w:pStyle w:val="P68B1DB1-Normal46"/>
        <w:spacing w:line="276" w:lineRule="auto"/>
        <w:jc w:val="both"/>
        <w:rPr>
          <w:noProof/>
        </w:rPr>
      </w:pPr>
      <w:r>
        <w:rPr>
          <w:noProof/>
        </w:rPr>
        <w:t>Cette réforme est achevée au plus tard le 31 décembre 2023.</w:t>
      </w:r>
    </w:p>
    <w:p w14:paraId="37BA62E5" w14:textId="77777777" w:rsidR="00553430" w:rsidRDefault="00553430">
      <w:pPr>
        <w:rPr>
          <w:rFonts w:ascii="Times New Roman" w:hAnsi="Times New Roman" w:cs="Times New Roman"/>
          <w:noProof/>
          <w:sz w:val="24"/>
          <w:szCs w:val="24"/>
        </w:rPr>
      </w:pPr>
    </w:p>
    <w:p w14:paraId="0470BB25" w14:textId="77777777" w:rsidR="00553430" w:rsidRDefault="00212577">
      <w:pPr>
        <w:pStyle w:val="P68B1DB1-Normal46"/>
        <w:tabs>
          <w:tab w:val="left" w:pos="5910"/>
        </w:tabs>
        <w:rPr>
          <w:noProof/>
        </w:rPr>
      </w:pPr>
      <w:r>
        <w:rPr>
          <w:noProof/>
        </w:rPr>
        <w:tab/>
      </w:r>
    </w:p>
    <w:p w14:paraId="73C826A5" w14:textId="77777777" w:rsidR="00553430" w:rsidRDefault="00212577">
      <w:pPr>
        <w:pStyle w:val="P68B1DB1-Normal81"/>
        <w:keepNext/>
        <w:spacing w:line="276" w:lineRule="auto"/>
        <w:ind w:left="850"/>
        <w:jc w:val="both"/>
        <w:rPr>
          <w:noProof/>
        </w:rPr>
      </w:pPr>
      <w:r>
        <w:rPr>
          <w:noProof/>
        </w:rPr>
        <w:t>Investissement C2.9 R1-I1 - Analyse de la charge de travail des employés des institutions clés dans le système de passation des marchés publics</w:t>
      </w:r>
    </w:p>
    <w:p w14:paraId="607F8E96" w14:textId="77777777" w:rsidR="00553430" w:rsidRDefault="00212577">
      <w:pPr>
        <w:pStyle w:val="P68B1DB1-Text1112"/>
        <w:spacing w:line="276" w:lineRule="auto"/>
        <w:ind w:left="0"/>
        <w:rPr>
          <w:noProof/>
        </w:rPr>
      </w:pPr>
      <w:r>
        <w:rPr>
          <w:noProof/>
        </w:rPr>
        <w:t>Cet investissement fournira une analyse de la charge de travail afin de déterminer le nombre d’acteurs, les compétences requises du personnel et les améliorations à apporter au système de rémunération. La mise en œuvre de la recommandation de l’analyse dev</w:t>
      </w:r>
      <w:r>
        <w:rPr>
          <w:noProof/>
        </w:rPr>
        <w:t>rait permettre d’atteindre et de maintenir un nombre optimal de personnel hautement qualifié et motivé, capable de répondre aux besoins des principales institutions chargées des marchés publics.</w:t>
      </w:r>
    </w:p>
    <w:p w14:paraId="188DFA12" w14:textId="77777777" w:rsidR="00553430" w:rsidRDefault="00212577">
      <w:pPr>
        <w:pStyle w:val="P68B1DB1-Text1112"/>
        <w:spacing w:line="276" w:lineRule="auto"/>
        <w:ind w:left="0"/>
        <w:rPr>
          <w:noProof/>
        </w:rPr>
      </w:pPr>
      <w:r>
        <w:rPr>
          <w:noProof/>
        </w:rPr>
        <w:t>La mesure comprend:</w:t>
      </w:r>
    </w:p>
    <w:p w14:paraId="19BF3565" w14:textId="77777777" w:rsidR="00553430" w:rsidRDefault="00212577">
      <w:pPr>
        <w:pStyle w:val="P68B1DB1-Text1112"/>
        <w:numPr>
          <w:ilvl w:val="0"/>
          <w:numId w:val="68"/>
        </w:numPr>
        <w:spacing w:line="276" w:lineRule="auto"/>
        <w:ind w:left="720"/>
        <w:jc w:val="both"/>
        <w:rPr>
          <w:noProof/>
        </w:rPr>
      </w:pPr>
      <w:r>
        <w:rPr>
          <w:noProof/>
        </w:rPr>
        <w:t>l’analyse de la charge de travail dans le</w:t>
      </w:r>
      <w:r>
        <w:rPr>
          <w:noProof/>
        </w:rPr>
        <w:t>s organismes de passation des marchés publics, incluse dans la gestion des fonds de l’UE;</w:t>
      </w:r>
    </w:p>
    <w:p w14:paraId="577027A6" w14:textId="77777777" w:rsidR="00553430" w:rsidRDefault="00212577">
      <w:pPr>
        <w:pStyle w:val="P68B1DB1-Text1112"/>
        <w:numPr>
          <w:ilvl w:val="0"/>
          <w:numId w:val="68"/>
        </w:numPr>
        <w:spacing w:line="276" w:lineRule="auto"/>
        <w:ind w:left="720"/>
        <w:jc w:val="both"/>
        <w:rPr>
          <w:noProof/>
        </w:rPr>
      </w:pPr>
      <w:r>
        <w:rPr>
          <w:noProof/>
        </w:rPr>
        <w:t>la description des tâches qu'ils accomplissent;</w:t>
      </w:r>
    </w:p>
    <w:p w14:paraId="04AE01D8" w14:textId="77777777" w:rsidR="00553430" w:rsidRDefault="00212577">
      <w:pPr>
        <w:pStyle w:val="P68B1DB1-Text1112"/>
        <w:numPr>
          <w:ilvl w:val="0"/>
          <w:numId w:val="68"/>
        </w:numPr>
        <w:spacing w:line="276" w:lineRule="auto"/>
        <w:ind w:left="720"/>
        <w:jc w:val="both"/>
        <w:rPr>
          <w:noProof/>
        </w:rPr>
      </w:pPr>
      <w:r>
        <w:rPr>
          <w:noProof/>
        </w:rPr>
        <w:t>la définition des compétences requises.</w:t>
      </w:r>
    </w:p>
    <w:p w14:paraId="22897C95" w14:textId="77777777" w:rsidR="00553430" w:rsidRDefault="00212577">
      <w:pPr>
        <w:pStyle w:val="P68B1DB1-Text1112"/>
        <w:spacing w:line="276" w:lineRule="auto"/>
        <w:ind w:left="0"/>
        <w:rPr>
          <w:noProof/>
        </w:rPr>
      </w:pPr>
      <w:r>
        <w:rPr>
          <w:noProof/>
        </w:rPr>
        <w:t>L’analyse de la charge de travail est fondée sur des données historiques relat</w:t>
      </w:r>
      <w:r>
        <w:rPr>
          <w:noProof/>
        </w:rPr>
        <w:t>ives à la charge de travail, en tenant également compte de l’évolution attendue de la charge de travail, y compris des besoins de formation continue et planifiée du personnel sur des sujets spécifiques liés aux marchés publics, tels que les marchés publics</w:t>
      </w:r>
      <w:r>
        <w:rPr>
          <w:noProof/>
        </w:rPr>
        <w:t xml:space="preserve"> stratégiques, socialement responsables et durables, les marchés publics innovants et l’accès des PME à ce marché public. </w:t>
      </w:r>
    </w:p>
    <w:p w14:paraId="0F7D340D" w14:textId="77777777" w:rsidR="00553430" w:rsidRDefault="00212577">
      <w:pPr>
        <w:pStyle w:val="P68B1DB1-Text1112"/>
        <w:spacing w:line="276" w:lineRule="auto"/>
        <w:ind w:left="0"/>
        <w:rPr>
          <w:noProof/>
        </w:rPr>
      </w:pPr>
      <w:r>
        <w:rPr>
          <w:noProof/>
        </w:rPr>
        <w:t xml:space="preserve">Les résultats de l'analyse seront utilisés pour définir les besoins de formation continue et planifiée du personnel des institutions </w:t>
      </w:r>
      <w:r>
        <w:rPr>
          <w:noProof/>
        </w:rPr>
        <w:t>clés dans le système de passation des marchés publics (MINGOR - Ministère de l'économie et du développement durable, SAFU - Agence centrale des finances et des contrats, et DKOM - Commission nationale de surveillance des marchés publics).</w:t>
      </w:r>
    </w:p>
    <w:p w14:paraId="51429AFB" w14:textId="77777777" w:rsidR="00553430" w:rsidRDefault="00212577">
      <w:pPr>
        <w:pStyle w:val="P68B1DB1-Text1112"/>
        <w:spacing w:line="276" w:lineRule="auto"/>
        <w:ind w:left="0"/>
        <w:rPr>
          <w:noProof/>
        </w:rPr>
      </w:pPr>
      <w:r>
        <w:rPr>
          <w:noProof/>
        </w:rPr>
        <w:t xml:space="preserve">Cette mesure est </w:t>
      </w:r>
      <w:r>
        <w:rPr>
          <w:noProof/>
        </w:rPr>
        <w:t>achevée au plus tard le 30 septembre 2022.</w:t>
      </w:r>
    </w:p>
    <w:p w14:paraId="03407B3C" w14:textId="77777777" w:rsidR="00553430" w:rsidRDefault="00212577">
      <w:pPr>
        <w:pStyle w:val="P68B1DB1-Normal81"/>
        <w:keepNext/>
        <w:spacing w:line="276" w:lineRule="auto"/>
        <w:ind w:left="850"/>
        <w:jc w:val="both"/>
        <w:rPr>
          <w:noProof/>
        </w:rPr>
      </w:pPr>
      <w:r>
        <w:rPr>
          <w:noProof/>
        </w:rPr>
        <w:t xml:space="preserve">Réforme C2.9 R2 - Renforcement du système de réexamen dans le domaine des marchés publics </w:t>
      </w:r>
    </w:p>
    <w:p w14:paraId="5BC45D6D" w14:textId="77777777" w:rsidR="00553430" w:rsidRDefault="00212577">
      <w:pPr>
        <w:pStyle w:val="P68B1DB1-Text1112"/>
        <w:spacing w:line="276" w:lineRule="auto"/>
        <w:ind w:left="0"/>
        <w:rPr>
          <w:noProof/>
        </w:rPr>
      </w:pPr>
      <w:r>
        <w:rPr>
          <w:noProof/>
        </w:rPr>
        <w:t>L’objectif de la réforme est de contribuer à la réduction de la charge administrative liée au système de réexamen et de co</w:t>
      </w:r>
      <w:r>
        <w:rPr>
          <w:noProof/>
        </w:rPr>
        <w:t>ntribuer à la lutte contre la corruption en réduisant le délai moyen de recours et en rendant les recours électroniques obligatoires.</w:t>
      </w:r>
    </w:p>
    <w:p w14:paraId="1740F405" w14:textId="77777777" w:rsidR="00553430" w:rsidRDefault="00212577">
      <w:pPr>
        <w:pStyle w:val="P68B1DB1-Text1112"/>
        <w:spacing w:line="276" w:lineRule="auto"/>
        <w:ind w:left="0"/>
        <w:rPr>
          <w:noProof/>
        </w:rPr>
      </w:pPr>
      <w:r>
        <w:rPr>
          <w:noProof/>
        </w:rPr>
        <w:t>La réforme consiste à modifier le cadre législatif des marchés publics afin d’introduire le recours électronique en tant q</w:t>
      </w:r>
      <w:r>
        <w:rPr>
          <w:noProof/>
        </w:rPr>
        <w:t>u’outil obligatoire dans le système de passation des marchés publics et de réduire le délai moyen de traitement des recours.</w:t>
      </w:r>
    </w:p>
    <w:p w14:paraId="31DE30FE" w14:textId="77777777" w:rsidR="00553430" w:rsidRDefault="00212577">
      <w:pPr>
        <w:pStyle w:val="P68B1DB1-Text1114"/>
        <w:keepNext/>
        <w:spacing w:line="276" w:lineRule="auto"/>
        <w:ind w:left="720" w:firstLine="120"/>
        <w:rPr>
          <w:noProof/>
        </w:rPr>
      </w:pPr>
      <w:r>
        <w:rPr>
          <w:noProof/>
        </w:rPr>
        <w:t>Réforme C2.9 R3 - Achats innovants</w:t>
      </w:r>
    </w:p>
    <w:p w14:paraId="340A5D8F" w14:textId="77777777" w:rsidR="00553430" w:rsidRDefault="00212577">
      <w:pPr>
        <w:pStyle w:val="P68B1DB1-Text1112"/>
        <w:spacing w:line="276" w:lineRule="auto"/>
        <w:ind w:left="0"/>
        <w:rPr>
          <w:noProof/>
        </w:rPr>
      </w:pPr>
      <w:r>
        <w:rPr>
          <w:noProof/>
        </w:rPr>
        <w:t>L'objectif de la réforme est d'accroître le recours aux marchés publics de l'innovation en Croat</w:t>
      </w:r>
      <w:r>
        <w:rPr>
          <w:noProof/>
        </w:rPr>
        <w:t xml:space="preserve">ie. </w:t>
      </w:r>
    </w:p>
    <w:p w14:paraId="0CB41643" w14:textId="77777777" w:rsidR="00553430" w:rsidRDefault="00212577">
      <w:pPr>
        <w:pStyle w:val="P68B1DB1-Text1112"/>
        <w:spacing w:line="276" w:lineRule="auto"/>
        <w:ind w:left="0"/>
        <w:rPr>
          <w:noProof/>
        </w:rPr>
      </w:pPr>
      <w:r>
        <w:rPr>
          <w:noProof/>
        </w:rPr>
        <w:t xml:space="preserve">Cette mesure comprend l’élaboration et la mise en œuvre d’un programme de formation sur les marchés publics d’innovation à l’intention des acheteurs publics en Croatie. </w:t>
      </w:r>
    </w:p>
    <w:p w14:paraId="73C6BD9C" w14:textId="77777777" w:rsidR="00553430" w:rsidRDefault="00553430">
      <w:pPr>
        <w:rPr>
          <w:noProof/>
        </w:rPr>
        <w:sectPr w:rsidR="00553430" w:rsidSect="00FA29B2">
          <w:headerReference w:type="even" r:id="rId267"/>
          <w:headerReference w:type="default" r:id="rId268"/>
          <w:footerReference w:type="even" r:id="rId269"/>
          <w:footerReference w:type="default" r:id="rId270"/>
          <w:headerReference w:type="first" r:id="rId271"/>
          <w:footerReference w:type="first" r:id="rId272"/>
          <w:pgSz w:w="11906" w:h="16838"/>
          <w:pgMar w:top="1134" w:right="1134" w:bottom="1134" w:left="1134" w:header="567" w:footer="567" w:gutter="0"/>
          <w:cols w:space="708"/>
          <w:docGrid w:linePitch="360"/>
        </w:sectPr>
      </w:pPr>
    </w:p>
    <w:p w14:paraId="2A650F7F" w14:textId="77777777" w:rsidR="00553430" w:rsidRDefault="00212577">
      <w:pPr>
        <w:pStyle w:val="P68B1DB1-Normal113"/>
        <w:keepNext/>
        <w:tabs>
          <w:tab w:val="num" w:pos="426"/>
        </w:tabs>
        <w:spacing w:before="40" w:after="0"/>
        <w:ind w:left="284" w:firstLine="567"/>
        <w:jc w:val="both"/>
        <w:outlineLvl w:val="1"/>
        <w:rPr>
          <w:noProof/>
        </w:rPr>
      </w:pPr>
      <w:r>
        <w:rPr>
          <w:noProof/>
        </w:rPr>
        <w:t xml:space="preserve">O.2. </w:t>
      </w:r>
      <w:r>
        <w:rPr>
          <w:noProof/>
        </w:rPr>
        <w:tab/>
        <w:t xml:space="preserve">Étapes, </w:t>
      </w:r>
      <w:r>
        <w:rPr>
          <w:noProof/>
        </w:rPr>
        <w:t>cibles, indicateurs et calendrier pour le suivi et la mise en œuvre du soutien financier non remboursable</w:t>
      </w:r>
    </w:p>
    <w:p w14:paraId="02103E80" w14:textId="77777777" w:rsidR="00553430" w:rsidRDefault="00553430">
      <w:pPr>
        <w:keepNext/>
        <w:tabs>
          <w:tab w:val="num" w:pos="850"/>
        </w:tabs>
        <w:spacing w:before="40" w:after="0"/>
        <w:ind w:left="851"/>
        <w:jc w:val="both"/>
        <w:outlineLvl w:val="1"/>
        <w:rPr>
          <w:rFonts w:eastAsiaTheme="minorEastAsia"/>
          <w:b/>
          <w:noProof/>
          <w:szCs w:val="24"/>
          <w:u w:val="single"/>
        </w:rPr>
      </w:pPr>
    </w:p>
    <w:tbl>
      <w:tblPr>
        <w:tblW w:w="15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49"/>
        <w:gridCol w:w="1200"/>
        <w:gridCol w:w="1080"/>
        <w:gridCol w:w="1800"/>
        <w:gridCol w:w="1808"/>
        <w:gridCol w:w="1096"/>
        <w:gridCol w:w="966"/>
        <w:gridCol w:w="927"/>
        <w:gridCol w:w="893"/>
        <w:gridCol w:w="960"/>
        <w:gridCol w:w="4347"/>
      </w:tblGrid>
      <w:tr w:rsidR="00553430" w14:paraId="0319138C" w14:textId="77777777">
        <w:trPr>
          <w:trHeight w:val="635"/>
          <w:tblHeader/>
          <w:jc w:val="center"/>
        </w:trPr>
        <w:tc>
          <w:tcPr>
            <w:tcW w:w="849" w:type="dxa"/>
            <w:vMerge w:val="restart"/>
            <w:shd w:val="clear" w:color="auto" w:fill="BDD7EE"/>
            <w:vAlign w:val="center"/>
            <w:hideMark/>
          </w:tcPr>
          <w:p w14:paraId="443A734A" w14:textId="77777777" w:rsidR="00553430" w:rsidRDefault="00212577">
            <w:pPr>
              <w:pStyle w:val="P68B1DB1-Normal58"/>
              <w:spacing w:after="0"/>
              <w:ind w:left="-255" w:firstLine="113"/>
              <w:jc w:val="center"/>
              <w:rPr>
                <w:bCs/>
                <w:noProof/>
              </w:rPr>
            </w:pPr>
            <w:r>
              <w:rPr>
                <w:noProof/>
              </w:rPr>
              <w:t>Numéro</w:t>
            </w:r>
          </w:p>
        </w:tc>
        <w:tc>
          <w:tcPr>
            <w:tcW w:w="1200" w:type="dxa"/>
            <w:vMerge w:val="restart"/>
            <w:shd w:val="clear" w:color="auto" w:fill="BDD7EE"/>
            <w:vAlign w:val="center"/>
            <w:hideMark/>
          </w:tcPr>
          <w:p w14:paraId="1165BFF8" w14:textId="77777777" w:rsidR="00553430" w:rsidRDefault="00212577">
            <w:pPr>
              <w:pStyle w:val="P68B1DB1-Normal58"/>
              <w:spacing w:after="0"/>
              <w:jc w:val="center"/>
              <w:rPr>
                <w:bCs/>
                <w:noProof/>
              </w:rPr>
            </w:pPr>
            <w:r>
              <w:rPr>
                <w:noProof/>
              </w:rPr>
              <w:t>Mesure</w:t>
            </w:r>
          </w:p>
        </w:tc>
        <w:tc>
          <w:tcPr>
            <w:tcW w:w="1080" w:type="dxa"/>
            <w:vMerge w:val="restart"/>
            <w:shd w:val="clear" w:color="auto" w:fill="BDD7EE"/>
            <w:vAlign w:val="center"/>
            <w:hideMark/>
          </w:tcPr>
          <w:p w14:paraId="07824EA9" w14:textId="77777777" w:rsidR="00553430" w:rsidRDefault="00212577">
            <w:pPr>
              <w:pStyle w:val="P68B1DB1-Normal58"/>
              <w:spacing w:after="0"/>
              <w:jc w:val="center"/>
              <w:rPr>
                <w:bCs/>
                <w:noProof/>
              </w:rPr>
            </w:pPr>
            <w:r>
              <w:rPr>
                <w:noProof/>
              </w:rPr>
              <w:t>Étape/cible</w:t>
            </w:r>
          </w:p>
        </w:tc>
        <w:tc>
          <w:tcPr>
            <w:tcW w:w="1800" w:type="dxa"/>
            <w:vMerge w:val="restart"/>
            <w:shd w:val="clear" w:color="auto" w:fill="BDD7EE"/>
            <w:vAlign w:val="center"/>
            <w:hideMark/>
          </w:tcPr>
          <w:p w14:paraId="2D105A66" w14:textId="77777777" w:rsidR="00553430" w:rsidRDefault="00212577">
            <w:pPr>
              <w:pStyle w:val="P68B1DB1-Normal58"/>
              <w:spacing w:after="0"/>
              <w:jc w:val="center"/>
              <w:rPr>
                <w:bCs/>
                <w:noProof/>
              </w:rPr>
            </w:pPr>
            <w:r>
              <w:rPr>
                <w:noProof/>
              </w:rPr>
              <w:t>Nom</w:t>
            </w:r>
          </w:p>
        </w:tc>
        <w:tc>
          <w:tcPr>
            <w:tcW w:w="1808" w:type="dxa"/>
            <w:vMerge w:val="restart"/>
            <w:shd w:val="clear" w:color="auto" w:fill="BDD7EE"/>
            <w:vAlign w:val="center"/>
            <w:hideMark/>
          </w:tcPr>
          <w:p w14:paraId="6768CCF3" w14:textId="77777777" w:rsidR="00553430" w:rsidRDefault="00212577">
            <w:pPr>
              <w:pStyle w:val="P68B1DB1-Normal58"/>
              <w:spacing w:after="0"/>
              <w:jc w:val="center"/>
              <w:rPr>
                <w:bCs/>
                <w:noProof/>
              </w:rPr>
            </w:pPr>
            <w:r>
              <w:rPr>
                <w:noProof/>
              </w:rPr>
              <w:t xml:space="preserve">Indicateurs qualitatifs </w:t>
            </w:r>
            <w:r>
              <w:rPr>
                <w:noProof/>
              </w:rPr>
              <w:br/>
              <w:t>(pour les jalons)</w:t>
            </w:r>
          </w:p>
        </w:tc>
        <w:tc>
          <w:tcPr>
            <w:tcW w:w="2989" w:type="dxa"/>
            <w:gridSpan w:val="3"/>
            <w:shd w:val="clear" w:color="auto" w:fill="BDD7EE"/>
            <w:vAlign w:val="center"/>
            <w:hideMark/>
          </w:tcPr>
          <w:p w14:paraId="3A8B7493" w14:textId="77777777" w:rsidR="00553430" w:rsidRDefault="00212577">
            <w:pPr>
              <w:pStyle w:val="P68B1DB1-Normal58"/>
              <w:spacing w:after="0"/>
              <w:jc w:val="center"/>
              <w:rPr>
                <w:bCs/>
                <w:noProof/>
              </w:rPr>
            </w:pPr>
            <w:r>
              <w:rPr>
                <w:noProof/>
              </w:rPr>
              <w:t xml:space="preserve">Indicateurs quantitatifs </w:t>
            </w:r>
            <w:r>
              <w:rPr>
                <w:noProof/>
              </w:rPr>
              <w:br/>
              <w:t>(pour les objectifs)</w:t>
            </w:r>
          </w:p>
        </w:tc>
        <w:tc>
          <w:tcPr>
            <w:tcW w:w="1716" w:type="dxa"/>
            <w:gridSpan w:val="2"/>
            <w:shd w:val="clear" w:color="auto" w:fill="BDD7EE"/>
            <w:vAlign w:val="center"/>
            <w:hideMark/>
          </w:tcPr>
          <w:p w14:paraId="1303ED44" w14:textId="77777777" w:rsidR="00553430" w:rsidRDefault="00212577">
            <w:pPr>
              <w:pStyle w:val="P68B1DB1-Normal58"/>
              <w:spacing w:after="0"/>
              <w:jc w:val="center"/>
              <w:rPr>
                <w:bCs/>
                <w:noProof/>
              </w:rPr>
            </w:pPr>
            <w:r>
              <w:rPr>
                <w:noProof/>
              </w:rPr>
              <w:t>Temps</w:t>
            </w:r>
          </w:p>
        </w:tc>
        <w:tc>
          <w:tcPr>
            <w:tcW w:w="4347" w:type="dxa"/>
            <w:vMerge w:val="restart"/>
            <w:shd w:val="clear" w:color="auto" w:fill="BDD7EE"/>
            <w:vAlign w:val="center"/>
            <w:hideMark/>
          </w:tcPr>
          <w:p w14:paraId="18B21695" w14:textId="77777777" w:rsidR="00553430" w:rsidRDefault="00212577">
            <w:pPr>
              <w:pStyle w:val="P68B1DB1-Normal58"/>
              <w:spacing w:after="0"/>
              <w:jc w:val="center"/>
              <w:rPr>
                <w:bCs/>
                <w:noProof/>
              </w:rPr>
            </w:pPr>
            <w:r>
              <w:rPr>
                <w:noProof/>
              </w:rPr>
              <w:t xml:space="preserve">Description de chaque </w:t>
            </w:r>
            <w:r>
              <w:rPr>
                <w:noProof/>
              </w:rPr>
              <w:t>jalon et cible</w:t>
            </w:r>
          </w:p>
        </w:tc>
      </w:tr>
      <w:tr w:rsidR="00553430" w14:paraId="1D525041" w14:textId="77777777">
        <w:trPr>
          <w:trHeight w:val="503"/>
          <w:tblHeader/>
          <w:jc w:val="center"/>
        </w:trPr>
        <w:tc>
          <w:tcPr>
            <w:tcW w:w="849" w:type="dxa"/>
            <w:vMerge/>
            <w:hideMark/>
          </w:tcPr>
          <w:p w14:paraId="740F84EC" w14:textId="77777777" w:rsidR="00553430" w:rsidRDefault="00553430">
            <w:pPr>
              <w:spacing w:after="0"/>
              <w:jc w:val="center"/>
              <w:rPr>
                <w:rFonts w:ascii="Times New Roman" w:eastAsia="Times New Roman" w:hAnsi="Times New Roman" w:cs="Times New Roman"/>
                <w:b/>
                <w:noProof/>
                <w:sz w:val="20"/>
                <w:szCs w:val="20"/>
              </w:rPr>
            </w:pPr>
          </w:p>
        </w:tc>
        <w:tc>
          <w:tcPr>
            <w:tcW w:w="1200" w:type="dxa"/>
            <w:vMerge/>
            <w:hideMark/>
          </w:tcPr>
          <w:p w14:paraId="126B523E" w14:textId="77777777" w:rsidR="00553430" w:rsidRDefault="00553430">
            <w:pPr>
              <w:spacing w:after="0"/>
              <w:jc w:val="center"/>
              <w:rPr>
                <w:rFonts w:ascii="Times New Roman" w:eastAsia="Times New Roman" w:hAnsi="Times New Roman" w:cs="Times New Roman"/>
                <w:b/>
                <w:noProof/>
                <w:sz w:val="20"/>
                <w:szCs w:val="20"/>
              </w:rPr>
            </w:pPr>
          </w:p>
        </w:tc>
        <w:tc>
          <w:tcPr>
            <w:tcW w:w="1080" w:type="dxa"/>
            <w:vMerge/>
            <w:hideMark/>
          </w:tcPr>
          <w:p w14:paraId="3A3ECC58" w14:textId="77777777" w:rsidR="00553430" w:rsidRDefault="00553430">
            <w:pPr>
              <w:spacing w:after="0"/>
              <w:jc w:val="center"/>
              <w:rPr>
                <w:rFonts w:ascii="Times New Roman" w:eastAsia="Times New Roman" w:hAnsi="Times New Roman" w:cs="Times New Roman"/>
                <w:b/>
                <w:noProof/>
                <w:sz w:val="20"/>
                <w:szCs w:val="20"/>
              </w:rPr>
            </w:pPr>
          </w:p>
        </w:tc>
        <w:tc>
          <w:tcPr>
            <w:tcW w:w="1800" w:type="dxa"/>
            <w:vMerge/>
            <w:hideMark/>
          </w:tcPr>
          <w:p w14:paraId="1632322C" w14:textId="77777777" w:rsidR="00553430" w:rsidRDefault="00553430">
            <w:pPr>
              <w:spacing w:after="0"/>
              <w:rPr>
                <w:rFonts w:ascii="Times New Roman" w:eastAsia="Times New Roman" w:hAnsi="Times New Roman" w:cs="Times New Roman"/>
                <w:b/>
                <w:noProof/>
                <w:sz w:val="20"/>
                <w:szCs w:val="20"/>
              </w:rPr>
            </w:pPr>
          </w:p>
        </w:tc>
        <w:tc>
          <w:tcPr>
            <w:tcW w:w="1808" w:type="dxa"/>
            <w:vMerge/>
            <w:hideMark/>
          </w:tcPr>
          <w:p w14:paraId="1EBB9289" w14:textId="77777777" w:rsidR="00553430" w:rsidRDefault="00553430">
            <w:pPr>
              <w:spacing w:after="0"/>
              <w:rPr>
                <w:rFonts w:ascii="Times New Roman" w:eastAsia="Times New Roman" w:hAnsi="Times New Roman" w:cs="Times New Roman"/>
                <w:b/>
                <w:noProof/>
                <w:sz w:val="20"/>
                <w:szCs w:val="20"/>
              </w:rPr>
            </w:pPr>
          </w:p>
        </w:tc>
        <w:tc>
          <w:tcPr>
            <w:tcW w:w="1096" w:type="dxa"/>
            <w:shd w:val="clear" w:color="auto" w:fill="BDD7EE"/>
            <w:vAlign w:val="center"/>
            <w:hideMark/>
          </w:tcPr>
          <w:p w14:paraId="1CF14F5D" w14:textId="77777777" w:rsidR="00553430" w:rsidRDefault="00212577">
            <w:pPr>
              <w:pStyle w:val="P68B1DB1-Normal58"/>
              <w:spacing w:after="0"/>
              <w:jc w:val="center"/>
              <w:rPr>
                <w:bCs/>
                <w:noProof/>
              </w:rPr>
            </w:pPr>
            <w:r>
              <w:rPr>
                <w:noProof/>
              </w:rPr>
              <w:t>Unité</w:t>
            </w:r>
          </w:p>
        </w:tc>
        <w:tc>
          <w:tcPr>
            <w:tcW w:w="966" w:type="dxa"/>
            <w:shd w:val="clear" w:color="auto" w:fill="BDD7EE"/>
            <w:vAlign w:val="center"/>
            <w:hideMark/>
          </w:tcPr>
          <w:p w14:paraId="707E6219" w14:textId="77777777" w:rsidR="00553430" w:rsidRDefault="00212577">
            <w:pPr>
              <w:pStyle w:val="P68B1DB1-Normal58"/>
              <w:spacing w:after="0"/>
              <w:jc w:val="center"/>
              <w:rPr>
                <w:bCs/>
                <w:noProof/>
              </w:rPr>
            </w:pPr>
            <w:r>
              <w:rPr>
                <w:noProof/>
              </w:rPr>
              <w:t>Données de référence</w:t>
            </w:r>
          </w:p>
        </w:tc>
        <w:tc>
          <w:tcPr>
            <w:tcW w:w="927" w:type="dxa"/>
            <w:shd w:val="clear" w:color="auto" w:fill="BDD7EE"/>
            <w:vAlign w:val="center"/>
            <w:hideMark/>
          </w:tcPr>
          <w:p w14:paraId="3B864594" w14:textId="77777777" w:rsidR="00553430" w:rsidRDefault="00212577">
            <w:pPr>
              <w:pStyle w:val="P68B1DB1-Normal58"/>
              <w:spacing w:after="0"/>
              <w:jc w:val="center"/>
              <w:rPr>
                <w:bCs/>
                <w:noProof/>
              </w:rPr>
            </w:pPr>
            <w:r>
              <w:rPr>
                <w:noProof/>
              </w:rPr>
              <w:t>Objectif</w:t>
            </w:r>
          </w:p>
        </w:tc>
        <w:tc>
          <w:tcPr>
            <w:tcW w:w="756" w:type="dxa"/>
            <w:shd w:val="clear" w:color="auto" w:fill="BDD7EE"/>
            <w:vAlign w:val="center"/>
            <w:hideMark/>
          </w:tcPr>
          <w:p w14:paraId="29281935" w14:textId="77777777" w:rsidR="00553430" w:rsidRDefault="00212577">
            <w:pPr>
              <w:pStyle w:val="P68B1DB1-Normal58"/>
              <w:spacing w:after="0"/>
              <w:jc w:val="center"/>
              <w:rPr>
                <w:bCs/>
                <w:noProof/>
              </w:rPr>
            </w:pPr>
            <w:r>
              <w:rPr>
                <w:noProof/>
              </w:rPr>
              <w:t>Trimestre</w:t>
            </w:r>
          </w:p>
        </w:tc>
        <w:tc>
          <w:tcPr>
            <w:tcW w:w="960" w:type="dxa"/>
            <w:shd w:val="clear" w:color="auto" w:fill="BDD7EE"/>
            <w:vAlign w:val="center"/>
            <w:hideMark/>
          </w:tcPr>
          <w:p w14:paraId="025BC2F3" w14:textId="77777777" w:rsidR="00553430" w:rsidRDefault="00212577">
            <w:pPr>
              <w:pStyle w:val="P68B1DB1-Normal58"/>
              <w:spacing w:after="0"/>
              <w:jc w:val="center"/>
              <w:rPr>
                <w:bCs/>
                <w:noProof/>
              </w:rPr>
            </w:pPr>
            <w:r>
              <w:rPr>
                <w:noProof/>
              </w:rPr>
              <w:t>Année</w:t>
            </w:r>
          </w:p>
        </w:tc>
        <w:tc>
          <w:tcPr>
            <w:tcW w:w="4347" w:type="dxa"/>
            <w:vMerge/>
            <w:hideMark/>
          </w:tcPr>
          <w:p w14:paraId="15529CB4" w14:textId="77777777" w:rsidR="00553430" w:rsidRDefault="00553430">
            <w:pPr>
              <w:spacing w:after="0"/>
              <w:rPr>
                <w:rFonts w:ascii="Times New Roman" w:eastAsia="Times New Roman" w:hAnsi="Times New Roman" w:cs="Times New Roman"/>
                <w:b/>
                <w:noProof/>
                <w:sz w:val="20"/>
                <w:szCs w:val="20"/>
              </w:rPr>
            </w:pPr>
          </w:p>
        </w:tc>
      </w:tr>
      <w:tr w:rsidR="00553430" w14:paraId="33D5B6F2" w14:textId="77777777">
        <w:trPr>
          <w:trHeight w:val="283"/>
          <w:jc w:val="center"/>
        </w:trPr>
        <w:tc>
          <w:tcPr>
            <w:tcW w:w="849" w:type="dxa"/>
            <w:shd w:val="clear" w:color="auto" w:fill="C6EFCE"/>
            <w:noWrap/>
          </w:tcPr>
          <w:p w14:paraId="79DD9431" w14:textId="77777777" w:rsidR="00553430" w:rsidRDefault="00212577">
            <w:pPr>
              <w:pStyle w:val="P68B1DB1-Normal102"/>
              <w:jc w:val="center"/>
              <w:rPr>
                <w:noProof/>
              </w:rPr>
            </w:pPr>
            <w:r>
              <w:rPr>
                <w:noProof/>
              </w:rPr>
              <w:t>256</w:t>
            </w:r>
          </w:p>
        </w:tc>
        <w:tc>
          <w:tcPr>
            <w:tcW w:w="1200" w:type="dxa"/>
            <w:shd w:val="clear" w:color="auto" w:fill="C6EFCE"/>
            <w:noWrap/>
          </w:tcPr>
          <w:p w14:paraId="448B200D" w14:textId="77777777" w:rsidR="00553430" w:rsidRDefault="00212577">
            <w:pPr>
              <w:pStyle w:val="P68B1DB1-Normal102"/>
              <w:jc w:val="center"/>
              <w:rPr>
                <w:noProof/>
              </w:rPr>
            </w:pPr>
            <w:r>
              <w:rPr>
                <w:noProof/>
              </w:rPr>
              <w:t>C2.9. R1</w:t>
            </w:r>
          </w:p>
        </w:tc>
        <w:tc>
          <w:tcPr>
            <w:tcW w:w="1080" w:type="dxa"/>
            <w:shd w:val="clear" w:color="auto" w:fill="C6EFCE"/>
            <w:noWrap/>
          </w:tcPr>
          <w:p w14:paraId="28595D21" w14:textId="77777777" w:rsidR="00553430" w:rsidRDefault="00212577">
            <w:pPr>
              <w:pStyle w:val="P68B1DB1-Normal102"/>
              <w:jc w:val="center"/>
              <w:rPr>
                <w:noProof/>
              </w:rPr>
            </w:pPr>
            <w:r>
              <w:rPr>
                <w:noProof/>
              </w:rPr>
              <w:t>M</w:t>
            </w:r>
          </w:p>
        </w:tc>
        <w:tc>
          <w:tcPr>
            <w:tcW w:w="1800" w:type="dxa"/>
            <w:shd w:val="clear" w:color="auto" w:fill="C6EFCE"/>
            <w:noWrap/>
          </w:tcPr>
          <w:p w14:paraId="07567CA1" w14:textId="77777777" w:rsidR="00553430" w:rsidRDefault="00212577">
            <w:pPr>
              <w:pStyle w:val="P68B1DB1-Normal102"/>
              <w:rPr>
                <w:noProof/>
              </w:rPr>
            </w:pPr>
            <w:r>
              <w:rPr>
                <w:noProof/>
              </w:rPr>
              <w:t xml:space="preserve">Orientations sur l’amélioration de la participation des PME aux procédures de passation de marchés publics et de leur mise en commun </w:t>
            </w:r>
          </w:p>
        </w:tc>
        <w:tc>
          <w:tcPr>
            <w:tcW w:w="1808" w:type="dxa"/>
            <w:shd w:val="clear" w:color="auto" w:fill="C6EFCE"/>
            <w:noWrap/>
          </w:tcPr>
          <w:p w14:paraId="1BF7E476" w14:textId="77777777" w:rsidR="00553430" w:rsidRDefault="00212577">
            <w:pPr>
              <w:pStyle w:val="P68B1DB1-Normal102"/>
              <w:rPr>
                <w:noProof/>
              </w:rPr>
            </w:pPr>
            <w:r>
              <w:rPr>
                <w:noProof/>
              </w:rPr>
              <w:t xml:space="preserve">Publication de lignes </w:t>
            </w:r>
            <w:r>
              <w:rPr>
                <w:noProof/>
              </w:rPr>
              <w:t>directrices sur le portail des marchés publics</w:t>
            </w:r>
          </w:p>
        </w:tc>
        <w:tc>
          <w:tcPr>
            <w:tcW w:w="1096" w:type="dxa"/>
            <w:shd w:val="clear" w:color="auto" w:fill="C6EFCE"/>
            <w:noWrap/>
          </w:tcPr>
          <w:p w14:paraId="100450A5" w14:textId="77777777" w:rsidR="00553430" w:rsidRDefault="00212577">
            <w:pPr>
              <w:pStyle w:val="P68B1DB1-Normal102"/>
              <w:jc w:val="center"/>
              <w:rPr>
                <w:noProof/>
              </w:rPr>
            </w:pPr>
            <w:r>
              <w:rPr>
                <w:noProof/>
              </w:rPr>
              <w:t> </w:t>
            </w:r>
          </w:p>
        </w:tc>
        <w:tc>
          <w:tcPr>
            <w:tcW w:w="966" w:type="dxa"/>
            <w:shd w:val="clear" w:color="auto" w:fill="C6EFCE"/>
            <w:noWrap/>
          </w:tcPr>
          <w:p w14:paraId="10969240" w14:textId="77777777" w:rsidR="00553430" w:rsidRDefault="00212577">
            <w:pPr>
              <w:pStyle w:val="P68B1DB1-Normal102"/>
              <w:jc w:val="center"/>
              <w:rPr>
                <w:noProof/>
              </w:rPr>
            </w:pPr>
            <w:r>
              <w:rPr>
                <w:noProof/>
              </w:rPr>
              <w:t> </w:t>
            </w:r>
          </w:p>
        </w:tc>
        <w:tc>
          <w:tcPr>
            <w:tcW w:w="927" w:type="dxa"/>
            <w:shd w:val="clear" w:color="auto" w:fill="C6EFCE"/>
            <w:noWrap/>
          </w:tcPr>
          <w:p w14:paraId="7B755F96" w14:textId="77777777" w:rsidR="00553430" w:rsidRDefault="00212577">
            <w:pPr>
              <w:pStyle w:val="P68B1DB1-Normal102"/>
              <w:jc w:val="center"/>
              <w:rPr>
                <w:noProof/>
              </w:rPr>
            </w:pPr>
            <w:r>
              <w:rPr>
                <w:noProof/>
              </w:rPr>
              <w:t> </w:t>
            </w:r>
          </w:p>
        </w:tc>
        <w:tc>
          <w:tcPr>
            <w:tcW w:w="756" w:type="dxa"/>
            <w:shd w:val="clear" w:color="auto" w:fill="C6EFCE"/>
            <w:noWrap/>
          </w:tcPr>
          <w:p w14:paraId="60E1027D" w14:textId="77777777" w:rsidR="00553430" w:rsidRDefault="00212577">
            <w:pPr>
              <w:pStyle w:val="P68B1DB1-Normal102"/>
              <w:jc w:val="center"/>
              <w:rPr>
                <w:noProof/>
              </w:rPr>
            </w:pPr>
            <w:r>
              <w:rPr>
                <w:noProof/>
              </w:rPr>
              <w:t>T3</w:t>
            </w:r>
          </w:p>
        </w:tc>
        <w:tc>
          <w:tcPr>
            <w:tcW w:w="960" w:type="dxa"/>
            <w:shd w:val="clear" w:color="auto" w:fill="C6EFCE"/>
            <w:noWrap/>
          </w:tcPr>
          <w:p w14:paraId="33295F23" w14:textId="77777777" w:rsidR="00553430" w:rsidRDefault="00212577">
            <w:pPr>
              <w:pStyle w:val="P68B1DB1-Normal102"/>
              <w:jc w:val="center"/>
              <w:rPr>
                <w:noProof/>
              </w:rPr>
            </w:pPr>
            <w:r>
              <w:rPr>
                <w:noProof/>
              </w:rPr>
              <w:t>2022</w:t>
            </w:r>
          </w:p>
        </w:tc>
        <w:tc>
          <w:tcPr>
            <w:tcW w:w="4347" w:type="dxa"/>
            <w:shd w:val="clear" w:color="auto" w:fill="C6EFCE"/>
            <w:noWrap/>
          </w:tcPr>
          <w:p w14:paraId="55338081" w14:textId="77777777" w:rsidR="00553430" w:rsidRDefault="00212577">
            <w:pPr>
              <w:pStyle w:val="P68B1DB1-Normal102"/>
              <w:rPr>
                <w:noProof/>
              </w:rPr>
            </w:pPr>
            <w:r>
              <w:rPr>
                <w:noProof/>
              </w:rPr>
              <w:t xml:space="preserve">Afin d’encourager davantage la participation des PME aux procédures de passation de marchés publics, des lignes directrices sont élaborées et publiées à l’intention des entités adjudicatrices et </w:t>
            </w:r>
            <w:r>
              <w:rPr>
                <w:noProof/>
              </w:rPr>
              <w:t>des soumissionnaires afin d’encourager la participation des PME aux marchés publics. Les lignes directrices comprennent également les dispositions les plus importantes de la loi sur les marchés publics visant à faciliter la mise en concurrence des PME pour</w:t>
            </w:r>
            <w:r>
              <w:rPr>
                <w:noProof/>
              </w:rPr>
              <w:t xml:space="preserve"> les marchés publics. La coopération avec les associations professionnelles pour dispenser une formation ciblée aux soumissionnaires dans le cadre des procédures de passation de marchés publics se poursuit. Les orientations seront élaborées sur la base des</w:t>
            </w:r>
            <w:r>
              <w:rPr>
                <w:noProof/>
              </w:rPr>
              <w:t xml:space="preserve"> résultats du projet de programme d’appui à la réforme structurelle. </w:t>
            </w:r>
          </w:p>
        </w:tc>
      </w:tr>
      <w:tr w:rsidR="00553430" w14:paraId="5AFC1762" w14:textId="77777777">
        <w:trPr>
          <w:trHeight w:val="283"/>
          <w:jc w:val="center"/>
        </w:trPr>
        <w:tc>
          <w:tcPr>
            <w:tcW w:w="849" w:type="dxa"/>
            <w:shd w:val="clear" w:color="auto" w:fill="C6EFCE"/>
            <w:noWrap/>
          </w:tcPr>
          <w:p w14:paraId="28D832D7" w14:textId="77777777" w:rsidR="00553430" w:rsidRDefault="00212577">
            <w:pPr>
              <w:pStyle w:val="P68B1DB1-Normal102"/>
              <w:spacing w:after="0"/>
              <w:jc w:val="center"/>
              <w:rPr>
                <w:noProof/>
              </w:rPr>
            </w:pPr>
            <w:r>
              <w:rPr>
                <w:noProof/>
              </w:rPr>
              <w:t>257</w:t>
            </w:r>
          </w:p>
        </w:tc>
        <w:tc>
          <w:tcPr>
            <w:tcW w:w="1200" w:type="dxa"/>
            <w:shd w:val="clear" w:color="auto" w:fill="C6EFCE"/>
            <w:noWrap/>
          </w:tcPr>
          <w:p w14:paraId="09231C2E" w14:textId="77777777" w:rsidR="00553430" w:rsidRDefault="00212577">
            <w:pPr>
              <w:pStyle w:val="P68B1DB1-Normal102"/>
              <w:jc w:val="center"/>
              <w:rPr>
                <w:noProof/>
              </w:rPr>
            </w:pPr>
            <w:r>
              <w:rPr>
                <w:noProof/>
              </w:rPr>
              <w:t>C2.9. R1</w:t>
            </w:r>
          </w:p>
        </w:tc>
        <w:tc>
          <w:tcPr>
            <w:tcW w:w="1080" w:type="dxa"/>
            <w:shd w:val="clear" w:color="auto" w:fill="C6EFCE"/>
            <w:noWrap/>
          </w:tcPr>
          <w:p w14:paraId="22FCBB6C" w14:textId="77777777" w:rsidR="00553430" w:rsidRDefault="00212577">
            <w:pPr>
              <w:pStyle w:val="P68B1DB1-Normal102"/>
              <w:jc w:val="center"/>
              <w:rPr>
                <w:noProof/>
              </w:rPr>
            </w:pPr>
            <w:r>
              <w:rPr>
                <w:noProof/>
              </w:rPr>
              <w:t>M</w:t>
            </w:r>
          </w:p>
        </w:tc>
        <w:tc>
          <w:tcPr>
            <w:tcW w:w="1800" w:type="dxa"/>
            <w:shd w:val="clear" w:color="auto" w:fill="C6EFCE"/>
            <w:noWrap/>
          </w:tcPr>
          <w:p w14:paraId="54AEE63D" w14:textId="77777777" w:rsidR="00553430" w:rsidRDefault="00212577">
            <w:pPr>
              <w:pStyle w:val="P68B1DB1-Normal102"/>
              <w:rPr>
                <w:noProof/>
              </w:rPr>
            </w:pPr>
            <w:r>
              <w:rPr>
                <w:noProof/>
              </w:rPr>
              <w:t xml:space="preserve">Modification des règles relatives à la formation dans le domaine des marchés publics </w:t>
            </w:r>
          </w:p>
        </w:tc>
        <w:tc>
          <w:tcPr>
            <w:tcW w:w="1808" w:type="dxa"/>
            <w:shd w:val="clear" w:color="auto" w:fill="C6EFCE"/>
            <w:noWrap/>
          </w:tcPr>
          <w:p w14:paraId="54C3A15A" w14:textId="77777777" w:rsidR="00553430" w:rsidRDefault="00212577">
            <w:pPr>
              <w:pStyle w:val="P68B1DB1-Normal102"/>
              <w:rPr>
                <w:noProof/>
              </w:rPr>
            </w:pPr>
            <w:r>
              <w:rPr>
                <w:noProof/>
              </w:rPr>
              <w:t xml:space="preserve">Entrée en vigueur des modifications de la réglementation relative à la formation dans le domaine des marchés publics </w:t>
            </w:r>
          </w:p>
        </w:tc>
        <w:tc>
          <w:tcPr>
            <w:tcW w:w="1096" w:type="dxa"/>
            <w:shd w:val="clear" w:color="auto" w:fill="C6EFCE"/>
            <w:noWrap/>
          </w:tcPr>
          <w:p w14:paraId="7011E8D0" w14:textId="77777777" w:rsidR="00553430" w:rsidRDefault="00212577">
            <w:pPr>
              <w:pStyle w:val="P68B1DB1-Normal102"/>
              <w:jc w:val="center"/>
              <w:rPr>
                <w:noProof/>
              </w:rPr>
            </w:pPr>
            <w:r>
              <w:rPr>
                <w:noProof/>
              </w:rPr>
              <w:t> </w:t>
            </w:r>
          </w:p>
          <w:p w14:paraId="7A1D5BB6" w14:textId="77777777" w:rsidR="00553430" w:rsidRDefault="00553430">
            <w:pPr>
              <w:rPr>
                <w:rFonts w:ascii="Times New Roman" w:hAnsi="Times New Roman" w:cs="Times New Roman"/>
                <w:noProof/>
                <w:sz w:val="20"/>
                <w:szCs w:val="20"/>
              </w:rPr>
            </w:pPr>
          </w:p>
          <w:p w14:paraId="5354418A" w14:textId="77777777" w:rsidR="00553430" w:rsidRDefault="00553430">
            <w:pPr>
              <w:rPr>
                <w:rFonts w:ascii="Times New Roman" w:hAnsi="Times New Roman" w:cs="Times New Roman"/>
                <w:noProof/>
                <w:sz w:val="20"/>
                <w:szCs w:val="20"/>
              </w:rPr>
            </w:pPr>
          </w:p>
        </w:tc>
        <w:tc>
          <w:tcPr>
            <w:tcW w:w="966" w:type="dxa"/>
            <w:shd w:val="clear" w:color="auto" w:fill="C6EFCE"/>
            <w:noWrap/>
          </w:tcPr>
          <w:p w14:paraId="62631EAD" w14:textId="77777777" w:rsidR="00553430" w:rsidRDefault="00212577">
            <w:pPr>
              <w:pStyle w:val="P68B1DB1-Normal102"/>
              <w:jc w:val="center"/>
              <w:rPr>
                <w:noProof/>
              </w:rPr>
            </w:pPr>
            <w:r>
              <w:rPr>
                <w:noProof/>
              </w:rPr>
              <w:t> </w:t>
            </w:r>
          </w:p>
        </w:tc>
        <w:tc>
          <w:tcPr>
            <w:tcW w:w="927" w:type="dxa"/>
            <w:shd w:val="clear" w:color="auto" w:fill="C6EFCE"/>
            <w:noWrap/>
          </w:tcPr>
          <w:p w14:paraId="0F9CC0FF" w14:textId="77777777" w:rsidR="00553430" w:rsidRDefault="00212577">
            <w:pPr>
              <w:pStyle w:val="P68B1DB1-Normal102"/>
              <w:jc w:val="center"/>
              <w:rPr>
                <w:noProof/>
              </w:rPr>
            </w:pPr>
            <w:r>
              <w:rPr>
                <w:noProof/>
              </w:rPr>
              <w:t> </w:t>
            </w:r>
          </w:p>
        </w:tc>
        <w:tc>
          <w:tcPr>
            <w:tcW w:w="756" w:type="dxa"/>
            <w:shd w:val="clear" w:color="auto" w:fill="C6EFCE"/>
            <w:noWrap/>
          </w:tcPr>
          <w:p w14:paraId="0BA4AA91" w14:textId="77777777" w:rsidR="00553430" w:rsidRDefault="00212577">
            <w:pPr>
              <w:pStyle w:val="P68B1DB1-Normal102"/>
              <w:jc w:val="center"/>
              <w:rPr>
                <w:noProof/>
              </w:rPr>
            </w:pPr>
            <w:r>
              <w:rPr>
                <w:noProof/>
              </w:rPr>
              <w:t>T1</w:t>
            </w:r>
          </w:p>
        </w:tc>
        <w:tc>
          <w:tcPr>
            <w:tcW w:w="960" w:type="dxa"/>
            <w:shd w:val="clear" w:color="auto" w:fill="C6EFCE"/>
            <w:noWrap/>
          </w:tcPr>
          <w:p w14:paraId="47302B6E" w14:textId="77777777" w:rsidR="00553430" w:rsidRDefault="00212577">
            <w:pPr>
              <w:pStyle w:val="P68B1DB1-Normal102"/>
              <w:jc w:val="center"/>
              <w:rPr>
                <w:noProof/>
              </w:rPr>
            </w:pPr>
            <w:r>
              <w:rPr>
                <w:noProof/>
              </w:rPr>
              <w:t>2023</w:t>
            </w:r>
          </w:p>
        </w:tc>
        <w:tc>
          <w:tcPr>
            <w:tcW w:w="4347" w:type="dxa"/>
            <w:shd w:val="clear" w:color="auto" w:fill="C6EFCE"/>
            <w:noWrap/>
          </w:tcPr>
          <w:p w14:paraId="1DFF01FD" w14:textId="77777777" w:rsidR="00553430" w:rsidRDefault="00212577">
            <w:pPr>
              <w:pStyle w:val="P68B1DB1-Normal89"/>
              <w:rPr>
                <w:noProof/>
              </w:rPr>
            </w:pPr>
            <w:r>
              <w:rPr>
                <w:noProof/>
                <w:color w:val="000000" w:themeColor="text1"/>
              </w:rPr>
              <w:t>Les modifications apportées au cadre législatif afin d'améliorer la formation dans le domaine des marchés publics comprenn</w:t>
            </w:r>
            <w:r>
              <w:rPr>
                <w:noProof/>
                <w:color w:val="000000" w:themeColor="text1"/>
              </w:rPr>
              <w:t>ent: i) l’établissement d’un programme d’études pour les programmes de renforcement des compétences, définissant les compétences et les objectifs d’apprentissage, ii) l’intégration de ProcurCompEU dans le système obligatoire de formation et de certificatio</w:t>
            </w:r>
            <w:r>
              <w:rPr>
                <w:noProof/>
                <w:color w:val="000000" w:themeColor="text1"/>
              </w:rPr>
              <w:t xml:space="preserve">n pour les marchés publics; iii) l'obligation de procéder à une évaluation qualitative des formations. </w:t>
            </w:r>
            <w:r>
              <w:rPr>
                <w:noProof/>
              </w:rPr>
              <w:br/>
            </w:r>
            <w:r>
              <w:rPr>
                <w:noProof/>
                <w:color w:val="000000" w:themeColor="text1"/>
              </w:rPr>
              <w:t>Les modifications devraient fournir une approche globale nécessaire pour assurer le renforcement des capacités administratives du personnel des principa</w:t>
            </w:r>
            <w:r>
              <w:rPr>
                <w:noProof/>
                <w:color w:val="000000" w:themeColor="text1"/>
              </w:rPr>
              <w:t xml:space="preserve">les institutions chargées des marchés publics, en utilisant également les recommandations de l’analyse de la charge de travail (R1-I1). Sur la base des résultats de l’évaluation organisationnelle et des priorités stratégiques, la priorité est accordée aux </w:t>
            </w:r>
            <w:r>
              <w:rPr>
                <w:noProof/>
                <w:color w:val="000000" w:themeColor="text1"/>
              </w:rPr>
              <w:t>formations susceptibles d’avoir le plus d’impact sur la réalisation d’objectifs tels que les questions d’intégrité et de transparence, une planification appropriée des procédures, des spécifications techniques équitables et ouvertes, des critères de sélect</w:t>
            </w:r>
            <w:r>
              <w:rPr>
                <w:noProof/>
                <w:color w:val="000000" w:themeColor="text1"/>
              </w:rPr>
              <w:t xml:space="preserve">ion et d’évaluation clairs pour les offres, la gestion des contrats et les modifications. </w:t>
            </w:r>
          </w:p>
        </w:tc>
      </w:tr>
      <w:tr w:rsidR="00553430" w14:paraId="63F15BDA" w14:textId="77777777">
        <w:trPr>
          <w:trHeight w:val="283"/>
          <w:jc w:val="center"/>
        </w:trPr>
        <w:tc>
          <w:tcPr>
            <w:tcW w:w="849" w:type="dxa"/>
            <w:shd w:val="clear" w:color="auto" w:fill="C6EFCE"/>
            <w:noWrap/>
          </w:tcPr>
          <w:p w14:paraId="1419E797" w14:textId="77777777" w:rsidR="00553430" w:rsidRDefault="00212577">
            <w:pPr>
              <w:pStyle w:val="P68B1DB1-Normal102"/>
              <w:jc w:val="center"/>
              <w:rPr>
                <w:noProof/>
              </w:rPr>
            </w:pPr>
            <w:r>
              <w:rPr>
                <w:noProof/>
              </w:rPr>
              <w:t>258</w:t>
            </w:r>
          </w:p>
        </w:tc>
        <w:tc>
          <w:tcPr>
            <w:tcW w:w="1200" w:type="dxa"/>
            <w:shd w:val="clear" w:color="auto" w:fill="C6EFCE"/>
            <w:noWrap/>
          </w:tcPr>
          <w:p w14:paraId="40D64F4B" w14:textId="77777777" w:rsidR="00553430" w:rsidRDefault="00212577">
            <w:pPr>
              <w:pStyle w:val="P68B1DB1-Normal102"/>
              <w:jc w:val="center"/>
              <w:rPr>
                <w:noProof/>
              </w:rPr>
            </w:pPr>
            <w:r>
              <w:rPr>
                <w:noProof/>
              </w:rPr>
              <w:t>C2.9. R1</w:t>
            </w:r>
          </w:p>
        </w:tc>
        <w:tc>
          <w:tcPr>
            <w:tcW w:w="1080" w:type="dxa"/>
            <w:shd w:val="clear" w:color="auto" w:fill="C6EFCE"/>
            <w:noWrap/>
          </w:tcPr>
          <w:p w14:paraId="78ACB600" w14:textId="77777777" w:rsidR="00553430" w:rsidRDefault="00212577">
            <w:pPr>
              <w:pStyle w:val="P68B1DB1-Normal102"/>
              <w:jc w:val="center"/>
              <w:rPr>
                <w:noProof/>
              </w:rPr>
            </w:pPr>
            <w:r>
              <w:rPr>
                <w:noProof/>
              </w:rPr>
              <w:t>M</w:t>
            </w:r>
          </w:p>
        </w:tc>
        <w:tc>
          <w:tcPr>
            <w:tcW w:w="1800" w:type="dxa"/>
            <w:shd w:val="clear" w:color="auto" w:fill="C6EFCE"/>
            <w:noWrap/>
          </w:tcPr>
          <w:p w14:paraId="14CF2254" w14:textId="77777777" w:rsidR="00553430" w:rsidRDefault="00212577">
            <w:pPr>
              <w:pStyle w:val="P68B1DB1-Normal102"/>
              <w:rPr>
                <w:noProof/>
              </w:rPr>
            </w:pPr>
            <w:r>
              <w:rPr>
                <w:noProof/>
              </w:rPr>
              <w:t xml:space="preserve">Intégration d’un cadre sur mesure pour la formation continue des responsables des marchés publics dans le cadre de ProcurCompEU dans le système </w:t>
            </w:r>
            <w:r>
              <w:rPr>
                <w:noProof/>
              </w:rPr>
              <w:t>obligatoire de formation et de certification pour les marchés publics.</w:t>
            </w:r>
          </w:p>
        </w:tc>
        <w:tc>
          <w:tcPr>
            <w:tcW w:w="1808" w:type="dxa"/>
            <w:shd w:val="clear" w:color="auto" w:fill="C6EFCE"/>
            <w:noWrap/>
          </w:tcPr>
          <w:p w14:paraId="69649B99" w14:textId="77777777" w:rsidR="00553430" w:rsidRDefault="00212577">
            <w:pPr>
              <w:pStyle w:val="P68B1DB1-Normal102"/>
              <w:rPr>
                <w:noProof/>
              </w:rPr>
            </w:pPr>
            <w:r>
              <w:rPr>
                <w:noProof/>
              </w:rPr>
              <w:t xml:space="preserve">entrée en vigueur du cadre pour la formation continue des responsables des marchés publics aligné sur ProcurCompEU; </w:t>
            </w:r>
          </w:p>
        </w:tc>
        <w:tc>
          <w:tcPr>
            <w:tcW w:w="1096" w:type="dxa"/>
            <w:shd w:val="clear" w:color="auto" w:fill="C6EFCE"/>
            <w:noWrap/>
          </w:tcPr>
          <w:p w14:paraId="53B2276E" w14:textId="77777777" w:rsidR="00553430" w:rsidRDefault="00212577">
            <w:pPr>
              <w:pStyle w:val="P68B1DB1-Normal102"/>
              <w:jc w:val="center"/>
              <w:rPr>
                <w:noProof/>
              </w:rPr>
            </w:pPr>
            <w:r>
              <w:rPr>
                <w:noProof/>
              </w:rPr>
              <w:t> </w:t>
            </w:r>
          </w:p>
        </w:tc>
        <w:tc>
          <w:tcPr>
            <w:tcW w:w="966" w:type="dxa"/>
            <w:shd w:val="clear" w:color="auto" w:fill="C6EFCE"/>
            <w:noWrap/>
          </w:tcPr>
          <w:p w14:paraId="749F818C" w14:textId="77777777" w:rsidR="00553430" w:rsidRDefault="00212577">
            <w:pPr>
              <w:pStyle w:val="P68B1DB1-Normal102"/>
              <w:jc w:val="center"/>
              <w:rPr>
                <w:noProof/>
              </w:rPr>
            </w:pPr>
            <w:r>
              <w:rPr>
                <w:noProof/>
              </w:rPr>
              <w:t> </w:t>
            </w:r>
          </w:p>
        </w:tc>
        <w:tc>
          <w:tcPr>
            <w:tcW w:w="927" w:type="dxa"/>
            <w:shd w:val="clear" w:color="auto" w:fill="C6EFCE"/>
            <w:noWrap/>
          </w:tcPr>
          <w:p w14:paraId="2639C8DA" w14:textId="77777777" w:rsidR="00553430" w:rsidRDefault="00212577">
            <w:pPr>
              <w:pStyle w:val="P68B1DB1-Normal102"/>
              <w:jc w:val="center"/>
              <w:rPr>
                <w:noProof/>
              </w:rPr>
            </w:pPr>
            <w:r>
              <w:rPr>
                <w:noProof/>
              </w:rPr>
              <w:t> </w:t>
            </w:r>
          </w:p>
        </w:tc>
        <w:tc>
          <w:tcPr>
            <w:tcW w:w="756" w:type="dxa"/>
            <w:shd w:val="clear" w:color="auto" w:fill="C6EFCE"/>
            <w:noWrap/>
          </w:tcPr>
          <w:p w14:paraId="11DB29BE" w14:textId="77777777" w:rsidR="00553430" w:rsidRDefault="00212577">
            <w:pPr>
              <w:pStyle w:val="P68B1DB1-Normal102"/>
              <w:jc w:val="center"/>
              <w:rPr>
                <w:noProof/>
              </w:rPr>
            </w:pPr>
            <w:r>
              <w:rPr>
                <w:noProof/>
              </w:rPr>
              <w:t>T4</w:t>
            </w:r>
          </w:p>
        </w:tc>
        <w:tc>
          <w:tcPr>
            <w:tcW w:w="960" w:type="dxa"/>
            <w:shd w:val="clear" w:color="auto" w:fill="C6EFCE"/>
            <w:noWrap/>
          </w:tcPr>
          <w:p w14:paraId="1FDD09A2" w14:textId="77777777" w:rsidR="00553430" w:rsidRDefault="00212577">
            <w:pPr>
              <w:pStyle w:val="P68B1DB1-Normal102"/>
              <w:jc w:val="center"/>
              <w:rPr>
                <w:noProof/>
              </w:rPr>
            </w:pPr>
            <w:r>
              <w:rPr>
                <w:noProof/>
              </w:rPr>
              <w:t>2023</w:t>
            </w:r>
          </w:p>
        </w:tc>
        <w:tc>
          <w:tcPr>
            <w:tcW w:w="4347" w:type="dxa"/>
            <w:shd w:val="clear" w:color="auto" w:fill="C6EFCE"/>
            <w:noWrap/>
          </w:tcPr>
          <w:p w14:paraId="7DC75ABF" w14:textId="77777777" w:rsidR="00553430" w:rsidRDefault="00212577">
            <w:pPr>
              <w:pStyle w:val="P68B1DB1-Normal102"/>
              <w:rPr>
                <w:noProof/>
              </w:rPr>
            </w:pPr>
            <w:r>
              <w:rPr>
                <w:noProof/>
              </w:rPr>
              <w:t>L’outil ProcurCompEU est adapté aux spécificités de la</w:t>
            </w:r>
            <w:r>
              <w:rPr>
                <w:noProof/>
              </w:rPr>
              <w:t xml:space="preserve"> Croatie et intégré dans le système obligatoire existant de formation et de certification en matière de marchés publics. Une sous-page sur le portail des marchés publics sera créée, où les outils ProcurCompEU sont disponibles et librement utilisables par t</w:t>
            </w:r>
            <w:r>
              <w:rPr>
                <w:noProof/>
              </w:rPr>
              <w:t>outes les parties prenantes du système des marchés publics, et où l’organisme compétent en matière de politique des marchés publics soutient sa mise en œuvre pratique et sa supervision.</w:t>
            </w:r>
          </w:p>
        </w:tc>
      </w:tr>
      <w:tr w:rsidR="00553430" w14:paraId="175CD512" w14:textId="77777777">
        <w:trPr>
          <w:trHeight w:val="283"/>
          <w:jc w:val="center"/>
        </w:trPr>
        <w:tc>
          <w:tcPr>
            <w:tcW w:w="849" w:type="dxa"/>
            <w:shd w:val="clear" w:color="auto" w:fill="C6EFCE"/>
            <w:noWrap/>
          </w:tcPr>
          <w:p w14:paraId="3D5DADCF" w14:textId="77777777" w:rsidR="00553430" w:rsidRDefault="00212577">
            <w:pPr>
              <w:pStyle w:val="P68B1DB1-Normal102"/>
              <w:jc w:val="center"/>
              <w:rPr>
                <w:noProof/>
              </w:rPr>
            </w:pPr>
            <w:r>
              <w:rPr>
                <w:noProof/>
              </w:rPr>
              <w:t>259</w:t>
            </w:r>
          </w:p>
        </w:tc>
        <w:tc>
          <w:tcPr>
            <w:tcW w:w="1200" w:type="dxa"/>
            <w:shd w:val="clear" w:color="auto" w:fill="C6EFCE"/>
            <w:noWrap/>
          </w:tcPr>
          <w:p w14:paraId="4DE1C274" w14:textId="77777777" w:rsidR="00553430" w:rsidRDefault="00212577">
            <w:pPr>
              <w:pStyle w:val="P68B1DB1-Normal102"/>
              <w:jc w:val="center"/>
              <w:rPr>
                <w:noProof/>
              </w:rPr>
            </w:pPr>
            <w:r>
              <w:rPr>
                <w:noProof/>
              </w:rPr>
              <w:t>C2.9. R1-I1</w:t>
            </w:r>
          </w:p>
        </w:tc>
        <w:tc>
          <w:tcPr>
            <w:tcW w:w="1080" w:type="dxa"/>
            <w:shd w:val="clear" w:color="auto" w:fill="C6EFCE"/>
            <w:noWrap/>
          </w:tcPr>
          <w:p w14:paraId="68EDB754" w14:textId="77777777" w:rsidR="00553430" w:rsidRDefault="00212577">
            <w:pPr>
              <w:pStyle w:val="P68B1DB1-Normal102"/>
              <w:jc w:val="center"/>
              <w:rPr>
                <w:noProof/>
              </w:rPr>
            </w:pPr>
            <w:r>
              <w:rPr>
                <w:noProof/>
              </w:rPr>
              <w:t>M</w:t>
            </w:r>
          </w:p>
        </w:tc>
        <w:tc>
          <w:tcPr>
            <w:tcW w:w="1800" w:type="dxa"/>
            <w:shd w:val="clear" w:color="auto" w:fill="C6EFCE"/>
            <w:noWrap/>
          </w:tcPr>
          <w:p w14:paraId="029EED88" w14:textId="77777777" w:rsidR="00553430" w:rsidRDefault="00212577">
            <w:pPr>
              <w:pStyle w:val="P68B1DB1-Normal102"/>
              <w:rPr>
                <w:noProof/>
              </w:rPr>
            </w:pPr>
            <w:r>
              <w:rPr>
                <w:noProof/>
              </w:rPr>
              <w:t>Publication d’analyses indépendantes et de recommandations concrètes visant à améliorer la gestion de la charge de l’ensemble du personnel des principales institutions du système de passation des marchés (MINGOR, SAFU, DKOM).</w:t>
            </w:r>
          </w:p>
        </w:tc>
        <w:tc>
          <w:tcPr>
            <w:tcW w:w="1808" w:type="dxa"/>
            <w:shd w:val="clear" w:color="auto" w:fill="C6EFCE"/>
            <w:noWrap/>
          </w:tcPr>
          <w:p w14:paraId="260B2FFB" w14:textId="77777777" w:rsidR="00553430" w:rsidRDefault="00212577">
            <w:pPr>
              <w:pStyle w:val="P68B1DB1-Normal102"/>
              <w:rPr>
                <w:noProof/>
              </w:rPr>
            </w:pPr>
            <w:r>
              <w:rPr>
                <w:noProof/>
              </w:rPr>
              <w:t>Publication d’une analyse de l</w:t>
            </w:r>
            <w:r>
              <w:rPr>
                <w:noProof/>
              </w:rPr>
              <w:t>a charge de travail des employés des principales institutions dans le système de passation des marchés publics (MINGOR, SAFU et DKOM), y compris un plan d’action pour mettre en œuvre les recommandations et les mesures en matière de ressources humaines</w:t>
            </w:r>
          </w:p>
        </w:tc>
        <w:tc>
          <w:tcPr>
            <w:tcW w:w="1096" w:type="dxa"/>
            <w:shd w:val="clear" w:color="auto" w:fill="C6EFCE"/>
            <w:noWrap/>
          </w:tcPr>
          <w:p w14:paraId="163C8528" w14:textId="77777777" w:rsidR="00553430" w:rsidRDefault="00212577">
            <w:pPr>
              <w:pStyle w:val="P68B1DB1-Normal102"/>
              <w:jc w:val="center"/>
              <w:rPr>
                <w:noProof/>
              </w:rPr>
            </w:pPr>
            <w:r>
              <w:rPr>
                <w:noProof/>
              </w:rPr>
              <w:t> </w:t>
            </w:r>
          </w:p>
        </w:tc>
        <w:tc>
          <w:tcPr>
            <w:tcW w:w="966" w:type="dxa"/>
            <w:shd w:val="clear" w:color="auto" w:fill="C6EFCE"/>
            <w:noWrap/>
          </w:tcPr>
          <w:p w14:paraId="2ACD1943" w14:textId="77777777" w:rsidR="00553430" w:rsidRDefault="00212577">
            <w:pPr>
              <w:pStyle w:val="P68B1DB1-Normal102"/>
              <w:jc w:val="center"/>
              <w:rPr>
                <w:noProof/>
              </w:rPr>
            </w:pPr>
            <w:r>
              <w:rPr>
                <w:noProof/>
              </w:rPr>
              <w:t> </w:t>
            </w:r>
          </w:p>
        </w:tc>
        <w:tc>
          <w:tcPr>
            <w:tcW w:w="927" w:type="dxa"/>
            <w:shd w:val="clear" w:color="auto" w:fill="C6EFCE"/>
            <w:noWrap/>
          </w:tcPr>
          <w:p w14:paraId="194EEEFE" w14:textId="77777777" w:rsidR="00553430" w:rsidRDefault="00212577">
            <w:pPr>
              <w:pStyle w:val="P68B1DB1-Normal102"/>
              <w:jc w:val="center"/>
              <w:rPr>
                <w:noProof/>
              </w:rPr>
            </w:pPr>
            <w:r>
              <w:rPr>
                <w:noProof/>
              </w:rPr>
              <w:t> </w:t>
            </w:r>
          </w:p>
        </w:tc>
        <w:tc>
          <w:tcPr>
            <w:tcW w:w="756" w:type="dxa"/>
            <w:shd w:val="clear" w:color="auto" w:fill="C6EFCE"/>
            <w:noWrap/>
          </w:tcPr>
          <w:p w14:paraId="04333CFA" w14:textId="77777777" w:rsidR="00553430" w:rsidRDefault="00212577">
            <w:pPr>
              <w:pStyle w:val="P68B1DB1-Normal102"/>
              <w:jc w:val="center"/>
              <w:rPr>
                <w:noProof/>
              </w:rPr>
            </w:pPr>
            <w:r>
              <w:rPr>
                <w:noProof/>
              </w:rPr>
              <w:t>T3</w:t>
            </w:r>
          </w:p>
        </w:tc>
        <w:tc>
          <w:tcPr>
            <w:tcW w:w="960" w:type="dxa"/>
            <w:shd w:val="clear" w:color="auto" w:fill="C6EFCE"/>
            <w:noWrap/>
          </w:tcPr>
          <w:p w14:paraId="3CB6E6DD" w14:textId="77777777" w:rsidR="00553430" w:rsidRDefault="00212577">
            <w:pPr>
              <w:pStyle w:val="P68B1DB1-Normal102"/>
              <w:jc w:val="center"/>
              <w:rPr>
                <w:noProof/>
              </w:rPr>
            </w:pPr>
            <w:r>
              <w:rPr>
                <w:noProof/>
              </w:rPr>
              <w:t>2022</w:t>
            </w:r>
          </w:p>
        </w:tc>
        <w:tc>
          <w:tcPr>
            <w:tcW w:w="4347" w:type="dxa"/>
            <w:shd w:val="clear" w:color="auto" w:fill="C6EFCE"/>
            <w:noWrap/>
          </w:tcPr>
          <w:p w14:paraId="4FC36DEC" w14:textId="77777777" w:rsidR="00553430" w:rsidRDefault="00212577">
            <w:pPr>
              <w:pStyle w:val="P68B1DB1-Normal102"/>
              <w:rPr>
                <w:noProof/>
              </w:rPr>
            </w:pPr>
            <w:r>
              <w:rPr>
                <w:noProof/>
              </w:rPr>
              <w:t>Des experts externes indépendants procèdent à une analyse complète de la charge de travail du personnel des institutions clés dans le système de passation des marchés publics inclus dans les fonds de l’Union, y compris la description des tâches q</w:t>
            </w:r>
            <w:r>
              <w:rPr>
                <w:noProof/>
              </w:rPr>
              <w:t>u’elles exécutent et les compétences et le système de compensation nécessaires. Le rapport indépendant publié se fondera sur une analyse complète des rôles dans le système de passation des marchés publics et de la charge de travail, en tenant compte des do</w:t>
            </w:r>
            <w:r>
              <w:rPr>
                <w:noProof/>
              </w:rPr>
              <w:t>nnées historiques sur la charge de travail et en les comparant aux tendances en matière d’augmentation de la charge de travail, y compris les besoins de formation sur des sujets spécifiques tels que les marchés publics durables et l’accès aux PME. Le rappo</w:t>
            </w:r>
            <w:r>
              <w:rPr>
                <w:noProof/>
              </w:rPr>
              <w:t>rt comprend un plan d’action visant à mettre en œuvre des mesures et des recommandations d’amélioration afin d’assurer le recrutement et le maintien en poste de personnel hautement qualifié.</w:t>
            </w:r>
          </w:p>
        </w:tc>
      </w:tr>
      <w:tr w:rsidR="00553430" w14:paraId="26C9B513" w14:textId="77777777">
        <w:trPr>
          <w:trHeight w:val="283"/>
          <w:jc w:val="center"/>
        </w:trPr>
        <w:tc>
          <w:tcPr>
            <w:tcW w:w="849" w:type="dxa"/>
            <w:shd w:val="clear" w:color="auto" w:fill="C6EFCE"/>
            <w:noWrap/>
          </w:tcPr>
          <w:p w14:paraId="5F66E150" w14:textId="77777777" w:rsidR="00553430" w:rsidRDefault="00212577">
            <w:pPr>
              <w:pStyle w:val="P68B1DB1-Normal102"/>
              <w:jc w:val="center"/>
              <w:rPr>
                <w:noProof/>
              </w:rPr>
            </w:pPr>
            <w:r>
              <w:rPr>
                <w:noProof/>
              </w:rPr>
              <w:t>260</w:t>
            </w:r>
          </w:p>
        </w:tc>
        <w:tc>
          <w:tcPr>
            <w:tcW w:w="1200" w:type="dxa"/>
            <w:shd w:val="clear" w:color="auto" w:fill="C6EFCE"/>
            <w:noWrap/>
          </w:tcPr>
          <w:p w14:paraId="08DEA8BC" w14:textId="77777777" w:rsidR="00553430" w:rsidRDefault="00212577">
            <w:pPr>
              <w:pStyle w:val="P68B1DB1-Normal102"/>
              <w:jc w:val="center"/>
              <w:rPr>
                <w:noProof/>
              </w:rPr>
            </w:pPr>
            <w:r>
              <w:rPr>
                <w:noProof/>
              </w:rPr>
              <w:t>C2.9. R2</w:t>
            </w:r>
          </w:p>
        </w:tc>
        <w:tc>
          <w:tcPr>
            <w:tcW w:w="1080" w:type="dxa"/>
            <w:shd w:val="clear" w:color="auto" w:fill="C6EFCE"/>
            <w:noWrap/>
          </w:tcPr>
          <w:p w14:paraId="60FBF2A3" w14:textId="77777777" w:rsidR="00553430" w:rsidRDefault="00212577">
            <w:pPr>
              <w:pStyle w:val="P68B1DB1-Normal102"/>
              <w:jc w:val="center"/>
              <w:rPr>
                <w:noProof/>
              </w:rPr>
            </w:pPr>
            <w:r>
              <w:rPr>
                <w:noProof/>
              </w:rPr>
              <w:t>M</w:t>
            </w:r>
          </w:p>
        </w:tc>
        <w:tc>
          <w:tcPr>
            <w:tcW w:w="1800" w:type="dxa"/>
            <w:shd w:val="clear" w:color="auto" w:fill="C6EFCE"/>
            <w:noWrap/>
          </w:tcPr>
          <w:p w14:paraId="3C9835DA" w14:textId="77777777" w:rsidR="00553430" w:rsidRDefault="00212577">
            <w:pPr>
              <w:pStyle w:val="P68B1DB1-Normal102"/>
              <w:rPr>
                <w:noProof/>
              </w:rPr>
            </w:pPr>
            <w:r>
              <w:rPr>
                <w:noProof/>
              </w:rPr>
              <w:t>Modification</w:t>
            </w:r>
            <w:r>
              <w:rPr>
                <w:noProof/>
              </w:rPr>
              <w:t xml:space="preserve"> du cadre législatif relatif aux marchés publics faisant de l’utilisation du recours électronique un moyen obligatoire d’introduire un recours</w:t>
            </w:r>
          </w:p>
        </w:tc>
        <w:tc>
          <w:tcPr>
            <w:tcW w:w="1808" w:type="dxa"/>
            <w:shd w:val="clear" w:color="auto" w:fill="C6EFCE"/>
            <w:noWrap/>
          </w:tcPr>
          <w:p w14:paraId="3656AF7B" w14:textId="77777777" w:rsidR="00553430" w:rsidRDefault="00212577">
            <w:pPr>
              <w:pStyle w:val="P68B1DB1-Normal102"/>
              <w:rPr>
                <w:noProof/>
              </w:rPr>
            </w:pPr>
            <w:r>
              <w:rPr>
                <w:noProof/>
              </w:rPr>
              <w:t>Entrée en vigueur des modifications de la loi sur les marchés publics et des règlements (ordonnance sur les recou</w:t>
            </w:r>
            <w:r>
              <w:rPr>
                <w:noProof/>
              </w:rPr>
              <w:t xml:space="preserve">rs dans les procédures de passation des marchés publics) </w:t>
            </w:r>
          </w:p>
        </w:tc>
        <w:tc>
          <w:tcPr>
            <w:tcW w:w="1096" w:type="dxa"/>
            <w:shd w:val="clear" w:color="auto" w:fill="C6EFCE"/>
            <w:noWrap/>
          </w:tcPr>
          <w:p w14:paraId="3696DFDF" w14:textId="77777777" w:rsidR="00553430" w:rsidRDefault="00212577">
            <w:pPr>
              <w:pStyle w:val="P68B1DB1-Normal102"/>
              <w:jc w:val="center"/>
              <w:rPr>
                <w:noProof/>
              </w:rPr>
            </w:pPr>
            <w:r>
              <w:rPr>
                <w:noProof/>
              </w:rPr>
              <w:t> </w:t>
            </w:r>
          </w:p>
        </w:tc>
        <w:tc>
          <w:tcPr>
            <w:tcW w:w="966" w:type="dxa"/>
            <w:shd w:val="clear" w:color="auto" w:fill="C6EFCE"/>
            <w:noWrap/>
          </w:tcPr>
          <w:p w14:paraId="55172DDA" w14:textId="77777777" w:rsidR="00553430" w:rsidRDefault="00212577">
            <w:pPr>
              <w:pStyle w:val="P68B1DB1-Normal102"/>
              <w:jc w:val="center"/>
              <w:rPr>
                <w:noProof/>
              </w:rPr>
            </w:pPr>
            <w:r>
              <w:rPr>
                <w:noProof/>
              </w:rPr>
              <w:t> </w:t>
            </w:r>
          </w:p>
        </w:tc>
        <w:tc>
          <w:tcPr>
            <w:tcW w:w="927" w:type="dxa"/>
            <w:shd w:val="clear" w:color="auto" w:fill="C6EFCE"/>
            <w:noWrap/>
          </w:tcPr>
          <w:p w14:paraId="7546D4BE" w14:textId="77777777" w:rsidR="00553430" w:rsidRDefault="00212577">
            <w:pPr>
              <w:pStyle w:val="P68B1DB1-Normal102"/>
              <w:jc w:val="center"/>
              <w:rPr>
                <w:noProof/>
              </w:rPr>
            </w:pPr>
            <w:r>
              <w:rPr>
                <w:noProof/>
              </w:rPr>
              <w:t> </w:t>
            </w:r>
          </w:p>
        </w:tc>
        <w:tc>
          <w:tcPr>
            <w:tcW w:w="756" w:type="dxa"/>
            <w:shd w:val="clear" w:color="auto" w:fill="C6EFCE"/>
            <w:noWrap/>
          </w:tcPr>
          <w:p w14:paraId="395C60FB" w14:textId="77777777" w:rsidR="00553430" w:rsidRDefault="00212577">
            <w:pPr>
              <w:pStyle w:val="P68B1DB1-Normal102"/>
              <w:jc w:val="center"/>
              <w:rPr>
                <w:noProof/>
              </w:rPr>
            </w:pPr>
            <w:r>
              <w:rPr>
                <w:noProof/>
              </w:rPr>
              <w:t>T3</w:t>
            </w:r>
          </w:p>
        </w:tc>
        <w:tc>
          <w:tcPr>
            <w:tcW w:w="960" w:type="dxa"/>
            <w:shd w:val="clear" w:color="auto" w:fill="C6EFCE"/>
            <w:noWrap/>
          </w:tcPr>
          <w:p w14:paraId="28013CA6" w14:textId="77777777" w:rsidR="00553430" w:rsidRDefault="00212577">
            <w:pPr>
              <w:pStyle w:val="P68B1DB1-Normal102"/>
              <w:jc w:val="center"/>
              <w:rPr>
                <w:noProof/>
              </w:rPr>
            </w:pPr>
            <w:r>
              <w:rPr>
                <w:noProof/>
              </w:rPr>
              <w:t>2022</w:t>
            </w:r>
          </w:p>
        </w:tc>
        <w:tc>
          <w:tcPr>
            <w:tcW w:w="4347" w:type="dxa"/>
            <w:shd w:val="clear" w:color="auto" w:fill="C6EFCE"/>
            <w:noWrap/>
          </w:tcPr>
          <w:p w14:paraId="52808060" w14:textId="77777777" w:rsidR="00553430" w:rsidRDefault="00212577">
            <w:pPr>
              <w:pStyle w:val="P68B1DB1-Normal102"/>
              <w:rPr>
                <w:noProof/>
                <w:color w:val="000000" w:themeColor="text1"/>
              </w:rPr>
            </w:pPr>
            <w:r>
              <w:rPr>
                <w:noProof/>
              </w:rPr>
              <w:t>Le cadre législatif relatif aux marchés publics (la loi sur les marchés publics et les règlements administratifs pertinents) est modifié afin d’introduire le recours électronique en ta</w:t>
            </w:r>
            <w:r>
              <w:rPr>
                <w:noProof/>
              </w:rPr>
              <w:t>nt que moyen obligatoire d’obtenir réparation dans le système de passation des marchés publics.</w:t>
            </w:r>
          </w:p>
        </w:tc>
      </w:tr>
      <w:tr w:rsidR="00553430" w14:paraId="7A7AB415" w14:textId="77777777">
        <w:trPr>
          <w:trHeight w:val="283"/>
          <w:jc w:val="center"/>
        </w:trPr>
        <w:tc>
          <w:tcPr>
            <w:tcW w:w="849" w:type="dxa"/>
            <w:shd w:val="clear" w:color="auto" w:fill="C6EFCE"/>
            <w:noWrap/>
          </w:tcPr>
          <w:p w14:paraId="23345758" w14:textId="77777777" w:rsidR="00553430" w:rsidRDefault="00212577">
            <w:pPr>
              <w:pStyle w:val="P68B1DB1-Normal102"/>
              <w:jc w:val="center"/>
              <w:rPr>
                <w:noProof/>
              </w:rPr>
            </w:pPr>
            <w:r>
              <w:rPr>
                <w:noProof/>
              </w:rPr>
              <w:t>261</w:t>
            </w:r>
          </w:p>
        </w:tc>
        <w:tc>
          <w:tcPr>
            <w:tcW w:w="1200" w:type="dxa"/>
            <w:shd w:val="clear" w:color="auto" w:fill="C6EFCE"/>
            <w:noWrap/>
          </w:tcPr>
          <w:p w14:paraId="2A07A2B6" w14:textId="77777777" w:rsidR="00553430" w:rsidRDefault="00212577">
            <w:pPr>
              <w:pStyle w:val="P68B1DB1-Normal102"/>
              <w:jc w:val="center"/>
              <w:rPr>
                <w:noProof/>
              </w:rPr>
            </w:pPr>
            <w:r>
              <w:rPr>
                <w:noProof/>
              </w:rPr>
              <w:t>C2.9. R2</w:t>
            </w:r>
          </w:p>
        </w:tc>
        <w:tc>
          <w:tcPr>
            <w:tcW w:w="1080" w:type="dxa"/>
            <w:shd w:val="clear" w:color="auto" w:fill="C6EFCE"/>
            <w:noWrap/>
          </w:tcPr>
          <w:p w14:paraId="01F9EE7F" w14:textId="77777777" w:rsidR="00553430" w:rsidRDefault="00212577">
            <w:pPr>
              <w:pStyle w:val="P68B1DB1-Normal102"/>
              <w:jc w:val="center"/>
              <w:rPr>
                <w:noProof/>
              </w:rPr>
            </w:pPr>
            <w:r>
              <w:rPr>
                <w:noProof/>
              </w:rPr>
              <w:t>T</w:t>
            </w:r>
          </w:p>
        </w:tc>
        <w:tc>
          <w:tcPr>
            <w:tcW w:w="1800" w:type="dxa"/>
            <w:shd w:val="clear" w:color="auto" w:fill="C6EFCE"/>
            <w:noWrap/>
          </w:tcPr>
          <w:p w14:paraId="6C3F3176" w14:textId="77777777" w:rsidR="00553430" w:rsidRDefault="00212577">
            <w:pPr>
              <w:pStyle w:val="P68B1DB1-Normal102"/>
              <w:rPr>
                <w:noProof/>
              </w:rPr>
            </w:pPr>
            <w:r>
              <w:rPr>
                <w:noProof/>
              </w:rPr>
              <w:t xml:space="preserve">Réduction du délai moyen de traitement des appels et des décisions </w:t>
            </w:r>
          </w:p>
        </w:tc>
        <w:tc>
          <w:tcPr>
            <w:tcW w:w="1808" w:type="dxa"/>
            <w:shd w:val="clear" w:color="auto" w:fill="C6EFCE"/>
            <w:noWrap/>
          </w:tcPr>
          <w:p w14:paraId="4F5965F8" w14:textId="77777777" w:rsidR="00553430" w:rsidRDefault="00212577">
            <w:pPr>
              <w:pStyle w:val="P68B1DB1-Normal102"/>
              <w:rPr>
                <w:noProof/>
              </w:rPr>
            </w:pPr>
            <w:r>
              <w:rPr>
                <w:noProof/>
              </w:rPr>
              <w:t xml:space="preserve"> </w:t>
            </w:r>
          </w:p>
        </w:tc>
        <w:tc>
          <w:tcPr>
            <w:tcW w:w="1096" w:type="dxa"/>
            <w:shd w:val="clear" w:color="auto" w:fill="C6EFCE"/>
            <w:noWrap/>
          </w:tcPr>
          <w:p w14:paraId="33A9AD71" w14:textId="77777777" w:rsidR="00553430" w:rsidRDefault="00212577">
            <w:pPr>
              <w:pStyle w:val="P68B1DB1-Normal102"/>
              <w:jc w:val="center"/>
              <w:rPr>
                <w:noProof/>
              </w:rPr>
            </w:pPr>
            <w:r>
              <w:rPr>
                <w:noProof/>
              </w:rPr>
              <w:t>Numéro</w:t>
            </w:r>
          </w:p>
        </w:tc>
        <w:tc>
          <w:tcPr>
            <w:tcW w:w="966" w:type="dxa"/>
            <w:shd w:val="clear" w:color="auto" w:fill="C6EFCE"/>
            <w:noWrap/>
          </w:tcPr>
          <w:p w14:paraId="0F6F936F" w14:textId="77777777" w:rsidR="00553430" w:rsidRDefault="00212577">
            <w:pPr>
              <w:pStyle w:val="P68B1DB1-Normal102"/>
              <w:jc w:val="center"/>
              <w:rPr>
                <w:noProof/>
              </w:rPr>
            </w:pPr>
            <w:r>
              <w:rPr>
                <w:noProof/>
              </w:rPr>
              <w:t>35.2</w:t>
            </w:r>
          </w:p>
        </w:tc>
        <w:tc>
          <w:tcPr>
            <w:tcW w:w="927" w:type="dxa"/>
            <w:shd w:val="clear" w:color="auto" w:fill="C6EFCE"/>
            <w:noWrap/>
          </w:tcPr>
          <w:p w14:paraId="4677B276" w14:textId="77777777" w:rsidR="00553430" w:rsidRDefault="00212577">
            <w:pPr>
              <w:pStyle w:val="P68B1DB1-Normal102"/>
              <w:jc w:val="center"/>
              <w:rPr>
                <w:noProof/>
              </w:rPr>
            </w:pPr>
            <w:r>
              <w:rPr>
                <w:noProof/>
              </w:rPr>
              <w:t>29.2</w:t>
            </w:r>
          </w:p>
        </w:tc>
        <w:tc>
          <w:tcPr>
            <w:tcW w:w="756" w:type="dxa"/>
            <w:shd w:val="clear" w:color="auto" w:fill="C6EFCE"/>
            <w:noWrap/>
          </w:tcPr>
          <w:p w14:paraId="790627FD" w14:textId="77777777" w:rsidR="00553430" w:rsidRDefault="00212577">
            <w:pPr>
              <w:pStyle w:val="P68B1DB1-Normal102"/>
              <w:jc w:val="center"/>
              <w:rPr>
                <w:noProof/>
              </w:rPr>
            </w:pPr>
            <w:r>
              <w:rPr>
                <w:noProof/>
              </w:rPr>
              <w:t>T4</w:t>
            </w:r>
          </w:p>
        </w:tc>
        <w:tc>
          <w:tcPr>
            <w:tcW w:w="960" w:type="dxa"/>
            <w:shd w:val="clear" w:color="auto" w:fill="C6EFCE"/>
            <w:noWrap/>
          </w:tcPr>
          <w:p w14:paraId="7C390DEA" w14:textId="77777777" w:rsidR="00553430" w:rsidRDefault="00212577">
            <w:pPr>
              <w:pStyle w:val="P68B1DB1-Normal102"/>
              <w:jc w:val="center"/>
              <w:rPr>
                <w:noProof/>
              </w:rPr>
            </w:pPr>
            <w:r>
              <w:rPr>
                <w:noProof/>
              </w:rPr>
              <w:t>2024</w:t>
            </w:r>
          </w:p>
        </w:tc>
        <w:tc>
          <w:tcPr>
            <w:tcW w:w="4347" w:type="dxa"/>
            <w:shd w:val="clear" w:color="auto" w:fill="C6EFCE"/>
            <w:noWrap/>
          </w:tcPr>
          <w:p w14:paraId="33D7D7B3" w14:textId="77777777" w:rsidR="00553430" w:rsidRDefault="00212577">
            <w:pPr>
              <w:pStyle w:val="P68B1DB1-Normal102"/>
              <w:rPr>
                <w:noProof/>
              </w:rPr>
            </w:pPr>
            <w:r>
              <w:rPr>
                <w:noProof/>
              </w:rPr>
              <w:t xml:space="preserve">Le nombre moyen de jours pour statuer sur les </w:t>
            </w:r>
            <w:r>
              <w:rPr>
                <w:noProof/>
              </w:rPr>
              <w:t>affaires de recours à compter de la date de réception du recours est réduit d’au moins six jours.</w:t>
            </w:r>
          </w:p>
        </w:tc>
      </w:tr>
      <w:tr w:rsidR="00553430" w14:paraId="0DC42384" w14:textId="77777777">
        <w:trPr>
          <w:trHeight w:val="283"/>
          <w:jc w:val="center"/>
        </w:trPr>
        <w:tc>
          <w:tcPr>
            <w:tcW w:w="849" w:type="dxa"/>
            <w:shd w:val="clear" w:color="auto" w:fill="C6EFCE"/>
            <w:noWrap/>
          </w:tcPr>
          <w:p w14:paraId="505B8376" w14:textId="77777777" w:rsidR="00553430" w:rsidRDefault="00212577">
            <w:pPr>
              <w:pStyle w:val="P68B1DB1-Normal102"/>
              <w:jc w:val="center"/>
              <w:rPr>
                <w:noProof/>
              </w:rPr>
            </w:pPr>
            <w:r>
              <w:rPr>
                <w:noProof/>
              </w:rPr>
              <w:t>263</w:t>
            </w:r>
          </w:p>
        </w:tc>
        <w:tc>
          <w:tcPr>
            <w:tcW w:w="1200" w:type="dxa"/>
            <w:shd w:val="clear" w:color="auto" w:fill="C6EFCE"/>
            <w:noWrap/>
          </w:tcPr>
          <w:p w14:paraId="61CF2D31" w14:textId="77777777" w:rsidR="00553430" w:rsidRDefault="00212577">
            <w:pPr>
              <w:pStyle w:val="P68B1DB1-Normal102"/>
              <w:jc w:val="center"/>
              <w:rPr>
                <w:noProof/>
              </w:rPr>
            </w:pPr>
            <w:r>
              <w:rPr>
                <w:noProof/>
              </w:rPr>
              <w:t>C2.9. R3</w:t>
            </w:r>
          </w:p>
        </w:tc>
        <w:tc>
          <w:tcPr>
            <w:tcW w:w="1080" w:type="dxa"/>
            <w:shd w:val="clear" w:color="auto" w:fill="C6EFCE"/>
            <w:noWrap/>
          </w:tcPr>
          <w:p w14:paraId="64059D25" w14:textId="77777777" w:rsidR="00553430" w:rsidRDefault="00212577">
            <w:pPr>
              <w:pStyle w:val="P68B1DB1-Normal102"/>
              <w:jc w:val="center"/>
              <w:rPr>
                <w:noProof/>
              </w:rPr>
            </w:pPr>
            <w:r>
              <w:rPr>
                <w:noProof/>
              </w:rPr>
              <w:t>M</w:t>
            </w:r>
          </w:p>
        </w:tc>
        <w:tc>
          <w:tcPr>
            <w:tcW w:w="1800" w:type="dxa"/>
            <w:shd w:val="clear" w:color="auto" w:fill="C6EFCE"/>
            <w:noWrap/>
          </w:tcPr>
          <w:p w14:paraId="466A874E" w14:textId="77777777" w:rsidR="00553430" w:rsidRDefault="00212577">
            <w:pPr>
              <w:pStyle w:val="P68B1DB1-Normal102"/>
              <w:rPr>
                <w:noProof/>
              </w:rPr>
            </w:pPr>
            <w:r>
              <w:rPr>
                <w:noProof/>
              </w:rPr>
              <w:t>Programmes et activités visant à concevoir et à gérer des marchés publics innovants</w:t>
            </w:r>
          </w:p>
        </w:tc>
        <w:tc>
          <w:tcPr>
            <w:tcW w:w="1808" w:type="dxa"/>
            <w:shd w:val="clear" w:color="auto" w:fill="C6EFCE"/>
            <w:noWrap/>
          </w:tcPr>
          <w:p w14:paraId="7FD5A6A1" w14:textId="77777777" w:rsidR="00553430" w:rsidRDefault="00212577">
            <w:pPr>
              <w:pStyle w:val="P68B1DB1-Normal102"/>
              <w:rPr>
                <w:noProof/>
              </w:rPr>
            </w:pPr>
            <w:r>
              <w:rPr>
                <w:noProof/>
              </w:rPr>
              <w:t xml:space="preserve">Programme en place pour fournir une assistance et une </w:t>
            </w:r>
            <w:r>
              <w:rPr>
                <w:noProof/>
              </w:rPr>
              <w:t>formation professionnelles aux acheteurs dans le domaine de la passation de marchés en matière d’innovation</w:t>
            </w:r>
          </w:p>
        </w:tc>
        <w:tc>
          <w:tcPr>
            <w:tcW w:w="1096" w:type="dxa"/>
            <w:shd w:val="clear" w:color="auto" w:fill="C6EFCE"/>
            <w:noWrap/>
          </w:tcPr>
          <w:p w14:paraId="426672E3" w14:textId="77777777" w:rsidR="00553430" w:rsidRDefault="00212577">
            <w:pPr>
              <w:pStyle w:val="P68B1DB1-Normal102"/>
              <w:jc w:val="center"/>
              <w:rPr>
                <w:noProof/>
              </w:rPr>
            </w:pPr>
            <w:r>
              <w:rPr>
                <w:noProof/>
              </w:rPr>
              <w:t> </w:t>
            </w:r>
          </w:p>
        </w:tc>
        <w:tc>
          <w:tcPr>
            <w:tcW w:w="966" w:type="dxa"/>
            <w:shd w:val="clear" w:color="auto" w:fill="C6EFCE"/>
            <w:noWrap/>
          </w:tcPr>
          <w:p w14:paraId="6F5246CE" w14:textId="77777777" w:rsidR="00553430" w:rsidRDefault="00212577">
            <w:pPr>
              <w:pStyle w:val="P68B1DB1-Normal102"/>
              <w:jc w:val="center"/>
              <w:rPr>
                <w:noProof/>
              </w:rPr>
            </w:pPr>
            <w:r>
              <w:rPr>
                <w:noProof/>
              </w:rPr>
              <w:t> </w:t>
            </w:r>
          </w:p>
        </w:tc>
        <w:tc>
          <w:tcPr>
            <w:tcW w:w="927" w:type="dxa"/>
            <w:shd w:val="clear" w:color="auto" w:fill="C6EFCE"/>
            <w:noWrap/>
          </w:tcPr>
          <w:p w14:paraId="42732C98" w14:textId="77777777" w:rsidR="00553430" w:rsidRDefault="00212577">
            <w:pPr>
              <w:pStyle w:val="P68B1DB1-Normal102"/>
              <w:jc w:val="center"/>
              <w:rPr>
                <w:noProof/>
              </w:rPr>
            </w:pPr>
            <w:r>
              <w:rPr>
                <w:noProof/>
              </w:rPr>
              <w:t> </w:t>
            </w:r>
          </w:p>
        </w:tc>
        <w:tc>
          <w:tcPr>
            <w:tcW w:w="756" w:type="dxa"/>
            <w:shd w:val="clear" w:color="auto" w:fill="C6EFCE"/>
            <w:noWrap/>
          </w:tcPr>
          <w:p w14:paraId="5782A274" w14:textId="77777777" w:rsidR="00553430" w:rsidRDefault="00212577">
            <w:pPr>
              <w:pStyle w:val="P68B1DB1-Normal102"/>
              <w:jc w:val="center"/>
              <w:rPr>
                <w:noProof/>
              </w:rPr>
            </w:pPr>
            <w:r>
              <w:rPr>
                <w:noProof/>
              </w:rPr>
              <w:t>T1</w:t>
            </w:r>
          </w:p>
        </w:tc>
        <w:tc>
          <w:tcPr>
            <w:tcW w:w="960" w:type="dxa"/>
            <w:shd w:val="clear" w:color="auto" w:fill="C6EFCE"/>
            <w:noWrap/>
          </w:tcPr>
          <w:p w14:paraId="499F10CF" w14:textId="77777777" w:rsidR="00553430" w:rsidRDefault="00212577">
            <w:pPr>
              <w:pStyle w:val="P68B1DB1-Normal102"/>
              <w:jc w:val="center"/>
              <w:rPr>
                <w:noProof/>
              </w:rPr>
            </w:pPr>
            <w:r>
              <w:rPr>
                <w:noProof/>
              </w:rPr>
              <w:t>2024</w:t>
            </w:r>
          </w:p>
        </w:tc>
        <w:tc>
          <w:tcPr>
            <w:tcW w:w="4347" w:type="dxa"/>
            <w:shd w:val="clear" w:color="auto" w:fill="C6EFCE"/>
            <w:noWrap/>
          </w:tcPr>
          <w:p w14:paraId="7654B8C7" w14:textId="5CFB7F4B" w:rsidR="00553430" w:rsidRDefault="00212577">
            <w:pPr>
              <w:pStyle w:val="P68B1DB1-Normal102"/>
              <w:rPr>
                <w:noProof/>
              </w:rPr>
            </w:pPr>
            <w:r>
              <w:rPr>
                <w:noProof/>
              </w:rPr>
              <w:t>Avec le recours à l’assistance technique, les institutions croates mettent en place des programmes visant à fournir une assistance pro</w:t>
            </w:r>
            <w:r>
              <w:rPr>
                <w:noProof/>
              </w:rPr>
              <w:t>fessionnelle aux acheteurs dans le cadre des procédures de passation de marchés liées à l’innovation. Le Centre de la concurrence pour les marchés publics innovants mis en place à HAMAG-BICRO (Agence croate pour les petites entreprises, l’innovation et l’i</w:t>
            </w:r>
            <w:r>
              <w:rPr>
                <w:noProof/>
              </w:rPr>
              <w:t xml:space="preserve">nvestissement) est renforcé et son personnel est formé pour dispenser lui-même une formation sur les marchés publics de l’innovation. Les capacités administratives du MINGOR (ministère de l’économie et du développement durable) seront également renforcées </w:t>
            </w:r>
            <w:r>
              <w:rPr>
                <w:noProof/>
              </w:rPr>
              <w:t xml:space="preserve">de la même manière. Un rapport sur l’état d’avancement de ce renforcement des capacités sera élaboré d’ici au premier trimestre 2024. </w:t>
            </w:r>
          </w:p>
          <w:p w14:paraId="2B41937E" w14:textId="77777777" w:rsidR="00553430" w:rsidRDefault="00212577">
            <w:pPr>
              <w:pStyle w:val="P68B1DB1-Normal89"/>
              <w:rPr>
                <w:noProof/>
              </w:rPr>
            </w:pPr>
            <w:r>
              <w:rPr>
                <w:noProof/>
              </w:rPr>
              <w:t>En outre, un manuel à l’intention des entités adjudicatrices contenant des orientations sur la manière de mener des procé</w:t>
            </w:r>
            <w:r>
              <w:rPr>
                <w:noProof/>
              </w:rPr>
              <w:t>dures de passation de marchés liées à l’innovation est publié.</w:t>
            </w:r>
          </w:p>
        </w:tc>
      </w:tr>
      <w:tr w:rsidR="00553430" w14:paraId="6765234F" w14:textId="77777777">
        <w:trPr>
          <w:trHeight w:val="283"/>
          <w:jc w:val="center"/>
        </w:trPr>
        <w:tc>
          <w:tcPr>
            <w:tcW w:w="849" w:type="dxa"/>
            <w:shd w:val="clear" w:color="auto" w:fill="C6EFCE"/>
            <w:noWrap/>
          </w:tcPr>
          <w:p w14:paraId="38933128" w14:textId="77777777" w:rsidR="00553430" w:rsidRDefault="00212577">
            <w:pPr>
              <w:pStyle w:val="P68B1DB1-Normal102"/>
              <w:jc w:val="center"/>
              <w:rPr>
                <w:noProof/>
              </w:rPr>
            </w:pPr>
            <w:r>
              <w:rPr>
                <w:noProof/>
              </w:rPr>
              <w:t>264</w:t>
            </w:r>
          </w:p>
        </w:tc>
        <w:tc>
          <w:tcPr>
            <w:tcW w:w="1200" w:type="dxa"/>
            <w:shd w:val="clear" w:color="auto" w:fill="C6EFCE"/>
            <w:noWrap/>
          </w:tcPr>
          <w:p w14:paraId="01D199D6" w14:textId="77777777" w:rsidR="00553430" w:rsidRDefault="00212577">
            <w:pPr>
              <w:pStyle w:val="P68B1DB1-Normal102"/>
              <w:jc w:val="center"/>
              <w:rPr>
                <w:noProof/>
              </w:rPr>
            </w:pPr>
            <w:r>
              <w:rPr>
                <w:noProof/>
              </w:rPr>
              <w:t>C2.9. R3</w:t>
            </w:r>
          </w:p>
        </w:tc>
        <w:tc>
          <w:tcPr>
            <w:tcW w:w="1080" w:type="dxa"/>
            <w:shd w:val="clear" w:color="auto" w:fill="C6EFCE"/>
            <w:noWrap/>
          </w:tcPr>
          <w:p w14:paraId="61075319" w14:textId="77777777" w:rsidR="00553430" w:rsidRDefault="00212577">
            <w:pPr>
              <w:pStyle w:val="P68B1DB1-Normal102"/>
              <w:jc w:val="center"/>
              <w:rPr>
                <w:noProof/>
              </w:rPr>
            </w:pPr>
            <w:r>
              <w:rPr>
                <w:noProof/>
              </w:rPr>
              <w:t>T</w:t>
            </w:r>
          </w:p>
        </w:tc>
        <w:tc>
          <w:tcPr>
            <w:tcW w:w="1800" w:type="dxa"/>
            <w:shd w:val="clear" w:color="auto" w:fill="C6EFCE"/>
            <w:noWrap/>
          </w:tcPr>
          <w:p w14:paraId="710BD44D" w14:textId="77401AF8" w:rsidR="00553430" w:rsidRDefault="00212577">
            <w:pPr>
              <w:pStyle w:val="P68B1DB1-Normal102"/>
              <w:rPr>
                <w:noProof/>
              </w:rPr>
            </w:pPr>
            <w:r>
              <w:rPr>
                <w:noProof/>
              </w:rPr>
              <w:t xml:space="preserve">Formation à la passation de marchés dans le domaine de l’innovation </w:t>
            </w:r>
          </w:p>
        </w:tc>
        <w:tc>
          <w:tcPr>
            <w:tcW w:w="1808" w:type="dxa"/>
            <w:shd w:val="clear" w:color="auto" w:fill="C6EFCE"/>
            <w:noWrap/>
          </w:tcPr>
          <w:p w14:paraId="6DDC863B" w14:textId="77777777" w:rsidR="00553430" w:rsidRDefault="00212577">
            <w:pPr>
              <w:pStyle w:val="P68B1DB1-Normal102"/>
              <w:rPr>
                <w:noProof/>
              </w:rPr>
            </w:pPr>
            <w:r>
              <w:rPr>
                <w:noProof/>
              </w:rPr>
              <w:t xml:space="preserve"> </w:t>
            </w:r>
          </w:p>
        </w:tc>
        <w:tc>
          <w:tcPr>
            <w:tcW w:w="1096" w:type="dxa"/>
            <w:shd w:val="clear" w:color="auto" w:fill="C6EFCE"/>
            <w:noWrap/>
          </w:tcPr>
          <w:p w14:paraId="401673CE" w14:textId="77777777" w:rsidR="00553430" w:rsidRDefault="00212577">
            <w:pPr>
              <w:pStyle w:val="P68B1DB1-Normal102"/>
              <w:jc w:val="center"/>
              <w:rPr>
                <w:noProof/>
              </w:rPr>
            </w:pPr>
            <w:r>
              <w:rPr>
                <w:noProof/>
              </w:rPr>
              <w:t>Numéro</w:t>
            </w:r>
          </w:p>
        </w:tc>
        <w:tc>
          <w:tcPr>
            <w:tcW w:w="966" w:type="dxa"/>
            <w:shd w:val="clear" w:color="auto" w:fill="C6EFCE"/>
            <w:noWrap/>
          </w:tcPr>
          <w:p w14:paraId="38656EBE" w14:textId="77777777" w:rsidR="00553430" w:rsidRDefault="00212577">
            <w:pPr>
              <w:pStyle w:val="P68B1DB1-Normal102"/>
              <w:jc w:val="center"/>
              <w:rPr>
                <w:noProof/>
              </w:rPr>
            </w:pPr>
            <w:r>
              <w:rPr>
                <w:noProof/>
              </w:rPr>
              <w:t>0</w:t>
            </w:r>
          </w:p>
        </w:tc>
        <w:tc>
          <w:tcPr>
            <w:tcW w:w="927" w:type="dxa"/>
            <w:shd w:val="clear" w:color="auto" w:fill="C6EFCE"/>
            <w:noWrap/>
          </w:tcPr>
          <w:p w14:paraId="26563EC0" w14:textId="77777777" w:rsidR="00553430" w:rsidRDefault="00212577">
            <w:pPr>
              <w:pStyle w:val="P68B1DB1-Normal102"/>
              <w:jc w:val="center"/>
              <w:rPr>
                <w:noProof/>
              </w:rPr>
            </w:pPr>
            <w:r>
              <w:rPr>
                <w:noProof/>
              </w:rPr>
              <w:t>150</w:t>
            </w:r>
          </w:p>
        </w:tc>
        <w:tc>
          <w:tcPr>
            <w:tcW w:w="756" w:type="dxa"/>
            <w:shd w:val="clear" w:color="auto" w:fill="C6EFCE"/>
            <w:noWrap/>
          </w:tcPr>
          <w:p w14:paraId="55B2096A" w14:textId="77777777" w:rsidR="00553430" w:rsidRDefault="00212577">
            <w:pPr>
              <w:pStyle w:val="P68B1DB1-Normal102"/>
              <w:jc w:val="center"/>
              <w:rPr>
                <w:noProof/>
              </w:rPr>
            </w:pPr>
            <w:r>
              <w:rPr>
                <w:noProof/>
              </w:rPr>
              <w:t>T4</w:t>
            </w:r>
          </w:p>
        </w:tc>
        <w:tc>
          <w:tcPr>
            <w:tcW w:w="960" w:type="dxa"/>
            <w:shd w:val="clear" w:color="auto" w:fill="C6EFCE"/>
            <w:noWrap/>
          </w:tcPr>
          <w:p w14:paraId="2A201428" w14:textId="77777777" w:rsidR="00553430" w:rsidRDefault="00212577">
            <w:pPr>
              <w:pStyle w:val="P68B1DB1-Normal102"/>
              <w:jc w:val="center"/>
              <w:rPr>
                <w:noProof/>
              </w:rPr>
            </w:pPr>
            <w:r>
              <w:rPr>
                <w:noProof/>
              </w:rPr>
              <w:t>2025</w:t>
            </w:r>
          </w:p>
        </w:tc>
        <w:tc>
          <w:tcPr>
            <w:tcW w:w="4347" w:type="dxa"/>
            <w:shd w:val="clear" w:color="auto" w:fill="C6EFCE"/>
            <w:noWrap/>
          </w:tcPr>
          <w:p w14:paraId="2BB2048B" w14:textId="77777777" w:rsidR="00553430" w:rsidRDefault="00212577">
            <w:pPr>
              <w:pStyle w:val="P68B1DB1-Normal102"/>
              <w:rPr>
                <w:noProof/>
              </w:rPr>
            </w:pPr>
            <w:r>
              <w:rPr>
                <w:noProof/>
              </w:rPr>
              <w:t xml:space="preserve">Les représentants d’au moins 150 acheteurs publics sont formés à la passation de </w:t>
            </w:r>
            <w:r>
              <w:rPr>
                <w:noProof/>
              </w:rPr>
              <w:t>marchés dans le domaine de l’innovation. Les autorités contrôlent également l’utilisation des marchés publics d’innovation au moyen d’une publication statistique et mènent des activités de sensibilisation à l’intention des parties prenantes du secteur priv</w:t>
            </w:r>
            <w:r>
              <w:rPr>
                <w:noProof/>
              </w:rPr>
              <w:t>é.</w:t>
            </w:r>
          </w:p>
        </w:tc>
      </w:tr>
    </w:tbl>
    <w:p w14:paraId="2E086D3C" w14:textId="77777777" w:rsidR="00553430" w:rsidRDefault="00553430">
      <w:pPr>
        <w:rPr>
          <w:noProof/>
        </w:rPr>
        <w:sectPr w:rsidR="00553430" w:rsidSect="00FA29B2">
          <w:headerReference w:type="even" r:id="rId273"/>
          <w:headerReference w:type="default" r:id="rId274"/>
          <w:footerReference w:type="even" r:id="rId275"/>
          <w:footerReference w:type="default" r:id="rId276"/>
          <w:headerReference w:type="first" r:id="rId277"/>
          <w:footerReference w:type="first" r:id="rId278"/>
          <w:pgSz w:w="16839" w:h="11907" w:orient="landscape"/>
          <w:pgMar w:top="1134" w:right="1134" w:bottom="1134" w:left="1134" w:header="567" w:footer="567" w:gutter="0"/>
          <w:cols w:space="708"/>
          <w:docGrid w:linePitch="360"/>
        </w:sectPr>
      </w:pPr>
    </w:p>
    <w:p w14:paraId="145360FB" w14:textId="77777777" w:rsidR="00553430" w:rsidRDefault="00212577">
      <w:pPr>
        <w:pStyle w:val="P68B1DB1-Normal32"/>
        <w:keepNext/>
        <w:tabs>
          <w:tab w:val="left" w:pos="850"/>
        </w:tabs>
        <w:spacing w:before="360" w:line="240" w:lineRule="auto"/>
        <w:ind w:left="851"/>
        <w:jc w:val="both"/>
        <w:outlineLvl w:val="0"/>
        <w:rPr>
          <w:noProof/>
        </w:rPr>
      </w:pPr>
      <w:r>
        <w:rPr>
          <w:noProof/>
        </w:rPr>
        <w:t>P. ÉLÉMENT 3.1: RÉFORME DU SYSTÈME D'ÉDUCATION</w:t>
      </w:r>
    </w:p>
    <w:p w14:paraId="5DBC29EA" w14:textId="77777777" w:rsidR="00553430" w:rsidRDefault="00212577">
      <w:pPr>
        <w:pStyle w:val="P68B1DB1-Normal33"/>
        <w:spacing w:after="240" w:line="240" w:lineRule="auto"/>
        <w:jc w:val="both"/>
        <w:rPr>
          <w:noProof/>
        </w:rPr>
      </w:pPr>
      <w:r>
        <w:rPr>
          <w:noProof/>
        </w:rPr>
        <w:t xml:space="preserve">Le système éducatif croate est confronté à un certain nombre de défis importants. La fréquentation des structures formelles d’accueil des </w:t>
      </w:r>
      <w:r>
        <w:rPr>
          <w:noProof/>
        </w:rPr>
        <w:t>enfants et la participation à l’éducation et à l’accueil de la petite enfance sont parmi les plus faibles de l’UE, en grande partie en raison d’un manque d’infrastructures d’éducation et d’accueil de la petite enfance et d’une pénurie d’enseignants, de gra</w:t>
      </w:r>
      <w:r>
        <w:rPr>
          <w:noProof/>
        </w:rPr>
        <w:t>ndes disparités régionales exacerbant les inégalités. Le cycle de scolarité obligatoire (d'une durée de huit ans) est inférieur d'un an à la norme de l'UE. Le temps d’enseignement annuel dans les écoles primaires est également inférieur à la moyenne de l’U</w:t>
      </w:r>
      <w:r>
        <w:rPr>
          <w:noProof/>
        </w:rPr>
        <w:t>E, étant donné que de nombreuses écoles fonctionnent en alternance en raison de pénuries d’infrastructures. Les performances des élèves dans toutes les compétences de base sont inférieures à la moyenne de l’UE. Le nombre de diplômés de l’enseignement supér</w:t>
      </w:r>
      <w:r>
        <w:rPr>
          <w:noProof/>
        </w:rPr>
        <w:t>ieur est l’un des plus faibles de l’UE. La participation à l'éducation des adultes est également très faible.</w:t>
      </w:r>
    </w:p>
    <w:p w14:paraId="16A0E0B5" w14:textId="77777777" w:rsidR="00553430" w:rsidRDefault="00212577">
      <w:pPr>
        <w:pStyle w:val="P68B1DB1-Normal33"/>
        <w:spacing w:line="240" w:lineRule="auto"/>
        <w:jc w:val="both"/>
        <w:rPr>
          <w:noProof/>
        </w:rPr>
      </w:pPr>
      <w:r>
        <w:rPr>
          <w:noProof/>
        </w:rPr>
        <w:t>L'objectif de ce volet est de relever tous ces défis. Il comprend une réforme globale du système éducatif, qui vise à soutenir l’accès à l’éducati</w:t>
      </w:r>
      <w:r>
        <w:rPr>
          <w:noProof/>
        </w:rPr>
        <w:t xml:space="preserve">on et la qualité de celle-ci à tous les niveaux d’enseignement. Il comprend également des investissements complémentaires dans les infrastructures d’EAJE, les écoles et les infrastructures numériques de l’enseignement supérieur. </w:t>
      </w:r>
    </w:p>
    <w:p w14:paraId="34D94C68" w14:textId="77777777" w:rsidR="00553430" w:rsidRDefault="00212577">
      <w:pPr>
        <w:pStyle w:val="P68B1DB1-Normal33"/>
        <w:spacing w:line="240" w:lineRule="auto"/>
        <w:jc w:val="both"/>
        <w:rPr>
          <w:noProof/>
        </w:rPr>
      </w:pPr>
      <w:r>
        <w:rPr>
          <w:noProof/>
        </w:rPr>
        <w:t>Ce volet contribue à donne</w:t>
      </w:r>
      <w:r>
        <w:rPr>
          <w:noProof/>
        </w:rPr>
        <w:t>r suite aux recommandations par pays adressées à la Croatie au cours des deux dernières années, sur la nécessité de «réaliser</w:t>
      </w:r>
      <w:r>
        <w:rPr>
          <w:i/>
          <w:noProof/>
        </w:rPr>
        <w:t xml:space="preserve"> la réforme de l’éducation et d’améliorer à la fois l’accès à l’éducation et à la formation à tous les niveaux ainsi que leur quali</w:t>
      </w:r>
      <w:r>
        <w:rPr>
          <w:i/>
          <w:noProof/>
        </w:rPr>
        <w:t>té et leur adéquation au marché du travail»</w:t>
      </w:r>
      <w:r>
        <w:rPr>
          <w:noProof/>
        </w:rPr>
        <w:t>(recommandation n° 2 de 2019) et</w:t>
      </w:r>
      <w:r>
        <w:rPr>
          <w:i/>
          <w:noProof/>
        </w:rPr>
        <w:t xml:space="preserve"> de «promouvoir l’acquisition de compétences» (recommandation n° 2 de</w:t>
      </w:r>
      <w:r>
        <w:rPr>
          <w:noProof/>
        </w:rPr>
        <w:t xml:space="preserve"> 2020).</w:t>
      </w:r>
    </w:p>
    <w:p w14:paraId="0F5504A8" w14:textId="77777777" w:rsidR="00553430" w:rsidRDefault="00212577">
      <w:pPr>
        <w:pStyle w:val="P68B1DB1-Normal57"/>
        <w:keepNext/>
        <w:spacing w:before="40" w:after="0"/>
        <w:ind w:left="851"/>
        <w:jc w:val="both"/>
        <w:outlineLvl w:val="1"/>
        <w:rPr>
          <w:noProof/>
        </w:rPr>
      </w:pPr>
      <w:r>
        <w:rPr>
          <w:noProof/>
        </w:rPr>
        <w:t xml:space="preserve">P.1. </w:t>
      </w:r>
      <w:r>
        <w:rPr>
          <w:noProof/>
        </w:rPr>
        <w:tab/>
        <w:t>Description des réformes et des investissements pour le soutien financier non remboursable</w:t>
      </w:r>
    </w:p>
    <w:p w14:paraId="4BA05076" w14:textId="77777777" w:rsidR="00553430" w:rsidRDefault="00212577">
      <w:pPr>
        <w:pStyle w:val="P68B1DB1-Normal96"/>
        <w:keepNext/>
        <w:tabs>
          <w:tab w:val="num" w:pos="850"/>
        </w:tabs>
        <w:spacing w:before="240" w:after="0"/>
        <w:ind w:left="851"/>
        <w:jc w:val="both"/>
        <w:outlineLvl w:val="2"/>
        <w:rPr>
          <w:noProof/>
        </w:rPr>
      </w:pPr>
      <w:r>
        <w:rPr>
          <w:noProof/>
        </w:rPr>
        <w:t>Réforme</w:t>
      </w:r>
      <w:r>
        <w:rPr>
          <w:noProof/>
        </w:rPr>
        <w:t xml:space="preserve"> C3.1 R1 - Réforme structurelle du système éducatif</w:t>
      </w:r>
    </w:p>
    <w:p w14:paraId="603B97E1" w14:textId="682232B4" w:rsidR="00553430" w:rsidRDefault="00212577">
      <w:pPr>
        <w:pStyle w:val="P68B1DB1-Normal33"/>
        <w:spacing w:line="240" w:lineRule="auto"/>
        <w:jc w:val="both"/>
        <w:rPr>
          <w:noProof/>
        </w:rPr>
      </w:pPr>
      <w:r>
        <w:rPr>
          <w:noProof/>
        </w:rPr>
        <w:t>L’objectif de cette mesure est d’améliorer l’accès à l’éducation et sa qualité à tous les niveaux, en particulier pour les personnes et les enfants issus de groupes socio-économiquement défavorisés.</w:t>
      </w:r>
      <w:r w:rsidRPr="0037173D">
        <w:rPr>
          <w:noProof/>
          <w:vertAlign w:val="superscript"/>
          <w14:ligatures w14:val="none"/>
        </w:rPr>
        <w:footnoteReference w:id="19"/>
      </w:r>
      <w:r>
        <w:rPr>
          <w:noProof/>
        </w:rPr>
        <w:t xml:space="preserve"> </w:t>
      </w:r>
    </w:p>
    <w:p w14:paraId="693E8AD9" w14:textId="77777777" w:rsidR="00553430" w:rsidRDefault="00212577">
      <w:pPr>
        <w:pStyle w:val="P68B1DB1-Normal33"/>
        <w:numPr>
          <w:ilvl w:val="0"/>
          <w:numId w:val="69"/>
        </w:numPr>
        <w:spacing w:before="120" w:after="120" w:line="240" w:lineRule="auto"/>
        <w:jc w:val="both"/>
        <w:rPr>
          <w:noProof/>
        </w:rPr>
      </w:pPr>
      <w:r>
        <w:rPr>
          <w:noProof/>
        </w:rPr>
        <w:t>Édu</w:t>
      </w:r>
      <w:r>
        <w:rPr>
          <w:noProof/>
        </w:rPr>
        <w:t>cation et accueil de la petite enfance (EAPE)</w:t>
      </w:r>
    </w:p>
    <w:p w14:paraId="1F618731" w14:textId="345752F0" w:rsidR="00553430" w:rsidRDefault="00212577">
      <w:pPr>
        <w:pStyle w:val="P68B1DB1-Normal33"/>
        <w:spacing w:line="240" w:lineRule="auto"/>
        <w:jc w:val="both"/>
        <w:rPr>
          <w:noProof/>
        </w:rPr>
      </w:pPr>
      <w:r>
        <w:rPr>
          <w:noProof/>
        </w:rPr>
        <w:t>Cette réforme consiste à améliorer l’accès des enfants à l’éducation et à l’accueil de la petite enfance (EAJE) à partir de l’âge de trois ans jusqu’au début de l’enseignement primaire et à mettre en place un n</w:t>
      </w:r>
      <w:r>
        <w:rPr>
          <w:noProof/>
        </w:rPr>
        <w:t xml:space="preserve">ouveau modèle de financement pour garantir la viabilité à long terme du financement de l’EAJE. </w:t>
      </w:r>
    </w:p>
    <w:p w14:paraId="7B8C2CE7" w14:textId="77777777" w:rsidR="00553430" w:rsidRDefault="00212577">
      <w:pPr>
        <w:pStyle w:val="P68B1DB1-Normal33"/>
        <w:keepNext/>
        <w:numPr>
          <w:ilvl w:val="0"/>
          <w:numId w:val="69"/>
        </w:numPr>
        <w:spacing w:before="120" w:after="120" w:line="240" w:lineRule="auto"/>
        <w:ind w:left="357" w:hanging="357"/>
        <w:jc w:val="both"/>
        <w:rPr>
          <w:noProof/>
        </w:rPr>
      </w:pPr>
      <w:r>
        <w:rPr>
          <w:noProof/>
        </w:rPr>
        <w:t>Écoles primaires</w:t>
      </w:r>
    </w:p>
    <w:p w14:paraId="4BA38C68" w14:textId="77777777" w:rsidR="00553430" w:rsidRDefault="00212577">
      <w:pPr>
        <w:pStyle w:val="P68B1DB1-Normal33"/>
        <w:spacing w:line="240" w:lineRule="auto"/>
        <w:jc w:val="both"/>
        <w:rPr>
          <w:noProof/>
        </w:rPr>
      </w:pPr>
      <w:r>
        <w:rPr>
          <w:noProof/>
        </w:rPr>
        <w:t>L’objectif de la réforme est d’améliorer la qualité des résultats de l’enseignement et de l’apprentissage, en particulier pour les enfants issu</w:t>
      </w:r>
      <w:r>
        <w:rPr>
          <w:noProof/>
        </w:rPr>
        <w:t>s de milieux socio-économiques défavorisés, en mettant en œuvre un horaire unique, en dispensant un enseignement d’une journée complète dans les écoles primaires et en augmentant le nombre d’heures d’enseignement obligatoires. La réforme vise également à s</w:t>
      </w:r>
      <w:r>
        <w:rPr>
          <w:noProof/>
        </w:rPr>
        <w:t>outenir le développement continu des enseignants et l’évaluation externe systématique des acquis d’apprentissage dans les écoles primaires.</w:t>
      </w:r>
    </w:p>
    <w:p w14:paraId="5C4E6099" w14:textId="77777777" w:rsidR="00553430" w:rsidRDefault="00212577">
      <w:pPr>
        <w:pStyle w:val="P68B1DB1-Normal33"/>
        <w:spacing w:line="240" w:lineRule="auto"/>
        <w:jc w:val="both"/>
        <w:rPr>
          <w:noProof/>
        </w:rPr>
      </w:pPr>
      <w:r>
        <w:rPr>
          <w:noProof/>
        </w:rPr>
        <w:t xml:space="preserve">La réforme modifie la loi sur l’éducation afin d’introduire le nouveau modèle d’enseignement d’une journée complète </w:t>
      </w:r>
      <w:r>
        <w:rPr>
          <w:noProof/>
        </w:rPr>
        <w:t>dans les écoles primaires, en modifiant le nombre minimal d’heures d’enseignement obligatoires et le programme des écoles primaires, et s’accompagne de programmes systématiques de développement des enseignants.</w:t>
      </w:r>
    </w:p>
    <w:p w14:paraId="45DCC039" w14:textId="77777777" w:rsidR="00553430" w:rsidRDefault="00212577">
      <w:pPr>
        <w:pStyle w:val="P68B1DB1-Normal33"/>
        <w:spacing w:line="240" w:lineRule="auto"/>
        <w:jc w:val="both"/>
        <w:rPr>
          <w:noProof/>
        </w:rPr>
      </w:pPr>
      <w:r>
        <w:rPr>
          <w:noProof/>
        </w:rPr>
        <w:t>Ce sous-ensemble de mesures de la réforme est</w:t>
      </w:r>
      <w:r>
        <w:rPr>
          <w:noProof/>
        </w:rPr>
        <w:t xml:space="preserve"> achevé au plus tard le 31 décembre 2023.</w:t>
      </w:r>
    </w:p>
    <w:p w14:paraId="40C7211A" w14:textId="77777777" w:rsidR="00553430" w:rsidRDefault="00212577">
      <w:pPr>
        <w:pStyle w:val="P68B1DB1-Normal33"/>
        <w:numPr>
          <w:ilvl w:val="0"/>
          <w:numId w:val="69"/>
        </w:numPr>
        <w:spacing w:before="120" w:after="120" w:line="240" w:lineRule="auto"/>
        <w:jc w:val="both"/>
        <w:rPr>
          <w:noProof/>
        </w:rPr>
      </w:pPr>
      <w:r>
        <w:rPr>
          <w:noProof/>
        </w:rPr>
        <w:t>Écoles secondaires</w:t>
      </w:r>
    </w:p>
    <w:p w14:paraId="324DA67B" w14:textId="77777777" w:rsidR="00553430" w:rsidRDefault="00212577">
      <w:pPr>
        <w:pStyle w:val="P68B1DB1-Normal33"/>
        <w:spacing w:line="240" w:lineRule="auto"/>
        <w:jc w:val="both"/>
        <w:rPr>
          <w:noProof/>
        </w:rPr>
      </w:pPr>
      <w:r>
        <w:rPr>
          <w:noProof/>
        </w:rPr>
        <w:t xml:space="preserve">L’objectif de la réforme est d’accroître la pertinence de l’enseignement secondaire, en augmentant la scolarisation des étudiants dans l’enseignement secondaire général (programmes «gimnazija»), </w:t>
      </w:r>
      <w:r>
        <w:rPr>
          <w:noProof/>
        </w:rPr>
        <w:t xml:space="preserve">tout en réduisant la part de l’enseignement et de la formation professionnels (EFP) et en améliorant l’adéquation des programmes professionnels au marché du travail. </w:t>
      </w:r>
    </w:p>
    <w:p w14:paraId="67F893D3" w14:textId="77777777" w:rsidR="00553430" w:rsidRDefault="00212577">
      <w:pPr>
        <w:pStyle w:val="P68B1DB1-Normal33"/>
        <w:spacing w:line="240" w:lineRule="auto"/>
        <w:jc w:val="both"/>
        <w:rPr>
          <w:noProof/>
        </w:rPr>
      </w:pPr>
      <w:r>
        <w:rPr>
          <w:noProof/>
        </w:rPr>
        <w:t>La réforme contribue à consolider les nombreux programmes professionnels secondaires exis</w:t>
      </w:r>
      <w:r>
        <w:rPr>
          <w:noProof/>
        </w:rPr>
        <w:t>tants, en réduisant les programmes professionnels excédentaires et en augmentant la pertinence des programmes par rapport aux besoins du marché du travail. La réforme introduit de nouveaux programmes fondés sur les qualifications et les normes professionne</w:t>
      </w:r>
      <w:r>
        <w:rPr>
          <w:noProof/>
        </w:rPr>
        <w:t>lles du cadre croate des certifications (CROQF), qui s’accompagnent de l’élaboration de nouveaux matériels pédagogiques et de la formation professionnelle des enseignants de l’enseignement professionnel.</w:t>
      </w:r>
    </w:p>
    <w:p w14:paraId="464BE902" w14:textId="77777777" w:rsidR="00553430" w:rsidRDefault="00212577">
      <w:pPr>
        <w:pStyle w:val="P68B1DB1-Normal33"/>
        <w:spacing w:line="240" w:lineRule="auto"/>
        <w:jc w:val="both"/>
        <w:rPr>
          <w:noProof/>
        </w:rPr>
      </w:pPr>
      <w:r>
        <w:rPr>
          <w:noProof/>
        </w:rPr>
        <w:t>Ce sous-ensemble de mesures de la réforme est achevé</w:t>
      </w:r>
      <w:r>
        <w:rPr>
          <w:noProof/>
        </w:rPr>
        <w:t xml:space="preserve"> au plus tard le 31 décembre 2023.</w:t>
      </w:r>
    </w:p>
    <w:p w14:paraId="6936C605" w14:textId="77777777" w:rsidR="00553430" w:rsidRDefault="00212577">
      <w:pPr>
        <w:pStyle w:val="P68B1DB1-Normal33"/>
        <w:numPr>
          <w:ilvl w:val="0"/>
          <w:numId w:val="69"/>
        </w:numPr>
        <w:spacing w:before="120" w:after="120" w:line="240" w:lineRule="auto"/>
        <w:jc w:val="both"/>
        <w:rPr>
          <w:noProof/>
        </w:rPr>
      </w:pPr>
      <w:r>
        <w:rPr>
          <w:noProof/>
        </w:rPr>
        <w:t>Éducation des adultes</w:t>
      </w:r>
    </w:p>
    <w:p w14:paraId="755794EA" w14:textId="77777777" w:rsidR="00553430" w:rsidRDefault="00212577">
      <w:pPr>
        <w:pStyle w:val="P68B1DB1-Normal33"/>
        <w:spacing w:line="240" w:lineRule="auto"/>
        <w:jc w:val="both"/>
        <w:rPr>
          <w:noProof/>
        </w:rPr>
      </w:pPr>
      <w:r>
        <w:rPr>
          <w:noProof/>
        </w:rPr>
        <w:t>L'objectif de la réforme est d'améliorer la qualité et la pertinence de l'éducation des adultes. La nouvelle loi sur l’éducation des adultes doit aligner les programmes d’éducation des adultes sur le</w:t>
      </w:r>
      <w:r>
        <w:rPr>
          <w:noProof/>
        </w:rPr>
        <w:t>s normes de qualification du cadre croate des certifications (CROQF), qui devrait faciliter la reconnaissance des connaissances et des compétences acquises. La réforme prévoit également l'introduction de comptes individuels d'éducation pour permettre à cha</w:t>
      </w:r>
      <w:r>
        <w:rPr>
          <w:noProof/>
        </w:rPr>
        <w:t>que personne de participer à l'éducation et à la formation tout au long de la vie. La réforme introduit également un système d'évaluation des prestataires de services d'éducation des adultes.</w:t>
      </w:r>
    </w:p>
    <w:p w14:paraId="3BF8D2D0" w14:textId="77777777" w:rsidR="00553430" w:rsidRDefault="00212577">
      <w:pPr>
        <w:pStyle w:val="P68B1DB1-Normal33"/>
        <w:spacing w:line="240" w:lineRule="auto"/>
        <w:jc w:val="both"/>
        <w:rPr>
          <w:noProof/>
        </w:rPr>
      </w:pPr>
      <w:r>
        <w:rPr>
          <w:noProof/>
        </w:rPr>
        <w:t>Ce sous-ensemble de mesures de la réforme est achevé au plus tar</w:t>
      </w:r>
      <w:r>
        <w:rPr>
          <w:noProof/>
        </w:rPr>
        <w:t>d le 31 décembre 2023.</w:t>
      </w:r>
    </w:p>
    <w:p w14:paraId="53BC4E80" w14:textId="797BDD9E" w:rsidR="00553430" w:rsidRDefault="00212577">
      <w:pPr>
        <w:pStyle w:val="P68B1DB1-Normal33"/>
        <w:spacing w:line="240" w:lineRule="auto"/>
        <w:jc w:val="both"/>
        <w:rPr>
          <w:noProof/>
        </w:rPr>
      </w:pPr>
      <w:r>
        <w:rPr>
          <w:noProof/>
        </w:rPr>
        <w:t xml:space="preserve">Cette réforme est soutenue par trois investissements (C3.1 R1-I1, C3.1 R1-I2, C3.1 R1-I3 et C3.1 R1-I4). </w:t>
      </w:r>
    </w:p>
    <w:p w14:paraId="7A1C75A3" w14:textId="77777777" w:rsidR="00553430" w:rsidRDefault="00212577">
      <w:pPr>
        <w:pStyle w:val="P68B1DB1-Normal96"/>
        <w:keepNext/>
        <w:tabs>
          <w:tab w:val="num" w:pos="850"/>
        </w:tabs>
        <w:spacing w:before="240" w:after="0"/>
        <w:ind w:left="851"/>
        <w:jc w:val="both"/>
        <w:outlineLvl w:val="2"/>
        <w:rPr>
          <w:noProof/>
        </w:rPr>
      </w:pPr>
      <w:r>
        <w:rPr>
          <w:noProof/>
        </w:rPr>
        <w:t>Investissement C3.1 R1-I1 - Construction, modernisation, reconstruction et équipement d'installations d'EAJE</w:t>
      </w:r>
    </w:p>
    <w:p w14:paraId="30D9F90F" w14:textId="0E962B8A" w:rsidR="00553430" w:rsidRDefault="00212577">
      <w:pPr>
        <w:pStyle w:val="P68B1DB1-Normal33"/>
        <w:spacing w:line="240" w:lineRule="auto"/>
        <w:jc w:val="both"/>
        <w:rPr>
          <w:noProof/>
        </w:rPr>
      </w:pPr>
      <w:r>
        <w:rPr>
          <w:noProof/>
        </w:rPr>
        <w:t xml:space="preserve">L’objectif de cet </w:t>
      </w:r>
      <w:r>
        <w:rPr>
          <w:noProof/>
        </w:rPr>
        <w:t>investissement est de soutenir l’accès à l’éducation et à l’accueil de la petite enfance en Croatie. Cette mesure comprend la construction de nouvelles installations d’EAJE et la rénovation des installations existantes, l’objectif étant de créer 12 000 nou</w:t>
      </w:r>
      <w:r>
        <w:rPr>
          <w:noProof/>
        </w:rPr>
        <w:t xml:space="preserve">velles places dans l’EAJE. </w:t>
      </w:r>
    </w:p>
    <w:p w14:paraId="35347E41" w14:textId="77777777" w:rsidR="00553430" w:rsidRDefault="00212577">
      <w:pPr>
        <w:pStyle w:val="P68B1DB1-Normal96"/>
        <w:spacing w:line="240" w:lineRule="auto"/>
        <w:ind w:left="840"/>
        <w:jc w:val="both"/>
        <w:rPr>
          <w:noProof/>
        </w:rPr>
      </w:pPr>
      <w:r>
        <w:rPr>
          <w:noProof/>
        </w:rPr>
        <w:t>Investissement C3.1 R1-I2 - Construction, modernisation, reconstruction et équipement d’écoles primaires pour l’enseignement d’une journée complète par quart unique</w:t>
      </w:r>
    </w:p>
    <w:p w14:paraId="39DC5A3B" w14:textId="77777777" w:rsidR="00553430" w:rsidRDefault="00212577">
      <w:pPr>
        <w:pStyle w:val="P68B1DB1-Normal33"/>
        <w:spacing w:line="240" w:lineRule="auto"/>
        <w:jc w:val="both"/>
        <w:rPr>
          <w:noProof/>
        </w:rPr>
      </w:pPr>
      <w:r>
        <w:rPr>
          <w:noProof/>
        </w:rPr>
        <w:t>L’objectif de cette mesure est de soutenir le passage à un ense</w:t>
      </w:r>
      <w:r>
        <w:rPr>
          <w:noProof/>
        </w:rPr>
        <w:t xml:space="preserve">ignement d’une journée complète pour les écoles primaires en Croatie. La mesure consiste en la construction de nouvelles écoles primaires et la modernisation des écoles existantes. </w:t>
      </w:r>
    </w:p>
    <w:p w14:paraId="557E625F" w14:textId="77777777" w:rsidR="00553430" w:rsidRDefault="00212577">
      <w:pPr>
        <w:pStyle w:val="P68B1DB1-Normal96"/>
        <w:keepNext/>
        <w:numPr>
          <w:ilvl w:val="2"/>
          <w:numId w:val="0"/>
        </w:numPr>
        <w:spacing w:before="240" w:after="0"/>
        <w:ind w:left="851"/>
        <w:jc w:val="both"/>
        <w:outlineLvl w:val="2"/>
        <w:rPr>
          <w:noProof/>
        </w:rPr>
      </w:pPr>
      <w:r>
        <w:rPr>
          <w:noProof/>
        </w:rPr>
        <w:t>Investissement C3.1 R1-I3 - Construction, modernisation, rénovation et équ</w:t>
      </w:r>
      <w:r>
        <w:rPr>
          <w:noProof/>
        </w:rPr>
        <w:t xml:space="preserve">ipement des écoles secondaires </w:t>
      </w:r>
    </w:p>
    <w:p w14:paraId="6C90C7A7" w14:textId="77777777" w:rsidR="00553430" w:rsidRDefault="00212577">
      <w:pPr>
        <w:pStyle w:val="P68B1DB1-Normal33"/>
        <w:spacing w:line="240" w:lineRule="auto"/>
        <w:jc w:val="both"/>
        <w:rPr>
          <w:noProof/>
        </w:rPr>
      </w:pPr>
      <w:r>
        <w:rPr>
          <w:noProof/>
        </w:rPr>
        <w:t>L’objectif de cette mesure est d’accroître les capacités des infrastructures physiques dans les écoles secondaires. La mesure comprend la construction de nouvelles écoles secondaires et la modernisation des écoles existantes</w:t>
      </w:r>
      <w:r>
        <w:rPr>
          <w:noProof/>
        </w:rPr>
        <w:t xml:space="preserve">, y compris les infrastructures sportives des écoles. </w:t>
      </w:r>
    </w:p>
    <w:p w14:paraId="09483627" w14:textId="77777777" w:rsidR="00553430" w:rsidRDefault="00212577">
      <w:pPr>
        <w:pStyle w:val="P68B1DB1-Normal96"/>
        <w:keepNext/>
        <w:numPr>
          <w:ilvl w:val="2"/>
          <w:numId w:val="0"/>
        </w:numPr>
        <w:spacing w:before="240" w:after="0"/>
        <w:ind w:left="851"/>
        <w:jc w:val="both"/>
        <w:outlineLvl w:val="2"/>
        <w:rPr>
          <w:noProof/>
        </w:rPr>
      </w:pPr>
      <w:r>
        <w:rPr>
          <w:noProof/>
        </w:rPr>
        <w:t>Réforme C3.1 R2 - Modernisation de l'enseignement supérieur</w:t>
      </w:r>
    </w:p>
    <w:p w14:paraId="3252199C" w14:textId="77777777" w:rsidR="00553430" w:rsidRDefault="00212577">
      <w:pPr>
        <w:pStyle w:val="P68B1DB1-Normal33"/>
        <w:spacing w:line="240" w:lineRule="auto"/>
        <w:jc w:val="both"/>
        <w:rPr>
          <w:noProof/>
        </w:rPr>
      </w:pPr>
      <w:r>
        <w:rPr>
          <w:noProof/>
        </w:rPr>
        <w:t>Cette réforme vise à améliorer la disponibilité, la qualité et l’adéquation au marché du travail de l’enseignement supérieur, ainsi qu’à accr</w:t>
      </w:r>
      <w:r>
        <w:rPr>
          <w:noProof/>
        </w:rPr>
        <w:t xml:space="preserve">oître la proportion de diplômés de l’enseignement supérieur, en particulier issus de groupes vulnérables et sous-représentés. </w:t>
      </w:r>
    </w:p>
    <w:p w14:paraId="12AD4C4B" w14:textId="77777777" w:rsidR="00553430" w:rsidRDefault="00212577">
      <w:pPr>
        <w:pStyle w:val="P68B1DB1-Normal33"/>
        <w:spacing w:line="240" w:lineRule="auto"/>
        <w:jc w:val="both"/>
        <w:rPr>
          <w:noProof/>
        </w:rPr>
      </w:pPr>
      <w:r>
        <w:rPr>
          <w:noProof/>
        </w:rPr>
        <w:t>La réforme comprend l’adoption d’une nouvelle loi sur la science et l’enseignement supérieur et d’une nouvelle loi sur l’assuranc</w:t>
      </w:r>
      <w:r>
        <w:rPr>
          <w:noProof/>
        </w:rPr>
        <w:t>e de la qualité dans les sciences et l’enseignement supérieur, afin d’établir un nouveau modèle de financement efficace pour les universités publiques et les autres établissements publics d’enseignement supérieur. Le nouveau modèle de financement repose su</w:t>
      </w:r>
      <w:r>
        <w:rPr>
          <w:noProof/>
        </w:rPr>
        <w:t>r des critères transparents et des indicateurs de performance liés aux objectifs de développement de l’établissement. L’introduction du nouveau modèle de financement devrait être mise en œuvre au moyen d’accords de programme couvrant les activités de reche</w:t>
      </w:r>
      <w:r>
        <w:rPr>
          <w:noProof/>
        </w:rPr>
        <w:t>rche scientifique et d’enseignement de l’université/l’établissement pour une période de deux ans.</w:t>
      </w:r>
    </w:p>
    <w:p w14:paraId="1D548BD3" w14:textId="2220B197" w:rsidR="00553430" w:rsidRDefault="00212577">
      <w:pPr>
        <w:pStyle w:val="P68B1DB1-Normal33"/>
        <w:spacing w:line="240" w:lineRule="auto"/>
        <w:jc w:val="both"/>
        <w:rPr>
          <w:noProof/>
        </w:rPr>
      </w:pPr>
      <w:r>
        <w:rPr>
          <w:noProof/>
        </w:rPr>
        <w:t>La réforme vise également à mieux aligner l'éducation sur les besoins du marché du travail. Elle continue d’établir des normes de qualification pour toutes le</w:t>
      </w:r>
      <w:r>
        <w:rPr>
          <w:noProof/>
        </w:rPr>
        <w:t>s qualifications de l’enseignement supérieur et de les inclure dans le registre du cadre croate des certifications (CROQF), qui devrait mieux aligner les qualifications de l’enseignement supérieur sur les besoins du marché du travail. La réforme met égalem</w:t>
      </w:r>
      <w:r>
        <w:rPr>
          <w:noProof/>
        </w:rPr>
        <w:t>ent en place un registre numérique des diplômes, ce qui constitue une étape vers le développement d’un système de suivi des diplômés afin de permettre le suivi de l’employabilité des diplômés.</w:t>
      </w:r>
    </w:p>
    <w:p w14:paraId="4F84E86E" w14:textId="77777777" w:rsidR="00553430" w:rsidRDefault="00212577">
      <w:pPr>
        <w:pStyle w:val="P68B1DB1-Normal33"/>
        <w:spacing w:line="240" w:lineRule="auto"/>
        <w:jc w:val="both"/>
        <w:rPr>
          <w:noProof/>
        </w:rPr>
      </w:pPr>
      <w:r>
        <w:rPr>
          <w:noProof/>
        </w:rPr>
        <w:t xml:space="preserve">La réforme soutient également des liens plus étroits entre les </w:t>
      </w:r>
      <w:r>
        <w:rPr>
          <w:noProof/>
        </w:rPr>
        <w:t xml:space="preserve">activités d’enseignement et de recherche scientifique, l’internationalisation et la participation des universités croates aux alliances des universités européennes du futur, et soutient la transformation numérique de l’enseignement supérieur. </w:t>
      </w:r>
    </w:p>
    <w:p w14:paraId="38D5A871" w14:textId="77777777" w:rsidR="00553430" w:rsidRDefault="00212577">
      <w:pPr>
        <w:pStyle w:val="P68B1DB1-Normal33"/>
        <w:spacing w:line="240" w:lineRule="auto"/>
        <w:jc w:val="both"/>
        <w:rPr>
          <w:noProof/>
        </w:rPr>
      </w:pPr>
      <w:r>
        <w:rPr>
          <w:noProof/>
        </w:rPr>
        <w:t xml:space="preserve">La réforme </w:t>
      </w:r>
      <w:r>
        <w:rPr>
          <w:noProof/>
        </w:rPr>
        <w:t>est achevée au plus tard le 31 décembre 2023.</w:t>
      </w:r>
    </w:p>
    <w:p w14:paraId="77ABC0C7" w14:textId="77777777" w:rsidR="00553430" w:rsidRDefault="00212577">
      <w:pPr>
        <w:pStyle w:val="P68B1DB1-Normal96"/>
        <w:keepNext/>
        <w:numPr>
          <w:ilvl w:val="2"/>
          <w:numId w:val="0"/>
        </w:numPr>
        <w:spacing w:before="240" w:after="0"/>
        <w:ind w:left="851"/>
        <w:jc w:val="both"/>
        <w:outlineLvl w:val="2"/>
        <w:rPr>
          <w:noProof/>
        </w:rPr>
      </w:pPr>
      <w:r>
        <w:rPr>
          <w:noProof/>
        </w:rPr>
        <w:t>Investissement C3.1 R2-I1 - Transformation numérique de l’enseignement supérieur</w:t>
      </w:r>
    </w:p>
    <w:p w14:paraId="130F884F" w14:textId="337FA2E3" w:rsidR="00553430" w:rsidRDefault="00212577">
      <w:pPr>
        <w:pStyle w:val="P68B1DB1-Normal33"/>
        <w:spacing w:line="240" w:lineRule="auto"/>
        <w:jc w:val="both"/>
        <w:rPr>
          <w:noProof/>
        </w:rPr>
      </w:pPr>
      <w:r>
        <w:rPr>
          <w:noProof/>
        </w:rPr>
        <w:t>L’objectif de cette mesure est de soutenir la transformation numérique de l’enseignement supérieur et de faciliter l’apprentissag</w:t>
      </w:r>
      <w:r>
        <w:rPr>
          <w:noProof/>
        </w:rPr>
        <w:t xml:space="preserve">e en ligne. </w:t>
      </w:r>
    </w:p>
    <w:p w14:paraId="55ECF579" w14:textId="77777777" w:rsidR="00553430" w:rsidRDefault="00212577">
      <w:pPr>
        <w:pStyle w:val="P68B1DB1-Normal33"/>
        <w:spacing w:line="240" w:lineRule="auto"/>
        <w:jc w:val="both"/>
        <w:rPr>
          <w:noProof/>
        </w:rPr>
      </w:pPr>
      <w:r>
        <w:rPr>
          <w:noProof/>
        </w:rPr>
        <w:t>La mesure consiste en des investissements dans des infrastructures numériques pour l’enseignement et des outils d’enseignement numériques.</w:t>
      </w:r>
    </w:p>
    <w:p w14:paraId="7E91F453" w14:textId="77777777" w:rsidR="00553430" w:rsidRDefault="00553430">
      <w:pPr>
        <w:rPr>
          <w:noProof/>
        </w:rPr>
        <w:sectPr w:rsidR="00553430" w:rsidSect="00FA29B2">
          <w:headerReference w:type="even" r:id="rId279"/>
          <w:headerReference w:type="default" r:id="rId280"/>
          <w:footerReference w:type="even" r:id="rId281"/>
          <w:footerReference w:type="default" r:id="rId282"/>
          <w:headerReference w:type="first" r:id="rId283"/>
          <w:footerReference w:type="first" r:id="rId284"/>
          <w:pgSz w:w="11906" w:h="16838"/>
          <w:pgMar w:top="1134" w:right="1134" w:bottom="1134" w:left="1134" w:header="567" w:footer="567" w:gutter="0"/>
          <w:cols w:space="708"/>
          <w:docGrid w:linePitch="360"/>
        </w:sectPr>
      </w:pPr>
    </w:p>
    <w:p w14:paraId="40571E65" w14:textId="77777777" w:rsidR="00553430" w:rsidRDefault="00212577">
      <w:pPr>
        <w:pStyle w:val="P68B1DB1-Normal57"/>
        <w:keepNext/>
        <w:tabs>
          <w:tab w:val="num" w:pos="850"/>
        </w:tabs>
        <w:spacing w:after="0" w:line="240" w:lineRule="auto"/>
        <w:ind w:left="851"/>
        <w:jc w:val="both"/>
        <w:outlineLvl w:val="1"/>
        <w:rPr>
          <w:noProof/>
        </w:rPr>
      </w:pPr>
      <w:r>
        <w:rPr>
          <w:noProof/>
        </w:rPr>
        <w:t xml:space="preserve">P.2. </w:t>
      </w:r>
      <w:r>
        <w:rPr>
          <w:noProof/>
        </w:rPr>
        <w:tab/>
        <w:t>Étapes, cibles, indicateurs et calen</w:t>
      </w:r>
      <w:r>
        <w:rPr>
          <w:noProof/>
        </w:rPr>
        <w:t>drier pour le suivi et la mise en œuvre du soutien financier non remboursable</w:t>
      </w:r>
    </w:p>
    <w:p w14:paraId="6935E779" w14:textId="77777777" w:rsidR="00553430" w:rsidRDefault="00553430">
      <w:pPr>
        <w:keepNext/>
        <w:tabs>
          <w:tab w:val="num" w:pos="850"/>
        </w:tabs>
        <w:spacing w:after="0" w:line="240" w:lineRule="auto"/>
        <w:ind w:left="851"/>
        <w:jc w:val="both"/>
        <w:outlineLvl w:val="1"/>
        <w:rPr>
          <w:rFonts w:ascii="Times New Roman" w:eastAsia="SimSun" w:hAnsi="Times New Roman" w:cs="Times New Roman"/>
          <w:b/>
          <w:noProof/>
          <w:sz w:val="24"/>
          <w:szCs w:val="24"/>
          <w:u w:val="single"/>
        </w:rPr>
      </w:pPr>
    </w:p>
    <w:tbl>
      <w:tblPr>
        <w:tblW w:w="15025"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70"/>
        <w:gridCol w:w="937"/>
        <w:gridCol w:w="1031"/>
        <w:gridCol w:w="1803"/>
        <w:gridCol w:w="2364"/>
        <w:gridCol w:w="1167"/>
        <w:gridCol w:w="924"/>
        <w:gridCol w:w="862"/>
        <w:gridCol w:w="1041"/>
        <w:gridCol w:w="853"/>
        <w:gridCol w:w="2973"/>
      </w:tblGrid>
      <w:tr w:rsidR="00553430" w14:paraId="3CCB4E02" w14:textId="77777777" w:rsidTr="00BD0484">
        <w:trPr>
          <w:trHeight w:val="635"/>
          <w:tblHeader/>
        </w:trPr>
        <w:tc>
          <w:tcPr>
            <w:tcW w:w="1071" w:type="dxa"/>
            <w:vMerge w:val="restart"/>
            <w:shd w:val="clear" w:color="auto" w:fill="BDD7EE"/>
            <w:vAlign w:val="center"/>
            <w:hideMark/>
          </w:tcPr>
          <w:p w14:paraId="53FE048B" w14:textId="77777777" w:rsidR="00553430" w:rsidRDefault="00212577">
            <w:pPr>
              <w:pStyle w:val="P68B1DB1-Normal58"/>
              <w:spacing w:after="0" w:line="276" w:lineRule="auto"/>
              <w:jc w:val="center"/>
              <w:rPr>
                <w:bCs/>
                <w:noProof/>
              </w:rPr>
            </w:pPr>
            <w:r>
              <w:rPr>
                <w:noProof/>
              </w:rPr>
              <w:t>Numéro</w:t>
            </w:r>
          </w:p>
        </w:tc>
        <w:tc>
          <w:tcPr>
            <w:tcW w:w="937" w:type="dxa"/>
            <w:vMerge w:val="restart"/>
            <w:shd w:val="clear" w:color="auto" w:fill="BDD7EE"/>
            <w:vAlign w:val="center"/>
            <w:hideMark/>
          </w:tcPr>
          <w:p w14:paraId="53011E70" w14:textId="77777777" w:rsidR="00553430" w:rsidRDefault="00212577">
            <w:pPr>
              <w:pStyle w:val="P68B1DB1-Normal58"/>
              <w:spacing w:after="0" w:line="276" w:lineRule="auto"/>
              <w:jc w:val="center"/>
              <w:rPr>
                <w:noProof/>
              </w:rPr>
            </w:pPr>
            <w:r>
              <w:rPr>
                <w:noProof/>
              </w:rPr>
              <w:t>Mesure</w:t>
            </w:r>
          </w:p>
        </w:tc>
        <w:tc>
          <w:tcPr>
            <w:tcW w:w="1031" w:type="dxa"/>
            <w:vMerge w:val="restart"/>
            <w:shd w:val="clear" w:color="auto" w:fill="BDD7EE"/>
            <w:vAlign w:val="center"/>
            <w:hideMark/>
          </w:tcPr>
          <w:p w14:paraId="6CF995A3" w14:textId="77777777" w:rsidR="00553430" w:rsidRDefault="00212577">
            <w:pPr>
              <w:pStyle w:val="P68B1DB1-Normal58"/>
              <w:spacing w:after="0" w:line="276" w:lineRule="auto"/>
              <w:jc w:val="center"/>
              <w:rPr>
                <w:noProof/>
              </w:rPr>
            </w:pPr>
            <w:r>
              <w:rPr>
                <w:noProof/>
              </w:rPr>
              <w:t>Étape/cible</w:t>
            </w:r>
          </w:p>
        </w:tc>
        <w:tc>
          <w:tcPr>
            <w:tcW w:w="1803" w:type="dxa"/>
            <w:vMerge w:val="restart"/>
            <w:shd w:val="clear" w:color="auto" w:fill="BDD7EE"/>
            <w:vAlign w:val="center"/>
            <w:hideMark/>
          </w:tcPr>
          <w:p w14:paraId="3DEE7E15" w14:textId="77777777" w:rsidR="00553430" w:rsidRDefault="00212577">
            <w:pPr>
              <w:pStyle w:val="P68B1DB1-Normal58"/>
              <w:spacing w:after="0" w:line="276" w:lineRule="auto"/>
              <w:jc w:val="center"/>
              <w:rPr>
                <w:noProof/>
              </w:rPr>
            </w:pPr>
            <w:r>
              <w:rPr>
                <w:noProof/>
              </w:rPr>
              <w:t>Nom</w:t>
            </w:r>
          </w:p>
        </w:tc>
        <w:tc>
          <w:tcPr>
            <w:tcW w:w="2364" w:type="dxa"/>
            <w:vMerge w:val="restart"/>
            <w:shd w:val="clear" w:color="auto" w:fill="BDD7EE"/>
            <w:vAlign w:val="center"/>
            <w:hideMark/>
          </w:tcPr>
          <w:p w14:paraId="0167CCD1" w14:textId="77777777" w:rsidR="00553430" w:rsidRDefault="00212577">
            <w:pPr>
              <w:pStyle w:val="P68B1DB1-Normal58"/>
              <w:spacing w:after="0" w:line="276" w:lineRule="auto"/>
              <w:jc w:val="center"/>
              <w:rPr>
                <w:noProof/>
              </w:rPr>
            </w:pPr>
            <w:r>
              <w:rPr>
                <w:noProof/>
              </w:rPr>
              <w:t xml:space="preserve">Indicateurs qualitatifs </w:t>
            </w:r>
            <w:r>
              <w:rPr>
                <w:noProof/>
              </w:rPr>
              <w:br/>
              <w:t>(pour les jalons)</w:t>
            </w:r>
          </w:p>
        </w:tc>
        <w:tc>
          <w:tcPr>
            <w:tcW w:w="2952" w:type="dxa"/>
            <w:gridSpan w:val="3"/>
            <w:shd w:val="clear" w:color="auto" w:fill="BDD7EE"/>
            <w:vAlign w:val="center"/>
            <w:hideMark/>
          </w:tcPr>
          <w:p w14:paraId="06291198" w14:textId="77777777" w:rsidR="00553430" w:rsidRDefault="00212577">
            <w:pPr>
              <w:pStyle w:val="P68B1DB1-Normal58"/>
              <w:spacing w:after="0" w:line="276" w:lineRule="auto"/>
              <w:jc w:val="center"/>
              <w:rPr>
                <w:noProof/>
              </w:rPr>
            </w:pPr>
            <w:r>
              <w:rPr>
                <w:noProof/>
              </w:rPr>
              <w:t xml:space="preserve">Indicateurs quantitatifs </w:t>
            </w:r>
            <w:r>
              <w:rPr>
                <w:noProof/>
              </w:rPr>
              <w:br/>
              <w:t>(pour les objectifs)</w:t>
            </w:r>
          </w:p>
        </w:tc>
        <w:tc>
          <w:tcPr>
            <w:tcW w:w="1894" w:type="dxa"/>
            <w:gridSpan w:val="2"/>
            <w:shd w:val="clear" w:color="auto" w:fill="BDD7EE"/>
            <w:vAlign w:val="center"/>
            <w:hideMark/>
          </w:tcPr>
          <w:p w14:paraId="7094B960" w14:textId="77777777" w:rsidR="00553430" w:rsidRDefault="00212577">
            <w:pPr>
              <w:pStyle w:val="P68B1DB1-Normal58"/>
              <w:spacing w:after="0" w:line="276" w:lineRule="auto"/>
              <w:jc w:val="center"/>
              <w:rPr>
                <w:noProof/>
              </w:rPr>
            </w:pPr>
            <w:r>
              <w:rPr>
                <w:noProof/>
              </w:rPr>
              <w:t>Temps</w:t>
            </w:r>
          </w:p>
        </w:tc>
        <w:tc>
          <w:tcPr>
            <w:tcW w:w="2973" w:type="dxa"/>
            <w:vMerge w:val="restart"/>
            <w:shd w:val="clear" w:color="auto" w:fill="BDD7EE"/>
            <w:vAlign w:val="center"/>
            <w:hideMark/>
          </w:tcPr>
          <w:p w14:paraId="14989651" w14:textId="77777777" w:rsidR="00553430" w:rsidRDefault="00212577">
            <w:pPr>
              <w:pStyle w:val="P68B1DB1-Normal58"/>
              <w:spacing w:after="0" w:line="276" w:lineRule="auto"/>
              <w:jc w:val="center"/>
              <w:rPr>
                <w:noProof/>
              </w:rPr>
            </w:pPr>
            <w:r>
              <w:rPr>
                <w:noProof/>
              </w:rPr>
              <w:t>Description de chaque jalon et cible</w:t>
            </w:r>
          </w:p>
        </w:tc>
      </w:tr>
      <w:tr w:rsidR="00553430" w14:paraId="5EDAA15D" w14:textId="77777777" w:rsidTr="00BD0484">
        <w:trPr>
          <w:trHeight w:val="645"/>
          <w:tblHeader/>
        </w:trPr>
        <w:tc>
          <w:tcPr>
            <w:tcW w:w="1071" w:type="dxa"/>
            <w:vMerge/>
            <w:hideMark/>
          </w:tcPr>
          <w:p w14:paraId="5E7C7F7C"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937" w:type="dxa"/>
            <w:vMerge/>
            <w:hideMark/>
          </w:tcPr>
          <w:p w14:paraId="6933B34D"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31" w:type="dxa"/>
            <w:vMerge/>
            <w:hideMark/>
          </w:tcPr>
          <w:p w14:paraId="7F728974"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803" w:type="dxa"/>
            <w:vMerge/>
            <w:hideMark/>
          </w:tcPr>
          <w:p w14:paraId="68102A57" w14:textId="77777777" w:rsidR="00553430" w:rsidRDefault="00553430">
            <w:pPr>
              <w:spacing w:after="0" w:line="276" w:lineRule="auto"/>
              <w:rPr>
                <w:rFonts w:ascii="Times New Roman" w:eastAsia="Times New Roman" w:hAnsi="Times New Roman" w:cs="Times New Roman"/>
                <w:b/>
                <w:noProof/>
                <w:sz w:val="20"/>
                <w:szCs w:val="20"/>
              </w:rPr>
            </w:pPr>
          </w:p>
        </w:tc>
        <w:tc>
          <w:tcPr>
            <w:tcW w:w="2364" w:type="dxa"/>
            <w:vMerge/>
            <w:hideMark/>
          </w:tcPr>
          <w:p w14:paraId="4F35278B" w14:textId="77777777" w:rsidR="00553430" w:rsidRDefault="00553430">
            <w:pPr>
              <w:spacing w:after="0" w:line="276" w:lineRule="auto"/>
              <w:rPr>
                <w:rFonts w:ascii="Times New Roman" w:eastAsia="Times New Roman" w:hAnsi="Times New Roman" w:cs="Times New Roman"/>
                <w:b/>
                <w:noProof/>
                <w:sz w:val="20"/>
                <w:szCs w:val="20"/>
              </w:rPr>
            </w:pPr>
          </w:p>
        </w:tc>
        <w:tc>
          <w:tcPr>
            <w:tcW w:w="1166" w:type="dxa"/>
            <w:shd w:val="clear" w:color="auto" w:fill="BDD7EE"/>
            <w:vAlign w:val="center"/>
            <w:hideMark/>
          </w:tcPr>
          <w:p w14:paraId="453AD477" w14:textId="77777777" w:rsidR="00553430" w:rsidRDefault="00212577">
            <w:pPr>
              <w:pStyle w:val="P68B1DB1-Normal58"/>
              <w:spacing w:after="0" w:line="276" w:lineRule="auto"/>
              <w:jc w:val="center"/>
              <w:rPr>
                <w:noProof/>
              </w:rPr>
            </w:pPr>
            <w:r>
              <w:rPr>
                <w:noProof/>
              </w:rPr>
              <w:t>Unité</w:t>
            </w:r>
          </w:p>
        </w:tc>
        <w:tc>
          <w:tcPr>
            <w:tcW w:w="924" w:type="dxa"/>
            <w:shd w:val="clear" w:color="auto" w:fill="BDD7EE"/>
            <w:vAlign w:val="center"/>
            <w:hideMark/>
          </w:tcPr>
          <w:p w14:paraId="7CF5B251" w14:textId="77777777" w:rsidR="00553430" w:rsidRDefault="00212577">
            <w:pPr>
              <w:pStyle w:val="P68B1DB1-Normal58"/>
              <w:spacing w:after="0" w:line="276" w:lineRule="auto"/>
              <w:jc w:val="center"/>
              <w:rPr>
                <w:noProof/>
              </w:rPr>
            </w:pPr>
            <w:r>
              <w:rPr>
                <w:noProof/>
              </w:rPr>
              <w:t>Données de référence</w:t>
            </w:r>
          </w:p>
        </w:tc>
        <w:tc>
          <w:tcPr>
            <w:tcW w:w="862" w:type="dxa"/>
            <w:shd w:val="clear" w:color="auto" w:fill="BDD7EE"/>
            <w:vAlign w:val="center"/>
            <w:hideMark/>
          </w:tcPr>
          <w:p w14:paraId="78C6CC80" w14:textId="77777777" w:rsidR="00553430" w:rsidRDefault="00212577">
            <w:pPr>
              <w:pStyle w:val="P68B1DB1-Normal58"/>
              <w:spacing w:after="0" w:line="276" w:lineRule="auto"/>
              <w:jc w:val="center"/>
              <w:rPr>
                <w:noProof/>
              </w:rPr>
            </w:pPr>
            <w:r>
              <w:rPr>
                <w:noProof/>
              </w:rPr>
              <w:t>Objectif</w:t>
            </w:r>
          </w:p>
        </w:tc>
        <w:tc>
          <w:tcPr>
            <w:tcW w:w="1041" w:type="dxa"/>
            <w:shd w:val="clear" w:color="auto" w:fill="BDD7EE"/>
            <w:vAlign w:val="center"/>
            <w:hideMark/>
          </w:tcPr>
          <w:p w14:paraId="7DA04D19" w14:textId="77777777" w:rsidR="00553430" w:rsidRDefault="00212577">
            <w:pPr>
              <w:pStyle w:val="P68B1DB1-Normal58"/>
              <w:spacing w:after="0" w:line="276" w:lineRule="auto"/>
              <w:jc w:val="center"/>
              <w:rPr>
                <w:noProof/>
              </w:rPr>
            </w:pPr>
            <w:r>
              <w:rPr>
                <w:noProof/>
              </w:rPr>
              <w:t>Trimestre</w:t>
            </w:r>
          </w:p>
        </w:tc>
        <w:tc>
          <w:tcPr>
            <w:tcW w:w="853" w:type="dxa"/>
            <w:shd w:val="clear" w:color="auto" w:fill="BDD7EE"/>
            <w:vAlign w:val="center"/>
            <w:hideMark/>
          </w:tcPr>
          <w:p w14:paraId="09BAA901" w14:textId="77777777" w:rsidR="00553430" w:rsidRDefault="00212577">
            <w:pPr>
              <w:pStyle w:val="P68B1DB1-Normal58"/>
              <w:spacing w:after="0" w:line="276" w:lineRule="auto"/>
              <w:jc w:val="center"/>
              <w:rPr>
                <w:noProof/>
              </w:rPr>
            </w:pPr>
            <w:r>
              <w:rPr>
                <w:noProof/>
              </w:rPr>
              <w:t>Année</w:t>
            </w:r>
          </w:p>
        </w:tc>
        <w:tc>
          <w:tcPr>
            <w:tcW w:w="2973" w:type="dxa"/>
            <w:vMerge/>
            <w:hideMark/>
          </w:tcPr>
          <w:p w14:paraId="58F234A6"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55B801AA" w14:textId="77777777" w:rsidTr="00BD0484">
        <w:trPr>
          <w:trHeight w:val="283"/>
        </w:trPr>
        <w:tc>
          <w:tcPr>
            <w:tcW w:w="1071" w:type="dxa"/>
            <w:shd w:val="clear" w:color="auto" w:fill="C6EFCE"/>
            <w:noWrap/>
          </w:tcPr>
          <w:p w14:paraId="046D5D8E" w14:textId="77777777" w:rsidR="00553430" w:rsidRDefault="00212577">
            <w:pPr>
              <w:pStyle w:val="P68B1DB1-Normal66"/>
              <w:spacing w:after="0" w:line="276" w:lineRule="auto"/>
              <w:jc w:val="center"/>
              <w:rPr>
                <w:noProof/>
              </w:rPr>
            </w:pPr>
            <w:r>
              <w:rPr>
                <w:noProof/>
              </w:rPr>
              <w:t>265</w:t>
            </w:r>
          </w:p>
        </w:tc>
        <w:tc>
          <w:tcPr>
            <w:tcW w:w="937" w:type="dxa"/>
            <w:shd w:val="clear" w:color="auto" w:fill="C6EFCE"/>
            <w:noWrap/>
          </w:tcPr>
          <w:p w14:paraId="72AAD238" w14:textId="77777777" w:rsidR="00553430" w:rsidRDefault="00212577">
            <w:pPr>
              <w:pStyle w:val="P68B1DB1-Normal66"/>
              <w:spacing w:after="200" w:line="276" w:lineRule="auto"/>
              <w:jc w:val="center"/>
              <w:rPr>
                <w:noProof/>
              </w:rPr>
            </w:pPr>
            <w:r>
              <w:rPr>
                <w:noProof/>
              </w:rPr>
              <w:t>C3.1. R1</w:t>
            </w:r>
          </w:p>
        </w:tc>
        <w:tc>
          <w:tcPr>
            <w:tcW w:w="1031" w:type="dxa"/>
            <w:shd w:val="clear" w:color="auto" w:fill="C6EFCE"/>
            <w:noWrap/>
          </w:tcPr>
          <w:p w14:paraId="1E4FB30B" w14:textId="77777777" w:rsidR="00553430" w:rsidRDefault="00212577">
            <w:pPr>
              <w:pStyle w:val="P68B1DB1-Normal66"/>
              <w:spacing w:after="200" w:line="276" w:lineRule="auto"/>
              <w:jc w:val="center"/>
              <w:rPr>
                <w:noProof/>
              </w:rPr>
            </w:pPr>
            <w:r>
              <w:rPr>
                <w:noProof/>
              </w:rPr>
              <w:t>M</w:t>
            </w:r>
          </w:p>
        </w:tc>
        <w:tc>
          <w:tcPr>
            <w:tcW w:w="1803" w:type="dxa"/>
            <w:shd w:val="clear" w:color="auto" w:fill="C6EFCE"/>
            <w:noWrap/>
          </w:tcPr>
          <w:p w14:paraId="72947AD8" w14:textId="77777777" w:rsidR="00553430" w:rsidRDefault="00212577">
            <w:pPr>
              <w:pStyle w:val="P68B1DB1-Normal66"/>
              <w:spacing w:after="200" w:line="276" w:lineRule="auto"/>
              <w:rPr>
                <w:noProof/>
              </w:rPr>
            </w:pPr>
            <w:r>
              <w:rPr>
                <w:noProof/>
              </w:rPr>
              <w:t xml:space="preserve">Adoption du cadre juridique révisé en matière d'éducation et de formation des adultes </w:t>
            </w:r>
          </w:p>
        </w:tc>
        <w:tc>
          <w:tcPr>
            <w:tcW w:w="2364" w:type="dxa"/>
            <w:shd w:val="clear" w:color="auto" w:fill="C6EFCE"/>
            <w:noWrap/>
          </w:tcPr>
          <w:p w14:paraId="4539A61B" w14:textId="76AFC7D8" w:rsidR="00553430" w:rsidRDefault="00212577">
            <w:pPr>
              <w:pStyle w:val="P68B1DB1-Normal66"/>
              <w:spacing w:after="200" w:line="276" w:lineRule="auto"/>
              <w:rPr>
                <w:noProof/>
              </w:rPr>
            </w:pPr>
            <w:r>
              <w:rPr>
                <w:noProof/>
              </w:rPr>
              <w:t xml:space="preserve">Entrée en vigueur du cadre juridique révisé régissant l'éducation et la formation des adultes </w:t>
            </w:r>
          </w:p>
        </w:tc>
        <w:tc>
          <w:tcPr>
            <w:tcW w:w="1166" w:type="dxa"/>
            <w:shd w:val="clear" w:color="auto" w:fill="C6EFCE"/>
            <w:noWrap/>
          </w:tcPr>
          <w:p w14:paraId="4FA63A8A" w14:textId="77777777" w:rsidR="00553430" w:rsidRDefault="00212577">
            <w:pPr>
              <w:pStyle w:val="P68B1DB1-Normal66"/>
              <w:spacing w:after="200" w:line="276" w:lineRule="auto"/>
              <w:jc w:val="center"/>
              <w:rPr>
                <w:noProof/>
              </w:rPr>
            </w:pPr>
            <w:r>
              <w:rPr>
                <w:noProof/>
              </w:rPr>
              <w:t> </w:t>
            </w:r>
          </w:p>
        </w:tc>
        <w:tc>
          <w:tcPr>
            <w:tcW w:w="924" w:type="dxa"/>
            <w:shd w:val="clear" w:color="auto" w:fill="C6EFCE"/>
            <w:noWrap/>
          </w:tcPr>
          <w:p w14:paraId="3720AD14" w14:textId="77777777" w:rsidR="00553430" w:rsidRDefault="00212577">
            <w:pPr>
              <w:pStyle w:val="P68B1DB1-Normal66"/>
              <w:spacing w:after="200" w:line="276" w:lineRule="auto"/>
              <w:jc w:val="center"/>
              <w:rPr>
                <w:noProof/>
              </w:rPr>
            </w:pPr>
            <w:r>
              <w:rPr>
                <w:noProof/>
              </w:rPr>
              <w:t> </w:t>
            </w:r>
          </w:p>
        </w:tc>
        <w:tc>
          <w:tcPr>
            <w:tcW w:w="862" w:type="dxa"/>
            <w:shd w:val="clear" w:color="auto" w:fill="C6EFCE"/>
            <w:noWrap/>
          </w:tcPr>
          <w:p w14:paraId="7B9CB626" w14:textId="77777777" w:rsidR="00553430" w:rsidRDefault="00212577">
            <w:pPr>
              <w:pStyle w:val="P68B1DB1-Normal66"/>
              <w:spacing w:after="200" w:line="276" w:lineRule="auto"/>
              <w:jc w:val="center"/>
              <w:rPr>
                <w:noProof/>
              </w:rPr>
            </w:pPr>
            <w:r>
              <w:rPr>
                <w:noProof/>
              </w:rPr>
              <w:t> </w:t>
            </w:r>
          </w:p>
        </w:tc>
        <w:tc>
          <w:tcPr>
            <w:tcW w:w="1041" w:type="dxa"/>
            <w:shd w:val="clear" w:color="auto" w:fill="C6EFCE"/>
            <w:noWrap/>
          </w:tcPr>
          <w:p w14:paraId="4604C07F" w14:textId="77777777" w:rsidR="00553430" w:rsidRDefault="00212577">
            <w:pPr>
              <w:pStyle w:val="P68B1DB1-Normal66"/>
              <w:spacing w:after="200" w:line="276" w:lineRule="auto"/>
              <w:jc w:val="center"/>
              <w:rPr>
                <w:noProof/>
              </w:rPr>
            </w:pPr>
            <w:r>
              <w:rPr>
                <w:noProof/>
              </w:rPr>
              <w:t>T4</w:t>
            </w:r>
          </w:p>
        </w:tc>
        <w:tc>
          <w:tcPr>
            <w:tcW w:w="853" w:type="dxa"/>
            <w:shd w:val="clear" w:color="auto" w:fill="C6EFCE"/>
            <w:noWrap/>
          </w:tcPr>
          <w:p w14:paraId="3F59A92B" w14:textId="77777777" w:rsidR="00553430" w:rsidRDefault="00212577">
            <w:pPr>
              <w:pStyle w:val="P68B1DB1-Normal66"/>
              <w:spacing w:after="200" w:line="276" w:lineRule="auto"/>
              <w:jc w:val="center"/>
              <w:rPr>
                <w:noProof/>
              </w:rPr>
            </w:pPr>
            <w:r>
              <w:rPr>
                <w:noProof/>
              </w:rPr>
              <w:t>2021</w:t>
            </w:r>
          </w:p>
        </w:tc>
        <w:tc>
          <w:tcPr>
            <w:tcW w:w="2973" w:type="dxa"/>
            <w:shd w:val="clear" w:color="auto" w:fill="C6EFCE"/>
            <w:noWrap/>
          </w:tcPr>
          <w:p w14:paraId="6DBBB913" w14:textId="77777777" w:rsidR="00553430" w:rsidRDefault="00212577">
            <w:pPr>
              <w:pStyle w:val="P68B1DB1-Normal66"/>
              <w:spacing w:after="200" w:line="276" w:lineRule="auto"/>
              <w:rPr>
                <w:noProof/>
              </w:rPr>
            </w:pPr>
            <w:r>
              <w:rPr>
                <w:noProof/>
              </w:rPr>
              <w:t>Le cadre juridique révisé régissant l’éducation des adultes favorisera une meilleure adéquation entre l’offre de programmes et les besoins du marché du travail, en alignant les programmes d’éducation des adultes sur le contenu des normes de qualificat</w:t>
            </w:r>
            <w:r>
              <w:rPr>
                <w:noProof/>
              </w:rPr>
              <w:t xml:space="preserve">ion du cadre croate des certifications (CROQF) et en permettant la reconnaissance de l’apprentissage informel et non formel. </w:t>
            </w:r>
          </w:p>
        </w:tc>
      </w:tr>
      <w:tr w:rsidR="00553430" w14:paraId="36828BBE" w14:textId="77777777" w:rsidTr="00BD0484">
        <w:trPr>
          <w:trHeight w:val="283"/>
        </w:trPr>
        <w:tc>
          <w:tcPr>
            <w:tcW w:w="1071" w:type="dxa"/>
            <w:shd w:val="clear" w:color="auto" w:fill="C6EFCE"/>
            <w:noWrap/>
          </w:tcPr>
          <w:p w14:paraId="0F24C907" w14:textId="77777777" w:rsidR="00553430" w:rsidRDefault="00212577">
            <w:pPr>
              <w:pStyle w:val="P68B1DB1-Normal66"/>
              <w:spacing w:after="200" w:line="276" w:lineRule="auto"/>
              <w:jc w:val="center"/>
              <w:rPr>
                <w:noProof/>
              </w:rPr>
            </w:pPr>
            <w:r>
              <w:rPr>
                <w:noProof/>
              </w:rPr>
              <w:t>266</w:t>
            </w:r>
          </w:p>
        </w:tc>
        <w:tc>
          <w:tcPr>
            <w:tcW w:w="937" w:type="dxa"/>
            <w:shd w:val="clear" w:color="auto" w:fill="C6EFCE"/>
            <w:noWrap/>
          </w:tcPr>
          <w:p w14:paraId="1140C519" w14:textId="77777777" w:rsidR="00553430" w:rsidRDefault="00212577">
            <w:pPr>
              <w:pStyle w:val="P68B1DB1-Normal66"/>
              <w:spacing w:after="200" w:line="276" w:lineRule="auto"/>
              <w:jc w:val="center"/>
              <w:rPr>
                <w:noProof/>
              </w:rPr>
            </w:pPr>
            <w:r>
              <w:rPr>
                <w:noProof/>
              </w:rPr>
              <w:t>C3.1. R1</w:t>
            </w:r>
          </w:p>
        </w:tc>
        <w:tc>
          <w:tcPr>
            <w:tcW w:w="1031" w:type="dxa"/>
            <w:shd w:val="clear" w:color="auto" w:fill="C6EFCE"/>
            <w:noWrap/>
          </w:tcPr>
          <w:p w14:paraId="7CD6025B" w14:textId="77777777" w:rsidR="00553430" w:rsidRDefault="00212577">
            <w:pPr>
              <w:pStyle w:val="P68B1DB1-Normal66"/>
              <w:spacing w:after="200" w:line="276" w:lineRule="auto"/>
              <w:jc w:val="center"/>
              <w:rPr>
                <w:noProof/>
              </w:rPr>
            </w:pPr>
            <w:r>
              <w:rPr>
                <w:noProof/>
              </w:rPr>
              <w:t>M</w:t>
            </w:r>
          </w:p>
        </w:tc>
        <w:tc>
          <w:tcPr>
            <w:tcW w:w="1803" w:type="dxa"/>
            <w:shd w:val="clear" w:color="auto" w:fill="C6EFCE"/>
            <w:noWrap/>
          </w:tcPr>
          <w:p w14:paraId="392558B1" w14:textId="77777777" w:rsidR="00553430" w:rsidRDefault="00212577">
            <w:pPr>
              <w:pStyle w:val="P68B1DB1-Normal66"/>
              <w:spacing w:after="200" w:line="276" w:lineRule="auto"/>
              <w:rPr>
                <w:noProof/>
              </w:rPr>
            </w:pPr>
            <w:r>
              <w:rPr>
                <w:noProof/>
              </w:rPr>
              <w:t>Analyse complète des besoins en matière d'enseignement secondaire</w:t>
            </w:r>
          </w:p>
        </w:tc>
        <w:tc>
          <w:tcPr>
            <w:tcW w:w="2364" w:type="dxa"/>
            <w:shd w:val="clear" w:color="auto" w:fill="C6EFCE"/>
            <w:noWrap/>
          </w:tcPr>
          <w:p w14:paraId="68C84D0C" w14:textId="77777777" w:rsidR="00553430" w:rsidRDefault="00212577">
            <w:pPr>
              <w:pStyle w:val="P68B1DB1-Normal66"/>
              <w:spacing w:after="200" w:line="276" w:lineRule="auto"/>
              <w:rPr>
                <w:noProof/>
              </w:rPr>
            </w:pPr>
            <w:r>
              <w:rPr>
                <w:noProof/>
              </w:rPr>
              <w:t xml:space="preserve">Publication sur le site Web du Ministère de la </w:t>
            </w:r>
            <w:r>
              <w:rPr>
                <w:noProof/>
              </w:rPr>
              <w:t>science et de l ' éducation des résultats de l ' analyse complète des besoins de l ' enseignement secondaire</w:t>
            </w:r>
          </w:p>
        </w:tc>
        <w:tc>
          <w:tcPr>
            <w:tcW w:w="1166" w:type="dxa"/>
            <w:shd w:val="clear" w:color="auto" w:fill="C6EFCE"/>
            <w:noWrap/>
          </w:tcPr>
          <w:p w14:paraId="6740C1E3" w14:textId="77777777" w:rsidR="00553430" w:rsidRDefault="00212577">
            <w:pPr>
              <w:pStyle w:val="P68B1DB1-Normal66"/>
              <w:spacing w:after="200" w:line="276" w:lineRule="auto"/>
              <w:jc w:val="center"/>
              <w:rPr>
                <w:noProof/>
              </w:rPr>
            </w:pPr>
            <w:r>
              <w:rPr>
                <w:noProof/>
              </w:rPr>
              <w:t> </w:t>
            </w:r>
          </w:p>
        </w:tc>
        <w:tc>
          <w:tcPr>
            <w:tcW w:w="924" w:type="dxa"/>
            <w:shd w:val="clear" w:color="auto" w:fill="C6EFCE"/>
            <w:noWrap/>
          </w:tcPr>
          <w:p w14:paraId="3A5B1D52" w14:textId="77777777" w:rsidR="00553430" w:rsidRDefault="00212577">
            <w:pPr>
              <w:pStyle w:val="P68B1DB1-Normal66"/>
              <w:spacing w:after="200" w:line="276" w:lineRule="auto"/>
              <w:jc w:val="center"/>
              <w:rPr>
                <w:noProof/>
              </w:rPr>
            </w:pPr>
            <w:r>
              <w:rPr>
                <w:noProof/>
              </w:rPr>
              <w:t> </w:t>
            </w:r>
          </w:p>
        </w:tc>
        <w:tc>
          <w:tcPr>
            <w:tcW w:w="862" w:type="dxa"/>
            <w:shd w:val="clear" w:color="auto" w:fill="C6EFCE"/>
            <w:noWrap/>
          </w:tcPr>
          <w:p w14:paraId="5480B64B" w14:textId="77777777" w:rsidR="00553430" w:rsidRDefault="00212577">
            <w:pPr>
              <w:pStyle w:val="P68B1DB1-Normal66"/>
              <w:spacing w:after="200" w:line="276" w:lineRule="auto"/>
              <w:jc w:val="center"/>
              <w:rPr>
                <w:noProof/>
              </w:rPr>
            </w:pPr>
            <w:r>
              <w:rPr>
                <w:noProof/>
              </w:rPr>
              <w:t> </w:t>
            </w:r>
          </w:p>
        </w:tc>
        <w:tc>
          <w:tcPr>
            <w:tcW w:w="1041" w:type="dxa"/>
            <w:shd w:val="clear" w:color="auto" w:fill="C6EFCE"/>
            <w:noWrap/>
          </w:tcPr>
          <w:p w14:paraId="68DE3D7A" w14:textId="77777777" w:rsidR="00553430" w:rsidRDefault="00212577">
            <w:pPr>
              <w:pStyle w:val="P68B1DB1-Normal66"/>
              <w:spacing w:after="200" w:line="276" w:lineRule="auto"/>
              <w:jc w:val="center"/>
              <w:rPr>
                <w:noProof/>
              </w:rPr>
            </w:pPr>
            <w:r>
              <w:rPr>
                <w:noProof/>
              </w:rPr>
              <w:t>T1</w:t>
            </w:r>
          </w:p>
        </w:tc>
        <w:tc>
          <w:tcPr>
            <w:tcW w:w="853" w:type="dxa"/>
            <w:shd w:val="clear" w:color="auto" w:fill="C6EFCE"/>
            <w:noWrap/>
          </w:tcPr>
          <w:p w14:paraId="30E9502E" w14:textId="77777777" w:rsidR="00553430" w:rsidRDefault="00212577">
            <w:pPr>
              <w:pStyle w:val="P68B1DB1-Normal66"/>
              <w:spacing w:after="200" w:line="276" w:lineRule="auto"/>
              <w:jc w:val="center"/>
              <w:rPr>
                <w:noProof/>
              </w:rPr>
            </w:pPr>
            <w:r>
              <w:rPr>
                <w:noProof/>
              </w:rPr>
              <w:t>2022</w:t>
            </w:r>
          </w:p>
        </w:tc>
        <w:tc>
          <w:tcPr>
            <w:tcW w:w="2973" w:type="dxa"/>
            <w:shd w:val="clear" w:color="auto" w:fill="C6EFCE"/>
            <w:noWrap/>
          </w:tcPr>
          <w:p w14:paraId="01B5CCE8" w14:textId="77777777" w:rsidR="00553430" w:rsidRDefault="00212577">
            <w:pPr>
              <w:pStyle w:val="P68B1DB1-Normal66"/>
              <w:spacing w:after="200" w:line="276" w:lineRule="auto"/>
              <w:rPr>
                <w:noProof/>
              </w:rPr>
            </w:pPr>
            <w:r>
              <w:rPr>
                <w:noProof/>
              </w:rPr>
              <w:t>Une analyse complète des besoins en matière d'enseignement secondaire est effectuée afin de soutenir les mesures visant à accroître l</w:t>
            </w:r>
            <w:r>
              <w:rPr>
                <w:noProof/>
              </w:rPr>
              <w:t>a proportion d'étudiants inscrits dans des programmes d'enseignement secondaire général, à réduire la proportion d'étudiants inscrits dans des programmes professionnels excédentaires et à aligner les programmes professionnels sur les besoins du marché du t</w:t>
            </w:r>
            <w:r>
              <w:rPr>
                <w:noProof/>
              </w:rPr>
              <w:t>ravail.</w:t>
            </w:r>
          </w:p>
        </w:tc>
      </w:tr>
      <w:tr w:rsidR="00553430" w14:paraId="1DE3DB57" w14:textId="77777777" w:rsidTr="00BD0484">
        <w:trPr>
          <w:trHeight w:val="283"/>
        </w:trPr>
        <w:tc>
          <w:tcPr>
            <w:tcW w:w="1071" w:type="dxa"/>
            <w:shd w:val="clear" w:color="auto" w:fill="C6EFCE"/>
            <w:noWrap/>
          </w:tcPr>
          <w:p w14:paraId="4937B8FD" w14:textId="77777777" w:rsidR="00553430" w:rsidRDefault="00212577">
            <w:pPr>
              <w:pStyle w:val="P68B1DB1-Normal66"/>
              <w:spacing w:after="200" w:line="276" w:lineRule="auto"/>
              <w:jc w:val="center"/>
              <w:rPr>
                <w:noProof/>
              </w:rPr>
            </w:pPr>
            <w:r>
              <w:rPr>
                <w:noProof/>
              </w:rPr>
              <w:t>267</w:t>
            </w:r>
          </w:p>
        </w:tc>
        <w:tc>
          <w:tcPr>
            <w:tcW w:w="937" w:type="dxa"/>
            <w:shd w:val="clear" w:color="auto" w:fill="C6EFCE"/>
            <w:noWrap/>
          </w:tcPr>
          <w:p w14:paraId="79C09EE5" w14:textId="77777777" w:rsidR="00553430" w:rsidRDefault="00212577">
            <w:pPr>
              <w:pStyle w:val="P68B1DB1-Normal66"/>
              <w:spacing w:after="200" w:line="276" w:lineRule="auto"/>
              <w:jc w:val="center"/>
              <w:rPr>
                <w:noProof/>
              </w:rPr>
            </w:pPr>
            <w:r>
              <w:rPr>
                <w:noProof/>
              </w:rPr>
              <w:t>C3.1. R1</w:t>
            </w:r>
          </w:p>
        </w:tc>
        <w:tc>
          <w:tcPr>
            <w:tcW w:w="1031" w:type="dxa"/>
            <w:shd w:val="clear" w:color="auto" w:fill="C6EFCE"/>
            <w:noWrap/>
          </w:tcPr>
          <w:p w14:paraId="6D9CA0FD" w14:textId="77777777" w:rsidR="00553430" w:rsidRDefault="00212577">
            <w:pPr>
              <w:pStyle w:val="P68B1DB1-Normal66"/>
              <w:spacing w:after="200" w:line="276" w:lineRule="auto"/>
              <w:jc w:val="center"/>
              <w:rPr>
                <w:noProof/>
              </w:rPr>
            </w:pPr>
            <w:r>
              <w:rPr>
                <w:noProof/>
              </w:rPr>
              <w:t>M</w:t>
            </w:r>
          </w:p>
        </w:tc>
        <w:tc>
          <w:tcPr>
            <w:tcW w:w="1803" w:type="dxa"/>
            <w:shd w:val="clear" w:color="auto" w:fill="C6EFCE"/>
            <w:noWrap/>
          </w:tcPr>
          <w:p w14:paraId="2CD8F608" w14:textId="77777777" w:rsidR="00553430" w:rsidRDefault="00212577">
            <w:pPr>
              <w:pStyle w:val="P68B1DB1-Normal66"/>
              <w:spacing w:after="200" w:line="276" w:lineRule="auto"/>
              <w:rPr>
                <w:noProof/>
              </w:rPr>
            </w:pPr>
            <w:r>
              <w:rPr>
                <w:noProof/>
              </w:rPr>
              <w:t>Adoption du modèle de financement de l'éducation et de l'accueil de la petite enfance</w:t>
            </w:r>
          </w:p>
        </w:tc>
        <w:tc>
          <w:tcPr>
            <w:tcW w:w="2364" w:type="dxa"/>
            <w:shd w:val="clear" w:color="auto" w:fill="C6EFCE"/>
            <w:noWrap/>
          </w:tcPr>
          <w:p w14:paraId="1A636EF2" w14:textId="77777777" w:rsidR="00553430" w:rsidRDefault="00212577">
            <w:pPr>
              <w:pStyle w:val="P68B1DB1-Normal66"/>
              <w:spacing w:after="200" w:line="276" w:lineRule="auto"/>
              <w:rPr>
                <w:noProof/>
              </w:rPr>
            </w:pPr>
            <w:r>
              <w:rPr>
                <w:noProof/>
              </w:rPr>
              <w:t xml:space="preserve">Entrée en vigueur du modèle de financement de l'EAJE </w:t>
            </w:r>
          </w:p>
        </w:tc>
        <w:tc>
          <w:tcPr>
            <w:tcW w:w="1166" w:type="dxa"/>
            <w:shd w:val="clear" w:color="auto" w:fill="C6EFCE"/>
            <w:noWrap/>
          </w:tcPr>
          <w:p w14:paraId="73A3EBD0" w14:textId="77777777" w:rsidR="00553430" w:rsidRDefault="00212577">
            <w:pPr>
              <w:pStyle w:val="P68B1DB1-Normal66"/>
              <w:spacing w:after="200" w:line="276" w:lineRule="auto"/>
              <w:jc w:val="center"/>
              <w:rPr>
                <w:noProof/>
              </w:rPr>
            </w:pPr>
            <w:r>
              <w:rPr>
                <w:noProof/>
              </w:rPr>
              <w:t> </w:t>
            </w:r>
          </w:p>
        </w:tc>
        <w:tc>
          <w:tcPr>
            <w:tcW w:w="924" w:type="dxa"/>
            <w:shd w:val="clear" w:color="auto" w:fill="C6EFCE"/>
            <w:noWrap/>
          </w:tcPr>
          <w:p w14:paraId="729A89B7" w14:textId="77777777" w:rsidR="00553430" w:rsidRDefault="00212577">
            <w:pPr>
              <w:pStyle w:val="P68B1DB1-Normal66"/>
              <w:spacing w:after="200" w:line="276" w:lineRule="auto"/>
              <w:jc w:val="center"/>
              <w:rPr>
                <w:noProof/>
              </w:rPr>
            </w:pPr>
            <w:r>
              <w:rPr>
                <w:noProof/>
              </w:rPr>
              <w:t> </w:t>
            </w:r>
          </w:p>
        </w:tc>
        <w:tc>
          <w:tcPr>
            <w:tcW w:w="862" w:type="dxa"/>
            <w:shd w:val="clear" w:color="auto" w:fill="C6EFCE"/>
            <w:noWrap/>
          </w:tcPr>
          <w:p w14:paraId="2DA214C3" w14:textId="77777777" w:rsidR="00553430" w:rsidRDefault="00212577">
            <w:pPr>
              <w:pStyle w:val="P68B1DB1-Normal66"/>
              <w:spacing w:after="200" w:line="276" w:lineRule="auto"/>
              <w:jc w:val="center"/>
              <w:rPr>
                <w:noProof/>
              </w:rPr>
            </w:pPr>
            <w:r>
              <w:rPr>
                <w:noProof/>
              </w:rPr>
              <w:t> </w:t>
            </w:r>
          </w:p>
        </w:tc>
        <w:tc>
          <w:tcPr>
            <w:tcW w:w="1041" w:type="dxa"/>
            <w:shd w:val="clear" w:color="auto" w:fill="C6EFCE"/>
            <w:noWrap/>
          </w:tcPr>
          <w:p w14:paraId="3E034A3E" w14:textId="77777777" w:rsidR="00553430" w:rsidRDefault="00212577">
            <w:pPr>
              <w:pStyle w:val="P68B1DB1-Normal66"/>
              <w:spacing w:after="200" w:line="276" w:lineRule="auto"/>
              <w:jc w:val="center"/>
              <w:rPr>
                <w:noProof/>
              </w:rPr>
            </w:pPr>
            <w:r>
              <w:rPr>
                <w:noProof/>
              </w:rPr>
              <w:t>T1</w:t>
            </w:r>
          </w:p>
        </w:tc>
        <w:tc>
          <w:tcPr>
            <w:tcW w:w="853" w:type="dxa"/>
            <w:shd w:val="clear" w:color="auto" w:fill="C6EFCE"/>
            <w:noWrap/>
          </w:tcPr>
          <w:p w14:paraId="1F43F85A" w14:textId="77777777" w:rsidR="00553430" w:rsidRDefault="00212577">
            <w:pPr>
              <w:pStyle w:val="P68B1DB1-Normal66"/>
              <w:spacing w:after="200" w:line="276" w:lineRule="auto"/>
              <w:jc w:val="center"/>
              <w:rPr>
                <w:noProof/>
              </w:rPr>
            </w:pPr>
            <w:r>
              <w:rPr>
                <w:noProof/>
              </w:rPr>
              <w:t>2023</w:t>
            </w:r>
          </w:p>
        </w:tc>
        <w:tc>
          <w:tcPr>
            <w:tcW w:w="2973" w:type="dxa"/>
            <w:shd w:val="clear" w:color="auto" w:fill="C6EFCE"/>
            <w:noWrap/>
          </w:tcPr>
          <w:p w14:paraId="0D9B67A5" w14:textId="77777777" w:rsidR="00553430" w:rsidRDefault="00212577">
            <w:pPr>
              <w:pStyle w:val="P68B1DB1-Normal66"/>
              <w:spacing w:after="200" w:line="276" w:lineRule="auto"/>
              <w:rPr>
                <w:noProof/>
              </w:rPr>
            </w:pPr>
            <w:r>
              <w:rPr>
                <w:noProof/>
              </w:rPr>
              <w:t xml:space="preserve">Le gouvernement croate adopte un modèle de financement des coûts de </w:t>
            </w:r>
            <w:r>
              <w:rPr>
                <w:noProof/>
              </w:rPr>
              <w:t>fonctionnement des installations d’EAJE pour les municipalités/unités d’administration locale ayant une capacité financière moindre, afin de garantir la durabilité de l’investissement après la rénovation des installations d’EAJE existantes ou la constructi</w:t>
            </w:r>
            <w:r>
              <w:rPr>
                <w:noProof/>
              </w:rPr>
              <w:t xml:space="preserve">on de nouvelles installations d’EAJE. </w:t>
            </w:r>
          </w:p>
        </w:tc>
      </w:tr>
      <w:tr w:rsidR="00553430" w14:paraId="77DC32EC" w14:textId="77777777" w:rsidTr="00BD0484">
        <w:trPr>
          <w:trHeight w:val="1434"/>
        </w:trPr>
        <w:tc>
          <w:tcPr>
            <w:tcW w:w="1071" w:type="dxa"/>
            <w:shd w:val="clear" w:color="auto" w:fill="C6EFCE"/>
            <w:noWrap/>
          </w:tcPr>
          <w:p w14:paraId="49626D80" w14:textId="77777777" w:rsidR="00553430" w:rsidRDefault="00212577">
            <w:pPr>
              <w:pStyle w:val="P68B1DB1-Normal66"/>
              <w:spacing w:after="200" w:line="276" w:lineRule="auto"/>
              <w:jc w:val="center"/>
              <w:rPr>
                <w:noProof/>
              </w:rPr>
            </w:pPr>
            <w:r>
              <w:rPr>
                <w:noProof/>
              </w:rPr>
              <w:t>268</w:t>
            </w:r>
          </w:p>
        </w:tc>
        <w:tc>
          <w:tcPr>
            <w:tcW w:w="937" w:type="dxa"/>
            <w:shd w:val="clear" w:color="auto" w:fill="C6EFCE"/>
            <w:noWrap/>
          </w:tcPr>
          <w:p w14:paraId="600F999F" w14:textId="77777777" w:rsidR="00553430" w:rsidRDefault="00212577">
            <w:pPr>
              <w:pStyle w:val="P68B1DB1-Normal66"/>
              <w:spacing w:after="200" w:line="276" w:lineRule="auto"/>
              <w:jc w:val="center"/>
              <w:rPr>
                <w:noProof/>
              </w:rPr>
            </w:pPr>
            <w:r>
              <w:rPr>
                <w:noProof/>
              </w:rPr>
              <w:t>C3.1. R1</w:t>
            </w:r>
          </w:p>
        </w:tc>
        <w:tc>
          <w:tcPr>
            <w:tcW w:w="1031" w:type="dxa"/>
            <w:shd w:val="clear" w:color="auto" w:fill="C6EFCE"/>
            <w:noWrap/>
          </w:tcPr>
          <w:p w14:paraId="51854599" w14:textId="77777777" w:rsidR="00553430" w:rsidRDefault="00212577">
            <w:pPr>
              <w:pStyle w:val="P68B1DB1-Normal66"/>
              <w:spacing w:after="200" w:line="276" w:lineRule="auto"/>
              <w:jc w:val="center"/>
              <w:rPr>
                <w:noProof/>
              </w:rPr>
            </w:pPr>
            <w:r>
              <w:rPr>
                <w:noProof/>
              </w:rPr>
              <w:t>M</w:t>
            </w:r>
          </w:p>
        </w:tc>
        <w:tc>
          <w:tcPr>
            <w:tcW w:w="1803" w:type="dxa"/>
            <w:shd w:val="clear" w:color="auto" w:fill="C6EFCE"/>
            <w:noWrap/>
          </w:tcPr>
          <w:p w14:paraId="00CBDA73" w14:textId="228A3F94" w:rsidR="00553430" w:rsidRDefault="00212577">
            <w:pPr>
              <w:pStyle w:val="P68B1DB1-Normal66"/>
              <w:spacing w:after="200" w:line="276" w:lineRule="auto"/>
              <w:rPr>
                <w:noProof/>
              </w:rPr>
            </w:pPr>
            <w:r>
              <w:rPr>
                <w:noProof/>
              </w:rPr>
              <w:t>Adoption des amendements pour un modèle d'enseignement d'une journée complète</w:t>
            </w:r>
          </w:p>
        </w:tc>
        <w:tc>
          <w:tcPr>
            <w:tcW w:w="2364" w:type="dxa"/>
            <w:shd w:val="clear" w:color="auto" w:fill="C6EFCE"/>
            <w:noWrap/>
          </w:tcPr>
          <w:p w14:paraId="2788156B" w14:textId="77777777" w:rsidR="00553430" w:rsidRDefault="00212577">
            <w:pPr>
              <w:pStyle w:val="P68B1DB1-Normal66"/>
              <w:spacing w:after="0" w:line="276" w:lineRule="auto"/>
              <w:rPr>
                <w:noProof/>
              </w:rPr>
            </w:pPr>
            <w:r>
              <w:rPr>
                <w:noProof/>
              </w:rPr>
              <w:t xml:space="preserve">Entrée en vigueur des amendements adoptés à la loi réglementant l'enseignement primaire et secondaire pour l'enseignement </w:t>
            </w:r>
            <w:r>
              <w:rPr>
                <w:noProof/>
              </w:rPr>
              <w:t>d'une journée complète</w:t>
            </w:r>
          </w:p>
        </w:tc>
        <w:tc>
          <w:tcPr>
            <w:tcW w:w="1166" w:type="dxa"/>
            <w:shd w:val="clear" w:color="auto" w:fill="C6EFCE"/>
            <w:noWrap/>
          </w:tcPr>
          <w:p w14:paraId="2AAA60B9" w14:textId="77777777" w:rsidR="00553430" w:rsidRDefault="00212577">
            <w:pPr>
              <w:pStyle w:val="P68B1DB1-Normal66"/>
              <w:spacing w:after="200" w:line="276" w:lineRule="auto"/>
              <w:jc w:val="center"/>
              <w:rPr>
                <w:noProof/>
              </w:rPr>
            </w:pPr>
            <w:r>
              <w:rPr>
                <w:noProof/>
              </w:rPr>
              <w:t> </w:t>
            </w:r>
          </w:p>
        </w:tc>
        <w:tc>
          <w:tcPr>
            <w:tcW w:w="924" w:type="dxa"/>
            <w:shd w:val="clear" w:color="auto" w:fill="C6EFCE"/>
            <w:noWrap/>
          </w:tcPr>
          <w:p w14:paraId="654D56AF" w14:textId="77777777" w:rsidR="00553430" w:rsidRDefault="00212577">
            <w:pPr>
              <w:pStyle w:val="P68B1DB1-Normal66"/>
              <w:spacing w:after="200" w:line="276" w:lineRule="auto"/>
              <w:jc w:val="center"/>
              <w:rPr>
                <w:noProof/>
              </w:rPr>
            </w:pPr>
            <w:r>
              <w:rPr>
                <w:noProof/>
              </w:rPr>
              <w:t> </w:t>
            </w:r>
          </w:p>
        </w:tc>
        <w:tc>
          <w:tcPr>
            <w:tcW w:w="862" w:type="dxa"/>
            <w:shd w:val="clear" w:color="auto" w:fill="C6EFCE"/>
            <w:noWrap/>
          </w:tcPr>
          <w:p w14:paraId="630365FB" w14:textId="77777777" w:rsidR="00553430" w:rsidRDefault="00212577">
            <w:pPr>
              <w:pStyle w:val="P68B1DB1-Normal66"/>
              <w:spacing w:after="200" w:line="276" w:lineRule="auto"/>
              <w:jc w:val="center"/>
              <w:rPr>
                <w:noProof/>
              </w:rPr>
            </w:pPr>
            <w:r>
              <w:rPr>
                <w:noProof/>
              </w:rPr>
              <w:t> </w:t>
            </w:r>
          </w:p>
        </w:tc>
        <w:tc>
          <w:tcPr>
            <w:tcW w:w="1041" w:type="dxa"/>
            <w:shd w:val="clear" w:color="auto" w:fill="C6EFCE"/>
            <w:noWrap/>
          </w:tcPr>
          <w:p w14:paraId="146C2DA5" w14:textId="77777777" w:rsidR="00553430" w:rsidRDefault="00212577">
            <w:pPr>
              <w:pStyle w:val="P68B1DB1-Normal66"/>
              <w:spacing w:after="200" w:line="276" w:lineRule="auto"/>
              <w:jc w:val="center"/>
              <w:rPr>
                <w:noProof/>
              </w:rPr>
            </w:pPr>
            <w:r>
              <w:rPr>
                <w:noProof/>
              </w:rPr>
              <w:t>T4</w:t>
            </w:r>
          </w:p>
        </w:tc>
        <w:tc>
          <w:tcPr>
            <w:tcW w:w="853" w:type="dxa"/>
            <w:shd w:val="clear" w:color="auto" w:fill="C6EFCE"/>
            <w:noWrap/>
          </w:tcPr>
          <w:p w14:paraId="151FD628" w14:textId="77777777" w:rsidR="00553430" w:rsidRDefault="00212577">
            <w:pPr>
              <w:pStyle w:val="P68B1DB1-Normal66"/>
              <w:spacing w:after="200" w:line="276" w:lineRule="auto"/>
              <w:jc w:val="center"/>
              <w:rPr>
                <w:noProof/>
              </w:rPr>
            </w:pPr>
            <w:r>
              <w:rPr>
                <w:noProof/>
              </w:rPr>
              <w:t>2023</w:t>
            </w:r>
          </w:p>
        </w:tc>
        <w:tc>
          <w:tcPr>
            <w:tcW w:w="2973" w:type="dxa"/>
            <w:shd w:val="clear" w:color="auto" w:fill="C6EFCE"/>
            <w:noWrap/>
          </w:tcPr>
          <w:p w14:paraId="01676D63" w14:textId="77777777" w:rsidR="00553430" w:rsidRDefault="00212577">
            <w:pPr>
              <w:pStyle w:val="P68B1DB1-Normal66"/>
              <w:spacing w:after="200" w:line="276" w:lineRule="auto"/>
              <w:rPr>
                <w:noProof/>
              </w:rPr>
            </w:pPr>
            <w:r>
              <w:rPr>
                <w:noProof/>
              </w:rPr>
              <w:t>Les modifications apportées à la loi régissant l'enseignement primaire et secondaire définissent les conditions d'introduction de l'enseignement à temps plein.</w:t>
            </w:r>
          </w:p>
        </w:tc>
      </w:tr>
      <w:tr w:rsidR="00553430" w14:paraId="2D139900" w14:textId="77777777" w:rsidTr="00BD0484">
        <w:trPr>
          <w:trHeight w:val="283"/>
        </w:trPr>
        <w:tc>
          <w:tcPr>
            <w:tcW w:w="1071" w:type="dxa"/>
            <w:shd w:val="clear" w:color="auto" w:fill="C6EFCE"/>
            <w:noWrap/>
          </w:tcPr>
          <w:p w14:paraId="559A7E45" w14:textId="77777777" w:rsidR="00553430" w:rsidRDefault="00212577">
            <w:pPr>
              <w:pStyle w:val="P68B1DB1-Normal66"/>
              <w:spacing w:after="200" w:line="276" w:lineRule="auto"/>
              <w:jc w:val="center"/>
              <w:rPr>
                <w:noProof/>
              </w:rPr>
            </w:pPr>
            <w:r>
              <w:rPr>
                <w:noProof/>
              </w:rPr>
              <w:t>269</w:t>
            </w:r>
          </w:p>
        </w:tc>
        <w:tc>
          <w:tcPr>
            <w:tcW w:w="937" w:type="dxa"/>
            <w:shd w:val="clear" w:color="auto" w:fill="C6EFCE"/>
            <w:noWrap/>
          </w:tcPr>
          <w:p w14:paraId="22EB1015" w14:textId="77777777" w:rsidR="00553430" w:rsidRDefault="00212577">
            <w:pPr>
              <w:pStyle w:val="P68B1DB1-Normal66"/>
              <w:spacing w:after="200" w:line="276" w:lineRule="auto"/>
              <w:jc w:val="center"/>
              <w:rPr>
                <w:noProof/>
              </w:rPr>
            </w:pPr>
            <w:r>
              <w:rPr>
                <w:noProof/>
              </w:rPr>
              <w:t>C3.1. R1</w:t>
            </w:r>
          </w:p>
        </w:tc>
        <w:tc>
          <w:tcPr>
            <w:tcW w:w="1031" w:type="dxa"/>
            <w:shd w:val="clear" w:color="auto" w:fill="C6EFCE"/>
            <w:noWrap/>
          </w:tcPr>
          <w:p w14:paraId="2ED4C880" w14:textId="77777777" w:rsidR="00553430" w:rsidRDefault="00212577">
            <w:pPr>
              <w:pStyle w:val="P68B1DB1-Normal66"/>
              <w:spacing w:after="200" w:line="276" w:lineRule="auto"/>
              <w:jc w:val="center"/>
              <w:rPr>
                <w:noProof/>
              </w:rPr>
            </w:pPr>
            <w:r>
              <w:rPr>
                <w:noProof/>
              </w:rPr>
              <w:t>T</w:t>
            </w:r>
          </w:p>
        </w:tc>
        <w:tc>
          <w:tcPr>
            <w:tcW w:w="1803" w:type="dxa"/>
            <w:shd w:val="clear" w:color="auto" w:fill="C6EFCE"/>
            <w:noWrap/>
          </w:tcPr>
          <w:p w14:paraId="341CAC4B" w14:textId="77777777" w:rsidR="00553430" w:rsidRDefault="00212577">
            <w:pPr>
              <w:pStyle w:val="P68B1DB1-Normal66"/>
              <w:spacing w:after="200" w:line="276" w:lineRule="auto"/>
              <w:rPr>
                <w:noProof/>
              </w:rPr>
            </w:pPr>
            <w:r>
              <w:rPr>
                <w:noProof/>
              </w:rPr>
              <w:t xml:space="preserve">Participation à l'éducation et à l'accueil de la petite enfance </w:t>
            </w:r>
          </w:p>
        </w:tc>
        <w:tc>
          <w:tcPr>
            <w:tcW w:w="2364" w:type="dxa"/>
            <w:shd w:val="clear" w:color="auto" w:fill="C6EFCE"/>
            <w:noWrap/>
          </w:tcPr>
          <w:p w14:paraId="4B0A9243" w14:textId="77777777" w:rsidR="00553430" w:rsidRDefault="00553430">
            <w:pPr>
              <w:spacing w:after="200" w:line="276" w:lineRule="auto"/>
              <w:rPr>
                <w:rFonts w:ascii="Times New Roman" w:eastAsia="Calibri" w:hAnsi="Times New Roman" w:cs="Times New Roman"/>
                <w:noProof/>
                <w:sz w:val="20"/>
                <w:szCs w:val="20"/>
              </w:rPr>
            </w:pPr>
          </w:p>
        </w:tc>
        <w:tc>
          <w:tcPr>
            <w:tcW w:w="1166" w:type="dxa"/>
            <w:shd w:val="clear" w:color="auto" w:fill="C6EFCE"/>
            <w:noWrap/>
          </w:tcPr>
          <w:p w14:paraId="6F99E616" w14:textId="77777777" w:rsidR="00553430" w:rsidRDefault="00212577">
            <w:pPr>
              <w:pStyle w:val="P68B1DB1-Normal66"/>
              <w:spacing w:after="200" w:line="276" w:lineRule="auto"/>
              <w:jc w:val="center"/>
              <w:rPr>
                <w:noProof/>
              </w:rPr>
            </w:pPr>
            <w:r>
              <w:rPr>
                <w:noProof/>
              </w:rPr>
              <w:t>% (pourcentage)</w:t>
            </w:r>
          </w:p>
        </w:tc>
        <w:tc>
          <w:tcPr>
            <w:tcW w:w="924" w:type="dxa"/>
            <w:shd w:val="clear" w:color="auto" w:fill="C6EFCE"/>
            <w:noWrap/>
          </w:tcPr>
          <w:p w14:paraId="7E1CBA59" w14:textId="77777777" w:rsidR="00553430" w:rsidRDefault="00212577">
            <w:pPr>
              <w:pStyle w:val="P68B1DB1-Normal66"/>
              <w:spacing w:after="200" w:line="276" w:lineRule="auto"/>
              <w:jc w:val="center"/>
              <w:rPr>
                <w:noProof/>
              </w:rPr>
            </w:pPr>
            <w:r>
              <w:rPr>
                <w:noProof/>
              </w:rPr>
              <w:t>76,3</w:t>
            </w:r>
          </w:p>
        </w:tc>
        <w:tc>
          <w:tcPr>
            <w:tcW w:w="862" w:type="dxa"/>
            <w:shd w:val="clear" w:color="auto" w:fill="C6EFCE"/>
            <w:noWrap/>
          </w:tcPr>
          <w:p w14:paraId="2F25D8F3" w14:textId="77777777" w:rsidR="00553430" w:rsidRDefault="00212577">
            <w:pPr>
              <w:pStyle w:val="P68B1DB1-Normal66"/>
              <w:spacing w:after="200" w:line="276" w:lineRule="auto"/>
              <w:jc w:val="center"/>
              <w:rPr>
                <w:noProof/>
              </w:rPr>
            </w:pPr>
            <w:r>
              <w:rPr>
                <w:noProof/>
              </w:rPr>
              <w:t>90</w:t>
            </w:r>
          </w:p>
        </w:tc>
        <w:tc>
          <w:tcPr>
            <w:tcW w:w="1041" w:type="dxa"/>
            <w:shd w:val="clear" w:color="auto" w:fill="C6EFCE"/>
            <w:noWrap/>
          </w:tcPr>
          <w:p w14:paraId="5A00BC6A" w14:textId="77777777" w:rsidR="00553430" w:rsidRDefault="00212577">
            <w:pPr>
              <w:pStyle w:val="P68B1DB1-Normal66"/>
              <w:spacing w:after="200" w:line="276" w:lineRule="auto"/>
              <w:jc w:val="center"/>
              <w:rPr>
                <w:noProof/>
              </w:rPr>
            </w:pPr>
            <w:r>
              <w:rPr>
                <w:noProof/>
              </w:rPr>
              <w:t>T2</w:t>
            </w:r>
          </w:p>
        </w:tc>
        <w:tc>
          <w:tcPr>
            <w:tcW w:w="853" w:type="dxa"/>
            <w:shd w:val="clear" w:color="auto" w:fill="C6EFCE"/>
            <w:noWrap/>
          </w:tcPr>
          <w:p w14:paraId="69491C0D" w14:textId="77777777" w:rsidR="00553430" w:rsidRDefault="00212577">
            <w:pPr>
              <w:pStyle w:val="P68B1DB1-Normal66"/>
              <w:spacing w:after="200" w:line="276" w:lineRule="auto"/>
              <w:jc w:val="center"/>
              <w:rPr>
                <w:noProof/>
              </w:rPr>
            </w:pPr>
            <w:r>
              <w:rPr>
                <w:noProof/>
              </w:rPr>
              <w:t>2026</w:t>
            </w:r>
          </w:p>
        </w:tc>
        <w:tc>
          <w:tcPr>
            <w:tcW w:w="2973" w:type="dxa"/>
            <w:shd w:val="clear" w:color="auto" w:fill="C6EFCE"/>
            <w:noWrap/>
          </w:tcPr>
          <w:p w14:paraId="34C60DFE" w14:textId="77777777" w:rsidR="00553430" w:rsidRDefault="00212577">
            <w:pPr>
              <w:pStyle w:val="P68B1DB1-Normal66"/>
              <w:spacing w:after="200" w:line="276" w:lineRule="auto"/>
              <w:rPr>
                <w:noProof/>
              </w:rPr>
            </w:pPr>
            <w:r>
              <w:rPr>
                <w:noProof/>
              </w:rPr>
              <w:t>L’augmentation de 90 % de la proportion d’enfants âgés de 3 ans à l’âge scolaire fréquentant l’EAJE est visible à partir des statistiques nationales officiell</w:t>
            </w:r>
            <w:r>
              <w:rPr>
                <w:noProof/>
              </w:rPr>
              <w:t xml:space="preserve">es. </w:t>
            </w:r>
          </w:p>
        </w:tc>
      </w:tr>
      <w:tr w:rsidR="00553430" w14:paraId="6ED492D5" w14:textId="77777777" w:rsidTr="00BD0484">
        <w:trPr>
          <w:trHeight w:val="283"/>
        </w:trPr>
        <w:tc>
          <w:tcPr>
            <w:tcW w:w="1071" w:type="dxa"/>
            <w:shd w:val="clear" w:color="auto" w:fill="C6EFCE"/>
            <w:noWrap/>
          </w:tcPr>
          <w:p w14:paraId="63E152AA" w14:textId="77777777" w:rsidR="00553430" w:rsidRDefault="00212577">
            <w:pPr>
              <w:pStyle w:val="P68B1DB1-Normal66"/>
              <w:spacing w:after="200" w:line="276" w:lineRule="auto"/>
              <w:jc w:val="center"/>
              <w:rPr>
                <w:noProof/>
              </w:rPr>
            </w:pPr>
            <w:r>
              <w:rPr>
                <w:noProof/>
              </w:rPr>
              <w:t>270</w:t>
            </w:r>
          </w:p>
        </w:tc>
        <w:tc>
          <w:tcPr>
            <w:tcW w:w="937" w:type="dxa"/>
            <w:shd w:val="clear" w:color="auto" w:fill="C6EFCE"/>
            <w:noWrap/>
          </w:tcPr>
          <w:p w14:paraId="562D3067" w14:textId="77777777" w:rsidR="00553430" w:rsidRDefault="00212577">
            <w:pPr>
              <w:pStyle w:val="P68B1DB1-Normal66"/>
              <w:spacing w:after="200" w:line="276" w:lineRule="auto"/>
              <w:jc w:val="center"/>
              <w:rPr>
                <w:noProof/>
              </w:rPr>
            </w:pPr>
            <w:r>
              <w:rPr>
                <w:noProof/>
              </w:rPr>
              <w:t>C3.1. R1-I1</w:t>
            </w:r>
          </w:p>
        </w:tc>
        <w:tc>
          <w:tcPr>
            <w:tcW w:w="1031" w:type="dxa"/>
            <w:shd w:val="clear" w:color="auto" w:fill="C6EFCE"/>
            <w:noWrap/>
          </w:tcPr>
          <w:p w14:paraId="1EA6C7CC" w14:textId="77777777" w:rsidR="00553430" w:rsidRDefault="00212577">
            <w:pPr>
              <w:pStyle w:val="P68B1DB1-Normal66"/>
              <w:spacing w:after="200" w:line="276" w:lineRule="auto"/>
              <w:jc w:val="center"/>
              <w:rPr>
                <w:noProof/>
              </w:rPr>
            </w:pPr>
            <w:r>
              <w:rPr>
                <w:noProof/>
              </w:rPr>
              <w:t>T</w:t>
            </w:r>
          </w:p>
        </w:tc>
        <w:tc>
          <w:tcPr>
            <w:tcW w:w="1803" w:type="dxa"/>
            <w:shd w:val="clear" w:color="auto" w:fill="C6EFCE"/>
            <w:noWrap/>
          </w:tcPr>
          <w:p w14:paraId="7F4B918E" w14:textId="77777777" w:rsidR="00553430" w:rsidRDefault="00212577">
            <w:pPr>
              <w:pStyle w:val="P68B1DB1-Normal66"/>
              <w:spacing w:after="200" w:line="276" w:lineRule="auto"/>
              <w:rPr>
                <w:noProof/>
              </w:rPr>
            </w:pPr>
            <w:r>
              <w:rPr>
                <w:noProof/>
              </w:rPr>
              <w:t>Nombre de places construites dans l’EAJE</w:t>
            </w:r>
          </w:p>
        </w:tc>
        <w:tc>
          <w:tcPr>
            <w:tcW w:w="2364" w:type="dxa"/>
            <w:shd w:val="clear" w:color="auto" w:fill="C6EFCE"/>
            <w:noWrap/>
          </w:tcPr>
          <w:p w14:paraId="111BFA7C" w14:textId="77777777" w:rsidR="00553430" w:rsidRDefault="00553430">
            <w:pPr>
              <w:spacing w:after="200" w:line="276" w:lineRule="auto"/>
              <w:rPr>
                <w:rFonts w:ascii="Times New Roman" w:eastAsia="Calibri" w:hAnsi="Times New Roman" w:cs="Times New Roman"/>
                <w:noProof/>
                <w:sz w:val="20"/>
                <w:szCs w:val="20"/>
              </w:rPr>
            </w:pPr>
          </w:p>
        </w:tc>
        <w:tc>
          <w:tcPr>
            <w:tcW w:w="1166" w:type="dxa"/>
            <w:shd w:val="clear" w:color="auto" w:fill="C6EFCE"/>
            <w:noWrap/>
          </w:tcPr>
          <w:p w14:paraId="7965314C" w14:textId="77777777" w:rsidR="00553430" w:rsidRDefault="00212577">
            <w:pPr>
              <w:pStyle w:val="P68B1DB1-Normal66"/>
              <w:spacing w:after="200" w:line="276" w:lineRule="auto"/>
              <w:jc w:val="center"/>
              <w:rPr>
                <w:noProof/>
              </w:rPr>
            </w:pPr>
            <w:r>
              <w:rPr>
                <w:noProof/>
              </w:rPr>
              <w:t>Numéro</w:t>
            </w:r>
          </w:p>
        </w:tc>
        <w:tc>
          <w:tcPr>
            <w:tcW w:w="924" w:type="dxa"/>
            <w:shd w:val="clear" w:color="auto" w:fill="C6EFCE"/>
            <w:noWrap/>
          </w:tcPr>
          <w:p w14:paraId="3A21310A" w14:textId="77777777" w:rsidR="00553430" w:rsidRDefault="00212577">
            <w:pPr>
              <w:pStyle w:val="P68B1DB1-Normal66"/>
              <w:spacing w:after="200" w:line="276" w:lineRule="auto"/>
              <w:jc w:val="center"/>
              <w:rPr>
                <w:noProof/>
              </w:rPr>
            </w:pPr>
            <w:r>
              <w:rPr>
                <w:noProof/>
              </w:rPr>
              <w:t>0</w:t>
            </w:r>
          </w:p>
        </w:tc>
        <w:tc>
          <w:tcPr>
            <w:tcW w:w="862" w:type="dxa"/>
            <w:shd w:val="clear" w:color="auto" w:fill="C6EFCE"/>
            <w:noWrap/>
          </w:tcPr>
          <w:p w14:paraId="26630D00" w14:textId="77777777" w:rsidR="00553430" w:rsidRDefault="00212577">
            <w:pPr>
              <w:pStyle w:val="P68B1DB1-Normal66"/>
              <w:spacing w:after="200" w:line="276" w:lineRule="auto"/>
              <w:jc w:val="center"/>
              <w:rPr>
                <w:noProof/>
              </w:rPr>
            </w:pPr>
            <w:r>
              <w:rPr>
                <w:noProof/>
              </w:rPr>
              <w:t xml:space="preserve"> 12 000</w:t>
            </w:r>
          </w:p>
        </w:tc>
        <w:tc>
          <w:tcPr>
            <w:tcW w:w="1041" w:type="dxa"/>
            <w:shd w:val="clear" w:color="auto" w:fill="C6EFCE"/>
            <w:noWrap/>
          </w:tcPr>
          <w:p w14:paraId="40F66D9A" w14:textId="77777777" w:rsidR="00553430" w:rsidRDefault="00212577">
            <w:pPr>
              <w:pStyle w:val="P68B1DB1-Normal66"/>
              <w:spacing w:after="200" w:line="276" w:lineRule="auto"/>
              <w:jc w:val="center"/>
              <w:rPr>
                <w:noProof/>
              </w:rPr>
            </w:pPr>
            <w:r>
              <w:rPr>
                <w:noProof/>
              </w:rPr>
              <w:t>T2</w:t>
            </w:r>
          </w:p>
        </w:tc>
        <w:tc>
          <w:tcPr>
            <w:tcW w:w="853" w:type="dxa"/>
            <w:shd w:val="clear" w:color="auto" w:fill="C6EFCE"/>
            <w:noWrap/>
          </w:tcPr>
          <w:p w14:paraId="48D7740D" w14:textId="77777777" w:rsidR="00553430" w:rsidRDefault="00212577">
            <w:pPr>
              <w:pStyle w:val="P68B1DB1-Normal66"/>
              <w:spacing w:after="200" w:line="276" w:lineRule="auto"/>
              <w:jc w:val="center"/>
              <w:rPr>
                <w:noProof/>
              </w:rPr>
            </w:pPr>
            <w:r>
              <w:rPr>
                <w:noProof/>
              </w:rPr>
              <w:t>2026</w:t>
            </w:r>
          </w:p>
        </w:tc>
        <w:tc>
          <w:tcPr>
            <w:tcW w:w="2973" w:type="dxa"/>
            <w:shd w:val="clear" w:color="auto" w:fill="C6EFCE"/>
            <w:noWrap/>
          </w:tcPr>
          <w:p w14:paraId="0C8BFF07" w14:textId="440BC5C5" w:rsidR="00553430" w:rsidRDefault="00212577">
            <w:pPr>
              <w:pStyle w:val="P68B1DB1-Normal66"/>
              <w:spacing w:after="200" w:line="276" w:lineRule="auto"/>
              <w:rPr>
                <w:noProof/>
              </w:rPr>
            </w:pPr>
            <w:r>
              <w:rPr>
                <w:noProof/>
              </w:rPr>
              <w:t xml:space="preserve">Au moins 12 000 nouvelles places dans l'EAJE seront créées à la suite des investissements dans les infrastructures pour la construction, la modernisation et la </w:t>
            </w:r>
            <w:r>
              <w:rPr>
                <w:noProof/>
              </w:rPr>
              <w:t>reconstruction d'installations d'EAJE.</w:t>
            </w:r>
          </w:p>
          <w:p w14:paraId="71C35D06" w14:textId="77777777" w:rsidR="00553430" w:rsidRDefault="00212577">
            <w:pPr>
              <w:pStyle w:val="P68B1DB1-Normal66"/>
              <w:spacing w:after="200" w:line="276" w:lineRule="auto"/>
              <w:rPr>
                <w:noProof/>
              </w:rPr>
            </w:pPr>
            <w:r>
              <w:rPr>
                <w:noProof/>
              </w:rPr>
              <w:t>La construction et la rénovation des installations d’EAJE sont fondées sur les résultats d’une analyse des besoins qui tient compte des capacités de l’école et de l’évolution démographique.</w:t>
            </w:r>
          </w:p>
        </w:tc>
      </w:tr>
      <w:tr w:rsidR="00553430" w14:paraId="6B823598" w14:textId="77777777" w:rsidTr="00BD0484">
        <w:trPr>
          <w:trHeight w:val="283"/>
        </w:trPr>
        <w:tc>
          <w:tcPr>
            <w:tcW w:w="1071" w:type="dxa"/>
            <w:shd w:val="clear" w:color="auto" w:fill="C6EFCE"/>
            <w:noWrap/>
          </w:tcPr>
          <w:p w14:paraId="6C11E5B2" w14:textId="77777777" w:rsidR="00553430" w:rsidRDefault="00212577">
            <w:pPr>
              <w:pStyle w:val="P68B1DB1-Normal66"/>
              <w:spacing w:after="200" w:line="276" w:lineRule="auto"/>
              <w:jc w:val="center"/>
              <w:rPr>
                <w:noProof/>
              </w:rPr>
            </w:pPr>
            <w:r>
              <w:rPr>
                <w:noProof/>
              </w:rPr>
              <w:t>271</w:t>
            </w:r>
          </w:p>
        </w:tc>
        <w:tc>
          <w:tcPr>
            <w:tcW w:w="937" w:type="dxa"/>
            <w:shd w:val="clear" w:color="auto" w:fill="C6EFCE"/>
            <w:noWrap/>
          </w:tcPr>
          <w:p w14:paraId="05A5C24C" w14:textId="77777777" w:rsidR="00553430" w:rsidRDefault="00212577">
            <w:pPr>
              <w:pStyle w:val="P68B1DB1-Normal66"/>
              <w:spacing w:after="200" w:line="276" w:lineRule="auto"/>
              <w:jc w:val="center"/>
              <w:rPr>
                <w:noProof/>
              </w:rPr>
            </w:pPr>
            <w:r>
              <w:rPr>
                <w:noProof/>
              </w:rPr>
              <w:t>C3.1. R1-I2</w:t>
            </w:r>
          </w:p>
        </w:tc>
        <w:tc>
          <w:tcPr>
            <w:tcW w:w="1031" w:type="dxa"/>
            <w:shd w:val="clear" w:color="auto" w:fill="C6EFCE"/>
            <w:noWrap/>
          </w:tcPr>
          <w:p w14:paraId="431B8EFD" w14:textId="77777777" w:rsidR="00553430" w:rsidRDefault="00212577">
            <w:pPr>
              <w:pStyle w:val="P68B1DB1-Normal66"/>
              <w:spacing w:after="200" w:line="276" w:lineRule="auto"/>
              <w:jc w:val="center"/>
              <w:rPr>
                <w:noProof/>
              </w:rPr>
            </w:pPr>
            <w:r>
              <w:rPr>
                <w:noProof/>
              </w:rPr>
              <w:t>T</w:t>
            </w:r>
          </w:p>
        </w:tc>
        <w:tc>
          <w:tcPr>
            <w:tcW w:w="1803" w:type="dxa"/>
            <w:shd w:val="clear" w:color="auto" w:fill="C6EFCE"/>
            <w:noWrap/>
          </w:tcPr>
          <w:p w14:paraId="13494E4A" w14:textId="77777777" w:rsidR="00553430" w:rsidRDefault="00212577">
            <w:pPr>
              <w:pStyle w:val="P68B1DB1-Normal66"/>
              <w:spacing w:after="240" w:line="276" w:lineRule="auto"/>
              <w:rPr>
                <w:noProof/>
              </w:rPr>
            </w:pPr>
            <w:r>
              <w:rPr>
                <w:noProof/>
              </w:rPr>
              <w:t xml:space="preserve">Nombre </w:t>
            </w:r>
            <w:r>
              <w:rPr>
                <w:noProof/>
              </w:rPr>
              <w:t>de salles de classe d ' écoles primaires construites ou reconstruites</w:t>
            </w:r>
          </w:p>
        </w:tc>
        <w:tc>
          <w:tcPr>
            <w:tcW w:w="2364" w:type="dxa"/>
            <w:shd w:val="clear" w:color="auto" w:fill="C6EFCE"/>
            <w:noWrap/>
          </w:tcPr>
          <w:p w14:paraId="7E4D2035" w14:textId="77777777" w:rsidR="00553430" w:rsidRDefault="00553430">
            <w:pPr>
              <w:spacing w:after="0" w:line="276" w:lineRule="auto"/>
              <w:rPr>
                <w:rFonts w:ascii="Times New Roman" w:eastAsia="Calibri" w:hAnsi="Times New Roman" w:cs="Times New Roman"/>
                <w:noProof/>
                <w:sz w:val="20"/>
                <w:szCs w:val="20"/>
              </w:rPr>
            </w:pPr>
          </w:p>
        </w:tc>
        <w:tc>
          <w:tcPr>
            <w:tcW w:w="1166" w:type="dxa"/>
            <w:shd w:val="clear" w:color="auto" w:fill="C6EFCE"/>
            <w:noWrap/>
          </w:tcPr>
          <w:p w14:paraId="6FD97B5A" w14:textId="77777777" w:rsidR="00553430" w:rsidRDefault="00212577">
            <w:pPr>
              <w:pStyle w:val="P68B1DB1-Normal66"/>
              <w:spacing w:after="200" w:line="276" w:lineRule="auto"/>
              <w:jc w:val="center"/>
              <w:rPr>
                <w:noProof/>
              </w:rPr>
            </w:pPr>
            <w:r>
              <w:rPr>
                <w:noProof/>
              </w:rPr>
              <w:t>Numéro</w:t>
            </w:r>
          </w:p>
        </w:tc>
        <w:tc>
          <w:tcPr>
            <w:tcW w:w="924" w:type="dxa"/>
            <w:shd w:val="clear" w:color="auto" w:fill="C6EFCE"/>
            <w:noWrap/>
          </w:tcPr>
          <w:p w14:paraId="055E0D55" w14:textId="77777777" w:rsidR="00553430" w:rsidRDefault="00212577">
            <w:pPr>
              <w:pStyle w:val="P68B1DB1-Normal66"/>
              <w:spacing w:after="200" w:line="276" w:lineRule="auto"/>
              <w:jc w:val="center"/>
              <w:rPr>
                <w:noProof/>
              </w:rPr>
            </w:pPr>
            <w:r>
              <w:rPr>
                <w:noProof/>
              </w:rPr>
              <w:t>0</w:t>
            </w:r>
          </w:p>
        </w:tc>
        <w:tc>
          <w:tcPr>
            <w:tcW w:w="862" w:type="dxa"/>
            <w:shd w:val="clear" w:color="auto" w:fill="C6EFCE"/>
            <w:noWrap/>
          </w:tcPr>
          <w:p w14:paraId="04321D12" w14:textId="77777777" w:rsidR="00553430" w:rsidRDefault="00212577">
            <w:pPr>
              <w:pStyle w:val="P68B1DB1-Normal66"/>
              <w:spacing w:after="200" w:line="276" w:lineRule="auto"/>
              <w:jc w:val="center"/>
              <w:rPr>
                <w:noProof/>
              </w:rPr>
            </w:pPr>
            <w:r>
              <w:rPr>
                <w:noProof/>
              </w:rPr>
              <w:t>286</w:t>
            </w:r>
          </w:p>
        </w:tc>
        <w:tc>
          <w:tcPr>
            <w:tcW w:w="1041" w:type="dxa"/>
            <w:shd w:val="clear" w:color="auto" w:fill="C6EFCE"/>
            <w:noWrap/>
          </w:tcPr>
          <w:p w14:paraId="1191EEF1" w14:textId="77777777" w:rsidR="00553430" w:rsidRDefault="00212577">
            <w:pPr>
              <w:pStyle w:val="P68B1DB1-Normal66"/>
              <w:spacing w:after="200" w:line="276" w:lineRule="auto"/>
              <w:jc w:val="center"/>
              <w:rPr>
                <w:noProof/>
              </w:rPr>
            </w:pPr>
            <w:r>
              <w:rPr>
                <w:noProof/>
              </w:rPr>
              <w:t>T2</w:t>
            </w:r>
          </w:p>
        </w:tc>
        <w:tc>
          <w:tcPr>
            <w:tcW w:w="853" w:type="dxa"/>
            <w:shd w:val="clear" w:color="auto" w:fill="C6EFCE"/>
            <w:noWrap/>
          </w:tcPr>
          <w:p w14:paraId="26885E42" w14:textId="77777777" w:rsidR="00553430" w:rsidRDefault="00212577">
            <w:pPr>
              <w:pStyle w:val="P68B1DB1-Normal66"/>
              <w:spacing w:after="200" w:line="276" w:lineRule="auto"/>
              <w:jc w:val="center"/>
              <w:rPr>
                <w:noProof/>
              </w:rPr>
            </w:pPr>
            <w:r>
              <w:rPr>
                <w:noProof/>
              </w:rPr>
              <w:t>2026</w:t>
            </w:r>
          </w:p>
        </w:tc>
        <w:tc>
          <w:tcPr>
            <w:tcW w:w="2973" w:type="dxa"/>
            <w:shd w:val="clear" w:color="auto" w:fill="C6EFCE"/>
            <w:noWrap/>
          </w:tcPr>
          <w:p w14:paraId="5894C11F" w14:textId="77777777" w:rsidR="00553430" w:rsidRDefault="00212577">
            <w:pPr>
              <w:pStyle w:val="P68B1DB1-Normal66"/>
              <w:spacing w:after="200" w:line="276" w:lineRule="auto"/>
              <w:rPr>
                <w:noProof/>
              </w:rPr>
            </w:pPr>
            <w:r>
              <w:rPr>
                <w:noProof/>
              </w:rPr>
              <w:t xml:space="preserve">286 salles de classe dans les écoles primaires doivent être construites ou reconstruites, ce qui crée des capacités supplémentaires, approuvées par le Ministère de </w:t>
            </w:r>
            <w:r>
              <w:rPr>
                <w:noProof/>
              </w:rPr>
              <w:t xml:space="preserve">la science, de l'éducation et du consentement des jeunes, qui détermine les capacités nécessaires. Au moins 4 nouvelles salles de sport seront construites. </w:t>
            </w:r>
          </w:p>
          <w:p w14:paraId="5DC1B679" w14:textId="77777777" w:rsidR="00553430" w:rsidRDefault="00212577">
            <w:pPr>
              <w:spacing w:after="200" w:line="276" w:lineRule="auto"/>
              <w:rPr>
                <w:rFonts w:ascii="Times New Roman" w:eastAsia="Calibri" w:hAnsi="Times New Roman" w:cs="Times New Roman"/>
                <w:noProof/>
                <w:sz w:val="20"/>
                <w:szCs w:val="20"/>
              </w:rPr>
            </w:pPr>
            <w:r>
              <w:rPr>
                <w:rFonts w:ascii="Times New Roman" w:eastAsia="Calibri" w:hAnsi="Times New Roman" w:cs="Times New Roman"/>
                <w:noProof/>
                <w:sz w:val="20"/>
                <w:szCs w:val="20"/>
              </w:rPr>
              <w:t>La construction et la rénovation des écoles primaires sont fondées sur l’évaluation des besoins d’i</w:t>
            </w:r>
            <w:r>
              <w:rPr>
                <w:rFonts w:ascii="Times New Roman" w:eastAsia="Calibri" w:hAnsi="Times New Roman" w:cs="Times New Roman"/>
                <w:noProof/>
                <w:sz w:val="20"/>
                <w:szCs w:val="20"/>
              </w:rPr>
              <w:t>nvestissement dans les infrastructures,</w:t>
            </w:r>
            <w:r>
              <w:rPr>
                <w:rFonts w:ascii="Times New Roman" w:hAnsi="Times New Roman" w:cs="Times New Roman"/>
                <w:noProof/>
                <w14:ligatures w14:val="none"/>
              </w:rPr>
              <w:t xml:space="preserve"> </w:t>
            </w:r>
            <w:r>
              <w:rPr>
                <w:rFonts w:ascii="Times New Roman" w:eastAsia="Calibri" w:hAnsi="Times New Roman" w:cs="Times New Roman"/>
                <w:noProof/>
                <w:sz w:val="20"/>
                <w:szCs w:val="20"/>
              </w:rPr>
              <w:t>en tenant compte des capacités de l’école et de l’évolution démographique.</w:t>
            </w:r>
          </w:p>
        </w:tc>
      </w:tr>
      <w:tr w:rsidR="00553430" w14:paraId="258B6621" w14:textId="77777777" w:rsidTr="00BD0484">
        <w:trPr>
          <w:trHeight w:val="283"/>
        </w:trPr>
        <w:tc>
          <w:tcPr>
            <w:tcW w:w="1071" w:type="dxa"/>
            <w:shd w:val="clear" w:color="auto" w:fill="C6EFCE"/>
            <w:noWrap/>
          </w:tcPr>
          <w:p w14:paraId="7D4EE8CC" w14:textId="77777777" w:rsidR="00553430" w:rsidRDefault="00212577">
            <w:pPr>
              <w:pStyle w:val="P68B1DB1-Normal66"/>
              <w:spacing w:after="200" w:line="276" w:lineRule="auto"/>
              <w:jc w:val="center"/>
              <w:rPr>
                <w:noProof/>
              </w:rPr>
            </w:pPr>
            <w:r>
              <w:rPr>
                <w:noProof/>
              </w:rPr>
              <w:t>396</w:t>
            </w:r>
          </w:p>
        </w:tc>
        <w:tc>
          <w:tcPr>
            <w:tcW w:w="937" w:type="dxa"/>
            <w:shd w:val="clear" w:color="auto" w:fill="C6EFCE"/>
            <w:noWrap/>
          </w:tcPr>
          <w:p w14:paraId="5745DF8E" w14:textId="77777777" w:rsidR="00553430" w:rsidRDefault="00212577">
            <w:pPr>
              <w:pStyle w:val="P68B1DB1-Normal66"/>
              <w:spacing w:after="200" w:line="276" w:lineRule="auto"/>
              <w:jc w:val="center"/>
              <w:rPr>
                <w:noProof/>
              </w:rPr>
            </w:pPr>
            <w:r>
              <w:rPr>
                <w:noProof/>
              </w:rPr>
              <w:t>C3.1. R1-I3</w:t>
            </w:r>
          </w:p>
        </w:tc>
        <w:tc>
          <w:tcPr>
            <w:tcW w:w="1031" w:type="dxa"/>
            <w:shd w:val="clear" w:color="auto" w:fill="C6EFCE"/>
            <w:noWrap/>
          </w:tcPr>
          <w:p w14:paraId="2E9E37C2" w14:textId="77777777" w:rsidR="00553430" w:rsidRDefault="00212577">
            <w:pPr>
              <w:pStyle w:val="P68B1DB1-Normal66"/>
              <w:spacing w:after="200" w:line="276" w:lineRule="auto"/>
              <w:jc w:val="center"/>
              <w:rPr>
                <w:noProof/>
              </w:rPr>
            </w:pPr>
            <w:r>
              <w:rPr>
                <w:noProof/>
              </w:rPr>
              <w:t>T</w:t>
            </w:r>
          </w:p>
        </w:tc>
        <w:tc>
          <w:tcPr>
            <w:tcW w:w="1803" w:type="dxa"/>
            <w:shd w:val="clear" w:color="auto" w:fill="C6EFCE"/>
            <w:noWrap/>
          </w:tcPr>
          <w:p w14:paraId="06CDD9E8" w14:textId="77777777" w:rsidR="00553430" w:rsidRDefault="00212577">
            <w:pPr>
              <w:pStyle w:val="P68B1DB1-Normal66"/>
              <w:spacing w:after="200" w:line="276" w:lineRule="auto"/>
              <w:rPr>
                <w:noProof/>
              </w:rPr>
            </w:pPr>
            <w:r>
              <w:rPr>
                <w:noProof/>
              </w:rPr>
              <w:t xml:space="preserve">Nombre de salles de classe de l ' enseignement secondaire rénovées ou construites </w:t>
            </w:r>
          </w:p>
        </w:tc>
        <w:tc>
          <w:tcPr>
            <w:tcW w:w="2364" w:type="dxa"/>
            <w:shd w:val="clear" w:color="auto" w:fill="C6EFCE"/>
            <w:noWrap/>
          </w:tcPr>
          <w:p w14:paraId="222D5740" w14:textId="77777777" w:rsidR="00553430" w:rsidRDefault="00553430">
            <w:pPr>
              <w:spacing w:after="200" w:line="276" w:lineRule="auto"/>
              <w:rPr>
                <w:rFonts w:ascii="Times New Roman" w:eastAsia="Calibri" w:hAnsi="Times New Roman" w:cs="Times New Roman"/>
                <w:noProof/>
                <w:color w:val="000000"/>
                <w:sz w:val="20"/>
                <w:szCs w:val="20"/>
              </w:rPr>
            </w:pPr>
          </w:p>
        </w:tc>
        <w:tc>
          <w:tcPr>
            <w:tcW w:w="1166" w:type="dxa"/>
            <w:shd w:val="clear" w:color="auto" w:fill="C6EFCE"/>
            <w:noWrap/>
          </w:tcPr>
          <w:p w14:paraId="4078EE0B" w14:textId="77777777" w:rsidR="00553430" w:rsidRDefault="00212577">
            <w:pPr>
              <w:pStyle w:val="P68B1DB1-Normal66"/>
              <w:spacing w:after="200" w:line="276" w:lineRule="auto"/>
              <w:jc w:val="center"/>
              <w:rPr>
                <w:noProof/>
              </w:rPr>
            </w:pPr>
            <w:r>
              <w:rPr>
                <w:noProof/>
              </w:rPr>
              <w:t>Numéro</w:t>
            </w:r>
          </w:p>
        </w:tc>
        <w:tc>
          <w:tcPr>
            <w:tcW w:w="924" w:type="dxa"/>
            <w:shd w:val="clear" w:color="auto" w:fill="C6EFCE"/>
            <w:noWrap/>
          </w:tcPr>
          <w:p w14:paraId="7A50F3E2" w14:textId="77777777" w:rsidR="00553430" w:rsidRDefault="00212577">
            <w:pPr>
              <w:pStyle w:val="P68B1DB1-Normal66"/>
              <w:spacing w:after="200" w:line="276" w:lineRule="auto"/>
              <w:jc w:val="center"/>
              <w:rPr>
                <w:noProof/>
              </w:rPr>
            </w:pPr>
            <w:r>
              <w:rPr>
                <w:noProof/>
              </w:rPr>
              <w:t>0</w:t>
            </w:r>
          </w:p>
        </w:tc>
        <w:tc>
          <w:tcPr>
            <w:tcW w:w="862" w:type="dxa"/>
            <w:shd w:val="clear" w:color="auto" w:fill="C6EFCE"/>
            <w:noWrap/>
          </w:tcPr>
          <w:p w14:paraId="0EA927C8" w14:textId="77777777" w:rsidR="00553430" w:rsidRDefault="00212577">
            <w:pPr>
              <w:pStyle w:val="P68B1DB1-Normal66"/>
              <w:spacing w:after="200" w:line="276" w:lineRule="auto"/>
              <w:jc w:val="center"/>
              <w:rPr>
                <w:noProof/>
              </w:rPr>
            </w:pPr>
            <w:r>
              <w:rPr>
                <w:noProof/>
              </w:rPr>
              <w:t>52</w:t>
            </w:r>
          </w:p>
        </w:tc>
        <w:tc>
          <w:tcPr>
            <w:tcW w:w="1041" w:type="dxa"/>
            <w:shd w:val="clear" w:color="auto" w:fill="C6EFCE"/>
            <w:noWrap/>
          </w:tcPr>
          <w:p w14:paraId="0A67CEBE" w14:textId="77777777" w:rsidR="00553430" w:rsidRDefault="00212577">
            <w:pPr>
              <w:pStyle w:val="P68B1DB1-Normal66"/>
              <w:spacing w:after="200" w:line="276" w:lineRule="auto"/>
              <w:jc w:val="center"/>
              <w:rPr>
                <w:noProof/>
              </w:rPr>
            </w:pPr>
            <w:r>
              <w:rPr>
                <w:noProof/>
              </w:rPr>
              <w:t>T2</w:t>
            </w:r>
          </w:p>
        </w:tc>
        <w:tc>
          <w:tcPr>
            <w:tcW w:w="853" w:type="dxa"/>
            <w:shd w:val="clear" w:color="auto" w:fill="C6EFCE"/>
            <w:noWrap/>
          </w:tcPr>
          <w:p w14:paraId="4B731382" w14:textId="77777777" w:rsidR="00553430" w:rsidRDefault="00212577">
            <w:pPr>
              <w:pStyle w:val="P68B1DB1-Normal66"/>
              <w:spacing w:after="200" w:line="276" w:lineRule="auto"/>
              <w:jc w:val="center"/>
              <w:rPr>
                <w:noProof/>
              </w:rPr>
            </w:pPr>
            <w:r>
              <w:rPr>
                <w:noProof/>
              </w:rPr>
              <w:t>2026</w:t>
            </w:r>
          </w:p>
        </w:tc>
        <w:tc>
          <w:tcPr>
            <w:tcW w:w="2973" w:type="dxa"/>
            <w:shd w:val="clear" w:color="auto" w:fill="C6EFCE"/>
            <w:noWrap/>
          </w:tcPr>
          <w:p w14:paraId="18C03CD1" w14:textId="77777777" w:rsidR="00553430" w:rsidRDefault="00212577">
            <w:pPr>
              <w:pStyle w:val="P68B1DB1-Normal66"/>
              <w:spacing w:after="200" w:line="276" w:lineRule="auto"/>
              <w:rPr>
                <w:noProof/>
              </w:rPr>
            </w:pPr>
            <w:r>
              <w:rPr>
                <w:noProof/>
              </w:rPr>
              <w:t>Au moins 52 salles de classe pour les programmes d’enseignement secondaire général doivent être rénovées ou construites.</w:t>
            </w:r>
          </w:p>
          <w:p w14:paraId="21E9E88E" w14:textId="77777777" w:rsidR="00553430" w:rsidRDefault="00212577">
            <w:pPr>
              <w:pStyle w:val="P68B1DB1-Normal66"/>
              <w:spacing w:after="200" w:line="276" w:lineRule="auto"/>
              <w:rPr>
                <w:noProof/>
              </w:rPr>
            </w:pPr>
            <w:r>
              <w:rPr>
                <w:noProof/>
              </w:rPr>
              <w:t>La construction et la rénovation des écoles qui gèrent des programmes d’enseignement secondaire se fondent sur l’évaluation des capacit</w:t>
            </w:r>
            <w:r>
              <w:rPr>
                <w:noProof/>
              </w:rPr>
              <w:t>és existantes et des besoins en infrastructures physiques supplémentaires.</w:t>
            </w:r>
          </w:p>
        </w:tc>
      </w:tr>
      <w:tr w:rsidR="00553430" w14:paraId="31EDBCE5" w14:textId="77777777" w:rsidTr="00BD0484">
        <w:trPr>
          <w:trHeight w:val="283"/>
        </w:trPr>
        <w:tc>
          <w:tcPr>
            <w:tcW w:w="1071" w:type="dxa"/>
            <w:shd w:val="clear" w:color="auto" w:fill="C6EFCE"/>
            <w:noWrap/>
          </w:tcPr>
          <w:p w14:paraId="6FD9D1F5" w14:textId="77777777" w:rsidR="00553430" w:rsidRDefault="00212577">
            <w:pPr>
              <w:pStyle w:val="P68B1DB1-Normal66"/>
              <w:spacing w:after="200" w:line="276" w:lineRule="auto"/>
              <w:jc w:val="center"/>
              <w:rPr>
                <w:noProof/>
              </w:rPr>
            </w:pPr>
            <w:r>
              <w:rPr>
                <w:noProof/>
              </w:rPr>
              <w:t>273</w:t>
            </w:r>
          </w:p>
        </w:tc>
        <w:tc>
          <w:tcPr>
            <w:tcW w:w="937" w:type="dxa"/>
            <w:shd w:val="clear" w:color="auto" w:fill="C6EFCE"/>
            <w:noWrap/>
          </w:tcPr>
          <w:p w14:paraId="12589945" w14:textId="77777777" w:rsidR="00553430" w:rsidRDefault="00212577">
            <w:pPr>
              <w:pStyle w:val="P68B1DB1-Normal66"/>
              <w:spacing w:after="200" w:line="276" w:lineRule="auto"/>
              <w:jc w:val="center"/>
              <w:rPr>
                <w:noProof/>
              </w:rPr>
            </w:pPr>
            <w:r>
              <w:rPr>
                <w:noProof/>
              </w:rPr>
              <w:t>C3.1. R2</w:t>
            </w:r>
          </w:p>
        </w:tc>
        <w:tc>
          <w:tcPr>
            <w:tcW w:w="1031" w:type="dxa"/>
            <w:shd w:val="clear" w:color="auto" w:fill="C6EFCE"/>
            <w:noWrap/>
          </w:tcPr>
          <w:p w14:paraId="6BFCA9E1" w14:textId="77777777" w:rsidR="00553430" w:rsidRDefault="00212577">
            <w:pPr>
              <w:pStyle w:val="P68B1DB1-Normal66"/>
              <w:spacing w:after="200" w:line="276" w:lineRule="auto"/>
              <w:jc w:val="center"/>
              <w:rPr>
                <w:noProof/>
              </w:rPr>
            </w:pPr>
            <w:r>
              <w:rPr>
                <w:noProof/>
              </w:rPr>
              <w:t>M</w:t>
            </w:r>
          </w:p>
        </w:tc>
        <w:tc>
          <w:tcPr>
            <w:tcW w:w="1803" w:type="dxa"/>
            <w:shd w:val="clear" w:color="auto" w:fill="C6EFCE"/>
            <w:noWrap/>
          </w:tcPr>
          <w:p w14:paraId="570E1752" w14:textId="77777777" w:rsidR="00553430" w:rsidRDefault="00212577">
            <w:pPr>
              <w:pStyle w:val="P68B1DB1-Normal66"/>
              <w:spacing w:after="200" w:line="276" w:lineRule="auto"/>
              <w:rPr>
                <w:noProof/>
              </w:rPr>
            </w:pPr>
            <w:r>
              <w:rPr>
                <w:noProof/>
              </w:rPr>
              <w:t xml:space="preserve">Adoption de la nouvelle loi sur l'activité scientifique et l'enseignement supérieur </w:t>
            </w:r>
          </w:p>
        </w:tc>
        <w:tc>
          <w:tcPr>
            <w:tcW w:w="2364" w:type="dxa"/>
            <w:shd w:val="clear" w:color="auto" w:fill="C6EFCE"/>
            <w:noWrap/>
          </w:tcPr>
          <w:p w14:paraId="52A184EC" w14:textId="77777777" w:rsidR="00553430" w:rsidRDefault="00212577">
            <w:pPr>
              <w:pStyle w:val="P68B1DB1-Normal66"/>
              <w:spacing w:after="200" w:line="276" w:lineRule="auto"/>
              <w:rPr>
                <w:noProof/>
              </w:rPr>
            </w:pPr>
            <w:r>
              <w:rPr>
                <w:noProof/>
              </w:rPr>
              <w:t xml:space="preserve">Entrée en vigueur de la nouvelle loi sur les sciences et l'enseignement supérieur </w:t>
            </w:r>
          </w:p>
        </w:tc>
        <w:tc>
          <w:tcPr>
            <w:tcW w:w="1166" w:type="dxa"/>
            <w:shd w:val="clear" w:color="auto" w:fill="C6EFCE"/>
            <w:noWrap/>
          </w:tcPr>
          <w:p w14:paraId="19752D4D" w14:textId="77777777" w:rsidR="00553430" w:rsidRDefault="00212577">
            <w:pPr>
              <w:pStyle w:val="P68B1DB1-Normal66"/>
              <w:spacing w:after="200" w:line="276" w:lineRule="auto"/>
              <w:jc w:val="center"/>
              <w:rPr>
                <w:noProof/>
              </w:rPr>
            </w:pPr>
            <w:r>
              <w:rPr>
                <w:noProof/>
              </w:rPr>
              <w:t> </w:t>
            </w:r>
          </w:p>
        </w:tc>
        <w:tc>
          <w:tcPr>
            <w:tcW w:w="924" w:type="dxa"/>
            <w:shd w:val="clear" w:color="auto" w:fill="C6EFCE"/>
            <w:noWrap/>
          </w:tcPr>
          <w:p w14:paraId="3F57951A" w14:textId="77777777" w:rsidR="00553430" w:rsidRDefault="00212577">
            <w:pPr>
              <w:pStyle w:val="P68B1DB1-Normal66"/>
              <w:spacing w:after="200" w:line="276" w:lineRule="auto"/>
              <w:jc w:val="center"/>
              <w:rPr>
                <w:noProof/>
              </w:rPr>
            </w:pPr>
            <w:r>
              <w:rPr>
                <w:noProof/>
              </w:rPr>
              <w:t> </w:t>
            </w:r>
          </w:p>
        </w:tc>
        <w:tc>
          <w:tcPr>
            <w:tcW w:w="862" w:type="dxa"/>
            <w:shd w:val="clear" w:color="auto" w:fill="C6EFCE"/>
            <w:noWrap/>
          </w:tcPr>
          <w:p w14:paraId="1DFFCDC8" w14:textId="77777777" w:rsidR="00553430" w:rsidRDefault="00212577">
            <w:pPr>
              <w:pStyle w:val="P68B1DB1-Normal66"/>
              <w:spacing w:after="200" w:line="276" w:lineRule="auto"/>
              <w:jc w:val="center"/>
              <w:rPr>
                <w:noProof/>
              </w:rPr>
            </w:pPr>
            <w:r>
              <w:rPr>
                <w:noProof/>
              </w:rPr>
              <w:t> </w:t>
            </w:r>
          </w:p>
        </w:tc>
        <w:tc>
          <w:tcPr>
            <w:tcW w:w="1041" w:type="dxa"/>
            <w:shd w:val="clear" w:color="auto" w:fill="C6EFCE"/>
            <w:noWrap/>
          </w:tcPr>
          <w:p w14:paraId="79862222" w14:textId="77777777" w:rsidR="00553430" w:rsidRDefault="00212577">
            <w:pPr>
              <w:pStyle w:val="P68B1DB1-Normal66"/>
              <w:spacing w:after="200" w:line="276" w:lineRule="auto"/>
              <w:jc w:val="center"/>
              <w:rPr>
                <w:noProof/>
              </w:rPr>
            </w:pPr>
            <w:r>
              <w:rPr>
                <w:noProof/>
              </w:rPr>
              <w:t>T3</w:t>
            </w:r>
          </w:p>
        </w:tc>
        <w:tc>
          <w:tcPr>
            <w:tcW w:w="853" w:type="dxa"/>
            <w:shd w:val="clear" w:color="auto" w:fill="C6EFCE"/>
            <w:noWrap/>
          </w:tcPr>
          <w:p w14:paraId="29D86033" w14:textId="77777777" w:rsidR="00553430" w:rsidRDefault="00212577">
            <w:pPr>
              <w:pStyle w:val="P68B1DB1-Normal66"/>
              <w:spacing w:after="200" w:line="276" w:lineRule="auto"/>
              <w:jc w:val="center"/>
              <w:rPr>
                <w:noProof/>
              </w:rPr>
            </w:pPr>
            <w:r>
              <w:rPr>
                <w:noProof/>
              </w:rPr>
              <w:t>2022</w:t>
            </w:r>
          </w:p>
        </w:tc>
        <w:tc>
          <w:tcPr>
            <w:tcW w:w="2973" w:type="dxa"/>
            <w:shd w:val="clear" w:color="auto" w:fill="C6EFCE"/>
            <w:noWrap/>
          </w:tcPr>
          <w:p w14:paraId="6CEF4317" w14:textId="77777777" w:rsidR="00553430" w:rsidRDefault="00212577">
            <w:pPr>
              <w:pStyle w:val="P68B1DB1-Normal66"/>
              <w:spacing w:after="0" w:line="276" w:lineRule="auto"/>
              <w:rPr>
                <w:noProof/>
              </w:rPr>
            </w:pPr>
            <w:r>
              <w:rPr>
                <w:noProof/>
              </w:rPr>
              <w:t xml:space="preserve">Le nouveau cadre permettra une réforme organisationnelle des universités publiques et des instituts scientifiques et introduira un modèle de financement fondé </w:t>
            </w:r>
            <w:r>
              <w:rPr>
                <w:noProof/>
              </w:rPr>
              <w:t>sur les performances.</w:t>
            </w:r>
          </w:p>
        </w:tc>
      </w:tr>
      <w:tr w:rsidR="00553430" w14:paraId="0E7994BD" w14:textId="77777777" w:rsidTr="00BD0484">
        <w:trPr>
          <w:trHeight w:val="283"/>
        </w:trPr>
        <w:tc>
          <w:tcPr>
            <w:tcW w:w="1071" w:type="dxa"/>
            <w:shd w:val="clear" w:color="auto" w:fill="C6EFCE"/>
            <w:noWrap/>
          </w:tcPr>
          <w:p w14:paraId="08747AA1" w14:textId="77777777" w:rsidR="00553430" w:rsidRDefault="00212577">
            <w:pPr>
              <w:pStyle w:val="P68B1DB1-Normal66"/>
              <w:spacing w:after="200" w:line="276" w:lineRule="auto"/>
              <w:jc w:val="center"/>
              <w:rPr>
                <w:noProof/>
              </w:rPr>
            </w:pPr>
            <w:r>
              <w:rPr>
                <w:noProof/>
              </w:rPr>
              <w:t>274</w:t>
            </w:r>
          </w:p>
        </w:tc>
        <w:tc>
          <w:tcPr>
            <w:tcW w:w="937" w:type="dxa"/>
            <w:shd w:val="clear" w:color="auto" w:fill="C6EFCE"/>
            <w:noWrap/>
          </w:tcPr>
          <w:p w14:paraId="7791395E" w14:textId="77777777" w:rsidR="00553430" w:rsidRDefault="00212577">
            <w:pPr>
              <w:pStyle w:val="P68B1DB1-Normal66"/>
              <w:spacing w:after="200" w:line="276" w:lineRule="auto"/>
              <w:jc w:val="center"/>
              <w:rPr>
                <w:noProof/>
              </w:rPr>
            </w:pPr>
            <w:r>
              <w:rPr>
                <w:noProof/>
              </w:rPr>
              <w:t>C3.1. R2-I1</w:t>
            </w:r>
          </w:p>
        </w:tc>
        <w:tc>
          <w:tcPr>
            <w:tcW w:w="1031" w:type="dxa"/>
            <w:shd w:val="clear" w:color="auto" w:fill="C6EFCE"/>
            <w:noWrap/>
          </w:tcPr>
          <w:p w14:paraId="1952C4E9" w14:textId="77777777" w:rsidR="00553430" w:rsidRDefault="00212577">
            <w:pPr>
              <w:pStyle w:val="P68B1DB1-Normal66"/>
              <w:spacing w:after="200" w:line="276" w:lineRule="auto"/>
              <w:jc w:val="center"/>
              <w:rPr>
                <w:noProof/>
              </w:rPr>
            </w:pPr>
            <w:r>
              <w:rPr>
                <w:noProof/>
              </w:rPr>
              <w:t>T</w:t>
            </w:r>
          </w:p>
        </w:tc>
        <w:tc>
          <w:tcPr>
            <w:tcW w:w="1803" w:type="dxa"/>
            <w:shd w:val="clear" w:color="auto" w:fill="C6EFCE"/>
            <w:noWrap/>
          </w:tcPr>
          <w:p w14:paraId="1758D891" w14:textId="77777777" w:rsidR="00553430" w:rsidRDefault="00212577">
            <w:pPr>
              <w:pStyle w:val="P68B1DB1-Normal66"/>
              <w:spacing w:after="200" w:line="276" w:lineRule="auto"/>
              <w:rPr>
                <w:noProof/>
              </w:rPr>
            </w:pPr>
            <w:r>
              <w:rPr>
                <w:noProof/>
              </w:rPr>
              <w:t xml:space="preserve">Infrastructures et équipements numériques fournis aux établissements publics d’enseignement supérieur </w:t>
            </w:r>
          </w:p>
        </w:tc>
        <w:tc>
          <w:tcPr>
            <w:tcW w:w="2364" w:type="dxa"/>
            <w:shd w:val="clear" w:color="auto" w:fill="C6EFCE"/>
            <w:noWrap/>
          </w:tcPr>
          <w:p w14:paraId="4678F5D0" w14:textId="77777777" w:rsidR="00553430" w:rsidRDefault="00553430">
            <w:pPr>
              <w:spacing w:after="200" w:line="276" w:lineRule="auto"/>
              <w:rPr>
                <w:rFonts w:ascii="Times New Roman" w:eastAsia="Calibri" w:hAnsi="Times New Roman" w:cs="Times New Roman"/>
                <w:noProof/>
                <w:sz w:val="20"/>
                <w:szCs w:val="20"/>
              </w:rPr>
            </w:pPr>
          </w:p>
        </w:tc>
        <w:tc>
          <w:tcPr>
            <w:tcW w:w="1166" w:type="dxa"/>
            <w:shd w:val="clear" w:color="auto" w:fill="C6EFCE"/>
            <w:noWrap/>
          </w:tcPr>
          <w:p w14:paraId="297AFCD0" w14:textId="77777777" w:rsidR="00553430" w:rsidRDefault="00212577">
            <w:pPr>
              <w:pStyle w:val="P68B1DB1-Normal66"/>
              <w:spacing w:after="200" w:line="276" w:lineRule="auto"/>
              <w:jc w:val="center"/>
              <w:rPr>
                <w:noProof/>
              </w:rPr>
            </w:pPr>
            <w:r>
              <w:rPr>
                <w:noProof/>
              </w:rPr>
              <w:t>% (pourcentage)</w:t>
            </w:r>
          </w:p>
        </w:tc>
        <w:tc>
          <w:tcPr>
            <w:tcW w:w="924" w:type="dxa"/>
            <w:shd w:val="clear" w:color="auto" w:fill="C6EFCE"/>
            <w:noWrap/>
          </w:tcPr>
          <w:p w14:paraId="6E417FA4" w14:textId="77777777" w:rsidR="00553430" w:rsidRDefault="00212577">
            <w:pPr>
              <w:pStyle w:val="P68B1DB1-Normal66"/>
              <w:spacing w:after="200" w:line="276" w:lineRule="auto"/>
              <w:jc w:val="center"/>
              <w:rPr>
                <w:noProof/>
              </w:rPr>
            </w:pPr>
            <w:r>
              <w:rPr>
                <w:noProof/>
              </w:rPr>
              <w:t>0</w:t>
            </w:r>
          </w:p>
        </w:tc>
        <w:tc>
          <w:tcPr>
            <w:tcW w:w="862" w:type="dxa"/>
            <w:shd w:val="clear" w:color="auto" w:fill="C6EFCE"/>
            <w:noWrap/>
          </w:tcPr>
          <w:p w14:paraId="61CAACBD" w14:textId="77777777" w:rsidR="00553430" w:rsidRDefault="00212577">
            <w:pPr>
              <w:pStyle w:val="P68B1DB1-Normal66"/>
              <w:spacing w:after="200" w:line="276" w:lineRule="auto"/>
              <w:jc w:val="center"/>
              <w:rPr>
                <w:noProof/>
              </w:rPr>
            </w:pPr>
            <w:r>
              <w:rPr>
                <w:noProof/>
              </w:rPr>
              <w:t>90</w:t>
            </w:r>
          </w:p>
        </w:tc>
        <w:tc>
          <w:tcPr>
            <w:tcW w:w="1041" w:type="dxa"/>
            <w:shd w:val="clear" w:color="auto" w:fill="C6EFCE"/>
            <w:noWrap/>
          </w:tcPr>
          <w:p w14:paraId="3751B9BC" w14:textId="77777777" w:rsidR="00553430" w:rsidRDefault="00212577">
            <w:pPr>
              <w:pStyle w:val="P68B1DB1-Normal66"/>
              <w:spacing w:after="200" w:line="276" w:lineRule="auto"/>
              <w:jc w:val="center"/>
              <w:rPr>
                <w:noProof/>
              </w:rPr>
            </w:pPr>
            <w:r>
              <w:rPr>
                <w:noProof/>
              </w:rPr>
              <w:t>T2</w:t>
            </w:r>
          </w:p>
        </w:tc>
        <w:tc>
          <w:tcPr>
            <w:tcW w:w="853" w:type="dxa"/>
            <w:shd w:val="clear" w:color="auto" w:fill="C6EFCE"/>
            <w:noWrap/>
          </w:tcPr>
          <w:p w14:paraId="554F2A6D" w14:textId="77777777" w:rsidR="00553430" w:rsidRDefault="00212577">
            <w:pPr>
              <w:pStyle w:val="P68B1DB1-Normal66"/>
              <w:spacing w:after="200" w:line="276" w:lineRule="auto"/>
              <w:jc w:val="center"/>
              <w:rPr>
                <w:noProof/>
              </w:rPr>
            </w:pPr>
            <w:r>
              <w:rPr>
                <w:noProof/>
              </w:rPr>
              <w:t>2026</w:t>
            </w:r>
          </w:p>
        </w:tc>
        <w:tc>
          <w:tcPr>
            <w:tcW w:w="2973" w:type="dxa"/>
            <w:shd w:val="clear" w:color="auto" w:fill="C6EFCE"/>
            <w:noWrap/>
          </w:tcPr>
          <w:p w14:paraId="591B7C3A" w14:textId="77777777" w:rsidR="00553430" w:rsidRDefault="00212577">
            <w:pPr>
              <w:pStyle w:val="P68B1DB1-Normal66"/>
              <w:spacing w:after="200" w:line="276" w:lineRule="auto"/>
              <w:rPr>
                <w:noProof/>
              </w:rPr>
            </w:pPr>
            <w:r>
              <w:rPr>
                <w:noProof/>
              </w:rPr>
              <w:t xml:space="preserve">Au moins 90 % des établissements publics supérieurs ont bénéficié de la mise à niveau passive de l’infrastructure numérique et de l’achat d’équipements. </w:t>
            </w:r>
            <w:r>
              <w:rPr>
                <w:noProof/>
              </w:rPr>
              <w:br/>
            </w:r>
          </w:p>
        </w:tc>
      </w:tr>
    </w:tbl>
    <w:p w14:paraId="694BDE11" w14:textId="77777777" w:rsidR="00553430" w:rsidRDefault="00553430">
      <w:pPr>
        <w:pStyle w:val="paragraph"/>
        <w:spacing w:before="0" w:beforeAutospacing="0" w:after="0" w:afterAutospacing="0"/>
        <w:ind w:left="705"/>
        <w:jc w:val="both"/>
        <w:textAlignment w:val="baseline"/>
        <w:rPr>
          <w:rFonts w:ascii="Segoe UI" w:hAnsi="Segoe UI" w:cs="Segoe UI"/>
          <w:noProof/>
          <w:sz w:val="18"/>
          <w:szCs w:val="18"/>
        </w:rPr>
        <w:sectPr w:rsidR="00553430" w:rsidSect="00FA29B2">
          <w:headerReference w:type="even" r:id="rId285"/>
          <w:headerReference w:type="default" r:id="rId286"/>
          <w:footerReference w:type="even" r:id="rId287"/>
          <w:footerReference w:type="default" r:id="rId288"/>
          <w:headerReference w:type="first" r:id="rId289"/>
          <w:footerReference w:type="first" r:id="rId290"/>
          <w:pgSz w:w="16839" w:h="11907" w:orient="landscape"/>
          <w:pgMar w:top="1134" w:right="1134" w:bottom="1134" w:left="1134" w:header="567" w:footer="567" w:gutter="0"/>
          <w:cols w:space="708"/>
          <w:docGrid w:linePitch="360"/>
        </w:sectPr>
      </w:pPr>
    </w:p>
    <w:p w14:paraId="1E930FFD" w14:textId="5D43AC33" w:rsidR="00553430" w:rsidRDefault="00212577">
      <w:pPr>
        <w:pStyle w:val="paragraph"/>
        <w:spacing w:before="0" w:beforeAutospacing="0" w:after="0" w:afterAutospacing="0"/>
        <w:ind w:left="840"/>
        <w:jc w:val="both"/>
        <w:textAlignment w:val="baseline"/>
        <w:rPr>
          <w:noProof/>
          <w:szCs w:val="24"/>
        </w:rPr>
      </w:pPr>
      <w:r>
        <w:rPr>
          <w:rStyle w:val="normaltextrun"/>
          <w:b/>
          <w:noProof/>
          <w:szCs w:val="24"/>
        </w:rPr>
        <w:t xml:space="preserve">P.3. </w:t>
      </w:r>
      <w:r>
        <w:rPr>
          <w:rStyle w:val="tabchar"/>
          <w:noProof/>
          <w:szCs w:val="24"/>
        </w:rPr>
        <w:t xml:space="preserve"> </w:t>
      </w:r>
      <w:r>
        <w:rPr>
          <w:rStyle w:val="normaltextrun"/>
          <w:b/>
          <w:noProof/>
          <w:szCs w:val="24"/>
        </w:rPr>
        <w:t xml:space="preserve">Description des réformes et des investissements pour le prêt </w:t>
      </w:r>
    </w:p>
    <w:p w14:paraId="0AD92046" w14:textId="04106F47" w:rsidR="00553430" w:rsidRDefault="00212577">
      <w:pPr>
        <w:pStyle w:val="paragraph"/>
        <w:spacing w:before="0" w:beforeAutospacing="0" w:after="0" w:afterAutospacing="0"/>
        <w:ind w:left="840"/>
        <w:jc w:val="both"/>
        <w:textAlignment w:val="baseline"/>
        <w:rPr>
          <w:rStyle w:val="eop"/>
          <w:noProof/>
          <w:szCs w:val="24"/>
        </w:rPr>
      </w:pPr>
      <w:r>
        <w:rPr>
          <w:rStyle w:val="normaltextrun"/>
          <w:noProof/>
          <w:szCs w:val="24"/>
        </w:rPr>
        <w:t xml:space="preserve"> </w:t>
      </w:r>
    </w:p>
    <w:p w14:paraId="46B7DC38" w14:textId="77777777" w:rsidR="00553430" w:rsidRDefault="00212577">
      <w:pPr>
        <w:pStyle w:val="P68B1DB1-Normal96"/>
        <w:keepNext/>
        <w:tabs>
          <w:tab w:val="num" w:pos="850"/>
        </w:tabs>
        <w:spacing w:after="200" w:line="240" w:lineRule="auto"/>
        <w:ind w:left="851"/>
        <w:jc w:val="both"/>
        <w:outlineLvl w:val="2"/>
        <w:rPr>
          <w:rFonts w:eastAsia="Calibri"/>
          <w:noProof/>
        </w:rPr>
      </w:pPr>
      <w:r>
        <w:rPr>
          <w:noProof/>
        </w:rPr>
        <w:t>Investissement C3.1 R1-I4 – Construction, modernisation, reconstruction et équipement d’écoles primaires pour l’enseignement d’une journée en alternance</w:t>
      </w:r>
    </w:p>
    <w:p w14:paraId="1688326E" w14:textId="0B4DA226" w:rsidR="00553430" w:rsidRDefault="00212577">
      <w:pPr>
        <w:pStyle w:val="P68B1DB1-Normal33"/>
        <w:spacing w:line="240" w:lineRule="auto"/>
        <w:jc w:val="both"/>
        <w:rPr>
          <w:noProof/>
        </w:rPr>
      </w:pPr>
      <w:r>
        <w:rPr>
          <w:noProof/>
        </w:rPr>
        <w:t>L'objectif de cet investissement est qu</w:t>
      </w:r>
      <w:r>
        <w:rPr>
          <w:noProof/>
        </w:rPr>
        <w:t>e tous les élèves du primaire fréquentent des écoles individuelles. Cet investissement consiste en la construction de nouvelles écoles primaires et la modernisation des écoles existantes, y compris les infrastructures sportives.</w:t>
      </w:r>
    </w:p>
    <w:p w14:paraId="02035086" w14:textId="77777777" w:rsidR="00553430" w:rsidRDefault="00553430">
      <w:pPr>
        <w:spacing w:after="200" w:line="240" w:lineRule="auto"/>
        <w:jc w:val="both"/>
        <w:rPr>
          <w:rFonts w:ascii="Calibri" w:eastAsia="Calibri" w:hAnsi="Calibri" w:cs="Arial"/>
          <w:noProof/>
        </w:rPr>
      </w:pPr>
    </w:p>
    <w:p w14:paraId="5434DEC0" w14:textId="77777777" w:rsidR="00553430" w:rsidRDefault="00553430">
      <w:pPr>
        <w:pStyle w:val="paragraph"/>
        <w:spacing w:before="0" w:beforeAutospacing="0" w:after="0" w:afterAutospacing="0"/>
        <w:ind w:left="840"/>
        <w:jc w:val="both"/>
        <w:textAlignment w:val="baseline"/>
        <w:rPr>
          <w:rFonts w:ascii="Segoe UI" w:hAnsi="Segoe UI" w:cs="Segoe UI"/>
          <w:noProof/>
          <w:sz w:val="18"/>
          <w:szCs w:val="18"/>
        </w:rPr>
      </w:pPr>
    </w:p>
    <w:p w14:paraId="0B523CD4" w14:textId="77777777" w:rsidR="00553430" w:rsidRDefault="00553430">
      <w:pPr>
        <w:pStyle w:val="paragraph"/>
        <w:spacing w:before="0" w:beforeAutospacing="0" w:after="0" w:afterAutospacing="0"/>
        <w:ind w:left="840"/>
        <w:jc w:val="both"/>
        <w:textAlignment w:val="baseline"/>
        <w:rPr>
          <w:rStyle w:val="normaltextrun"/>
          <w:b/>
          <w:bCs/>
          <w:noProof/>
        </w:rPr>
        <w:sectPr w:rsidR="00553430" w:rsidSect="00FA29B2">
          <w:headerReference w:type="even" r:id="rId291"/>
          <w:headerReference w:type="default" r:id="rId292"/>
          <w:footerReference w:type="even" r:id="rId293"/>
          <w:footerReference w:type="default" r:id="rId294"/>
          <w:headerReference w:type="first" r:id="rId295"/>
          <w:footerReference w:type="first" r:id="rId296"/>
          <w:pgSz w:w="11907" w:h="16839"/>
          <w:pgMar w:top="1134" w:right="1134" w:bottom="1134" w:left="1134" w:header="567" w:footer="567" w:gutter="0"/>
          <w:cols w:space="708"/>
          <w:docGrid w:linePitch="360"/>
        </w:sectPr>
      </w:pPr>
    </w:p>
    <w:p w14:paraId="6CF449A9" w14:textId="3CCDC23F" w:rsidR="00553430" w:rsidRDefault="00212577">
      <w:pPr>
        <w:pStyle w:val="paragraph"/>
        <w:spacing w:before="0" w:beforeAutospacing="0" w:after="0" w:afterAutospacing="0"/>
        <w:ind w:left="840"/>
        <w:jc w:val="both"/>
        <w:textAlignment w:val="baseline"/>
        <w:rPr>
          <w:rFonts w:ascii="Segoe UI" w:hAnsi="Segoe UI" w:cs="Segoe UI"/>
          <w:noProof/>
          <w:sz w:val="18"/>
          <w:szCs w:val="18"/>
          <w:u w:val="single"/>
        </w:rPr>
      </w:pPr>
      <w:r>
        <w:rPr>
          <w:rStyle w:val="normaltextrun"/>
          <w:b/>
          <w:noProof/>
          <w:u w:val="single"/>
        </w:rPr>
        <w:t xml:space="preserve">P.4. Étapes, objectifs, indicateurs et calendrier du suivi et de la mise en œuvre du prêt </w:t>
      </w:r>
    </w:p>
    <w:p w14:paraId="72BABE85" w14:textId="77777777" w:rsidR="00553430" w:rsidRDefault="00553430">
      <w:pPr>
        <w:pStyle w:val="paragraph"/>
        <w:spacing w:before="0" w:beforeAutospacing="0" w:after="0" w:afterAutospacing="0"/>
        <w:ind w:left="840"/>
        <w:jc w:val="both"/>
        <w:textAlignment w:val="baseline"/>
        <w:rPr>
          <w:rFonts w:ascii="Segoe UI" w:hAnsi="Segoe UI" w:cs="Segoe UI"/>
          <w:noProof/>
          <w:sz w:val="18"/>
          <w:szCs w:val="18"/>
        </w:rPr>
      </w:pPr>
    </w:p>
    <w:tbl>
      <w:tblPr>
        <w:tblW w:w="14743" w:type="dxa"/>
        <w:tblInd w:w="-27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51"/>
        <w:gridCol w:w="1418"/>
        <w:gridCol w:w="992"/>
        <w:gridCol w:w="1276"/>
        <w:gridCol w:w="1417"/>
        <w:gridCol w:w="851"/>
        <w:gridCol w:w="992"/>
        <w:gridCol w:w="992"/>
        <w:gridCol w:w="959"/>
        <w:gridCol w:w="840"/>
        <w:gridCol w:w="4155"/>
      </w:tblGrid>
      <w:tr w:rsidR="00553430" w14:paraId="29A549A3" w14:textId="77777777">
        <w:trPr>
          <w:trHeight w:val="930"/>
        </w:trPr>
        <w:tc>
          <w:tcPr>
            <w:tcW w:w="851" w:type="dxa"/>
            <w:vMerge w:val="restart"/>
            <w:tcBorders>
              <w:top w:val="single" w:sz="6" w:space="0" w:color="auto"/>
              <w:left w:val="single" w:sz="6" w:space="0" w:color="auto"/>
              <w:bottom w:val="single" w:sz="6" w:space="0" w:color="000000"/>
              <w:right w:val="single" w:sz="6" w:space="0" w:color="auto"/>
            </w:tcBorders>
            <w:shd w:val="clear" w:color="auto" w:fill="BDD7EE"/>
            <w:vAlign w:val="center"/>
            <w:hideMark/>
          </w:tcPr>
          <w:p w14:paraId="012BE457" w14:textId="77777777" w:rsidR="00553430" w:rsidRDefault="00212577">
            <w:pPr>
              <w:pStyle w:val="P68B1DB1-Normal76"/>
              <w:spacing w:after="0" w:line="240" w:lineRule="auto"/>
              <w:jc w:val="center"/>
              <w:textAlignment w:val="baseline"/>
              <w:rPr>
                <w:noProof/>
              </w:rPr>
            </w:pPr>
            <w:r>
              <w:rPr>
                <w:b/>
                <w:noProof/>
              </w:rPr>
              <w:t>Numéro</w:t>
            </w:r>
            <w:r>
              <w:rPr>
                <w:noProof/>
              </w:rPr>
              <w:t> </w:t>
            </w:r>
          </w:p>
        </w:tc>
        <w:tc>
          <w:tcPr>
            <w:tcW w:w="1418" w:type="dxa"/>
            <w:vMerge w:val="restart"/>
            <w:tcBorders>
              <w:top w:val="single" w:sz="6" w:space="0" w:color="auto"/>
              <w:left w:val="single" w:sz="6" w:space="0" w:color="auto"/>
              <w:bottom w:val="single" w:sz="6" w:space="0" w:color="000000"/>
              <w:right w:val="single" w:sz="6" w:space="0" w:color="auto"/>
            </w:tcBorders>
            <w:shd w:val="clear" w:color="auto" w:fill="BDD7EE"/>
            <w:vAlign w:val="center"/>
            <w:hideMark/>
          </w:tcPr>
          <w:p w14:paraId="0BE38000" w14:textId="77777777" w:rsidR="00553430" w:rsidRDefault="00212577">
            <w:pPr>
              <w:pStyle w:val="P68B1DB1-Normal76"/>
              <w:spacing w:after="0" w:line="240" w:lineRule="auto"/>
              <w:jc w:val="center"/>
              <w:textAlignment w:val="baseline"/>
              <w:rPr>
                <w:noProof/>
              </w:rPr>
            </w:pPr>
            <w:r>
              <w:rPr>
                <w:b/>
                <w:noProof/>
              </w:rPr>
              <w:t>Mesure connexe (réforme ou investissement)</w:t>
            </w:r>
            <w:r>
              <w:rPr>
                <w:noProof/>
              </w:rPr>
              <w:t> </w:t>
            </w:r>
          </w:p>
        </w:tc>
        <w:tc>
          <w:tcPr>
            <w:tcW w:w="992" w:type="dxa"/>
            <w:vMerge w:val="restart"/>
            <w:tcBorders>
              <w:top w:val="single" w:sz="6" w:space="0" w:color="auto"/>
              <w:left w:val="single" w:sz="6" w:space="0" w:color="auto"/>
              <w:bottom w:val="single" w:sz="6" w:space="0" w:color="000000"/>
              <w:right w:val="single" w:sz="6" w:space="0" w:color="auto"/>
            </w:tcBorders>
            <w:shd w:val="clear" w:color="auto" w:fill="BDD7EE"/>
            <w:vAlign w:val="center"/>
            <w:hideMark/>
          </w:tcPr>
          <w:p w14:paraId="31B241CA" w14:textId="77777777" w:rsidR="00553430" w:rsidRDefault="00212577">
            <w:pPr>
              <w:pStyle w:val="P68B1DB1-Normal76"/>
              <w:spacing w:after="0" w:line="240" w:lineRule="auto"/>
              <w:jc w:val="center"/>
              <w:textAlignment w:val="baseline"/>
              <w:rPr>
                <w:noProof/>
              </w:rPr>
            </w:pPr>
            <w:r>
              <w:rPr>
                <w:b/>
                <w:noProof/>
              </w:rPr>
              <w:t>Étape/cible</w:t>
            </w:r>
            <w:r>
              <w:rPr>
                <w:noProof/>
              </w:rPr>
              <w:t> </w:t>
            </w:r>
          </w:p>
        </w:tc>
        <w:tc>
          <w:tcPr>
            <w:tcW w:w="1276" w:type="dxa"/>
            <w:vMerge w:val="restart"/>
            <w:tcBorders>
              <w:top w:val="single" w:sz="6" w:space="0" w:color="auto"/>
              <w:left w:val="nil"/>
              <w:bottom w:val="single" w:sz="6" w:space="0" w:color="000000"/>
              <w:right w:val="single" w:sz="6" w:space="0" w:color="auto"/>
            </w:tcBorders>
            <w:shd w:val="clear" w:color="auto" w:fill="BDD7EE"/>
            <w:vAlign w:val="center"/>
            <w:hideMark/>
          </w:tcPr>
          <w:p w14:paraId="1E92B3CB" w14:textId="77777777" w:rsidR="00553430" w:rsidRDefault="00212577">
            <w:pPr>
              <w:pStyle w:val="P68B1DB1-Normal76"/>
              <w:spacing w:after="0" w:line="240" w:lineRule="auto"/>
              <w:jc w:val="center"/>
              <w:textAlignment w:val="baseline"/>
              <w:rPr>
                <w:noProof/>
              </w:rPr>
            </w:pPr>
            <w:r>
              <w:rPr>
                <w:b/>
                <w:noProof/>
              </w:rPr>
              <w:t>Nom</w:t>
            </w:r>
            <w:r>
              <w:rPr>
                <w:noProof/>
              </w:rPr>
              <w:t> </w:t>
            </w:r>
          </w:p>
        </w:tc>
        <w:tc>
          <w:tcPr>
            <w:tcW w:w="1417" w:type="dxa"/>
            <w:vMerge w:val="restart"/>
            <w:tcBorders>
              <w:top w:val="single" w:sz="6" w:space="0" w:color="auto"/>
              <w:left w:val="single" w:sz="6" w:space="0" w:color="auto"/>
              <w:bottom w:val="single" w:sz="6" w:space="0" w:color="000000"/>
              <w:right w:val="single" w:sz="6" w:space="0" w:color="auto"/>
            </w:tcBorders>
            <w:shd w:val="clear" w:color="auto" w:fill="BDD7EE"/>
            <w:vAlign w:val="center"/>
            <w:hideMark/>
          </w:tcPr>
          <w:p w14:paraId="7D0846ED" w14:textId="2671F4D2" w:rsidR="00553430" w:rsidRDefault="00212577">
            <w:pPr>
              <w:pStyle w:val="P68B1DB1-Normal76"/>
              <w:spacing w:after="0" w:line="240" w:lineRule="auto"/>
              <w:jc w:val="center"/>
              <w:textAlignment w:val="baseline"/>
              <w:rPr>
                <w:noProof/>
              </w:rPr>
            </w:pPr>
            <w:r>
              <w:rPr>
                <w:b/>
                <w:noProof/>
              </w:rPr>
              <w:t>Indicateurs qualitatifs</w:t>
            </w:r>
            <w:r>
              <w:rPr>
                <w:noProof/>
              </w:rPr>
              <w:br/>
            </w:r>
            <w:r>
              <w:rPr>
                <w:b/>
                <w:noProof/>
              </w:rPr>
              <w:t>(pour les jalons)</w:t>
            </w:r>
            <w:r>
              <w:rPr>
                <w:noProof/>
              </w:rPr>
              <w:t> </w:t>
            </w:r>
          </w:p>
        </w:tc>
        <w:tc>
          <w:tcPr>
            <w:tcW w:w="2835" w:type="dxa"/>
            <w:gridSpan w:val="3"/>
            <w:tcBorders>
              <w:top w:val="single" w:sz="6" w:space="0" w:color="auto"/>
              <w:left w:val="nil"/>
              <w:bottom w:val="single" w:sz="6" w:space="0" w:color="auto"/>
              <w:right w:val="single" w:sz="6" w:space="0" w:color="auto"/>
            </w:tcBorders>
            <w:shd w:val="clear" w:color="auto" w:fill="BDD7EE"/>
            <w:vAlign w:val="center"/>
            <w:hideMark/>
          </w:tcPr>
          <w:p w14:paraId="4195E1EE" w14:textId="67312CFB" w:rsidR="00553430" w:rsidRDefault="00212577">
            <w:pPr>
              <w:pStyle w:val="P68B1DB1-Normal76"/>
              <w:spacing w:after="0" w:line="240" w:lineRule="auto"/>
              <w:jc w:val="center"/>
              <w:textAlignment w:val="baseline"/>
              <w:rPr>
                <w:noProof/>
              </w:rPr>
            </w:pPr>
            <w:r>
              <w:rPr>
                <w:b/>
                <w:noProof/>
              </w:rPr>
              <w:t xml:space="preserve">Indicateurs </w:t>
            </w:r>
            <w:r>
              <w:rPr>
                <w:b/>
                <w:noProof/>
              </w:rPr>
              <w:t>quantitatifs</w:t>
            </w:r>
            <w:r>
              <w:rPr>
                <w:noProof/>
              </w:rPr>
              <w:br/>
            </w:r>
            <w:r>
              <w:rPr>
                <w:b/>
                <w:noProof/>
              </w:rPr>
              <w:t>(pour les objectifs)</w:t>
            </w:r>
            <w:r>
              <w:rPr>
                <w:noProof/>
              </w:rPr>
              <w:t> </w:t>
            </w:r>
          </w:p>
        </w:tc>
        <w:tc>
          <w:tcPr>
            <w:tcW w:w="1799" w:type="dxa"/>
            <w:gridSpan w:val="2"/>
            <w:tcBorders>
              <w:top w:val="single" w:sz="6" w:space="0" w:color="auto"/>
              <w:left w:val="nil"/>
              <w:bottom w:val="single" w:sz="6" w:space="0" w:color="auto"/>
              <w:right w:val="single" w:sz="6" w:space="0" w:color="auto"/>
            </w:tcBorders>
            <w:shd w:val="clear" w:color="auto" w:fill="BDD7EE"/>
            <w:vAlign w:val="center"/>
            <w:hideMark/>
          </w:tcPr>
          <w:p w14:paraId="2E093204" w14:textId="26C1BE31" w:rsidR="00553430" w:rsidRDefault="00212577">
            <w:pPr>
              <w:pStyle w:val="P68B1DB1-Normal58"/>
              <w:spacing w:after="0" w:line="240" w:lineRule="auto"/>
              <w:jc w:val="center"/>
              <w:textAlignment w:val="baseline"/>
              <w:rPr>
                <w:noProof/>
              </w:rPr>
            </w:pPr>
            <w:r>
              <w:rPr>
                <w:noProof/>
              </w:rPr>
              <w:t xml:space="preserve">Temps </w:t>
            </w:r>
          </w:p>
        </w:tc>
        <w:tc>
          <w:tcPr>
            <w:tcW w:w="4155" w:type="dxa"/>
            <w:vMerge w:val="restart"/>
            <w:tcBorders>
              <w:top w:val="single" w:sz="6" w:space="0" w:color="auto"/>
              <w:left w:val="single" w:sz="6" w:space="0" w:color="auto"/>
              <w:bottom w:val="single" w:sz="6" w:space="0" w:color="auto"/>
              <w:right w:val="single" w:sz="6" w:space="0" w:color="auto"/>
            </w:tcBorders>
            <w:shd w:val="clear" w:color="auto" w:fill="BDD7EE"/>
            <w:vAlign w:val="center"/>
            <w:hideMark/>
          </w:tcPr>
          <w:p w14:paraId="31D09307" w14:textId="77777777" w:rsidR="00553430" w:rsidRDefault="00212577">
            <w:pPr>
              <w:pStyle w:val="P68B1DB1-Normal76"/>
              <w:spacing w:after="0" w:line="240" w:lineRule="auto"/>
              <w:jc w:val="center"/>
              <w:textAlignment w:val="baseline"/>
              <w:rPr>
                <w:noProof/>
              </w:rPr>
            </w:pPr>
            <w:r>
              <w:rPr>
                <w:b/>
                <w:noProof/>
              </w:rPr>
              <w:t>Description de chaque jalon et cible</w:t>
            </w:r>
            <w:r>
              <w:rPr>
                <w:noProof/>
              </w:rPr>
              <w:t> </w:t>
            </w:r>
          </w:p>
        </w:tc>
      </w:tr>
      <w:tr w:rsidR="00553430" w14:paraId="5C1FB29E" w14:textId="77777777">
        <w:trPr>
          <w:trHeight w:val="1020"/>
        </w:trPr>
        <w:tc>
          <w:tcPr>
            <w:tcW w:w="851" w:type="dxa"/>
            <w:vMerge/>
            <w:tcBorders>
              <w:top w:val="single" w:sz="6" w:space="0" w:color="auto"/>
              <w:left w:val="single" w:sz="6" w:space="0" w:color="auto"/>
              <w:bottom w:val="single" w:sz="6" w:space="0" w:color="000000"/>
              <w:right w:val="single" w:sz="6" w:space="0" w:color="auto"/>
            </w:tcBorders>
            <w:vAlign w:val="center"/>
            <w:hideMark/>
          </w:tcPr>
          <w:p w14:paraId="4506C0BD" w14:textId="77777777" w:rsidR="00553430" w:rsidRDefault="00553430">
            <w:pPr>
              <w:spacing w:after="0" w:line="240" w:lineRule="auto"/>
              <w:rPr>
                <w:rFonts w:ascii="Times New Roman" w:eastAsia="Times New Roman" w:hAnsi="Times New Roman" w:cs="Times New Roman"/>
                <w:noProof/>
                <w:sz w:val="20"/>
                <w:szCs w:val="20"/>
              </w:rPr>
            </w:pPr>
          </w:p>
        </w:tc>
        <w:tc>
          <w:tcPr>
            <w:tcW w:w="1418" w:type="dxa"/>
            <w:vMerge/>
            <w:tcBorders>
              <w:top w:val="single" w:sz="6" w:space="0" w:color="auto"/>
              <w:left w:val="single" w:sz="6" w:space="0" w:color="auto"/>
              <w:bottom w:val="single" w:sz="6" w:space="0" w:color="000000"/>
              <w:right w:val="single" w:sz="6" w:space="0" w:color="auto"/>
            </w:tcBorders>
            <w:vAlign w:val="center"/>
            <w:hideMark/>
          </w:tcPr>
          <w:p w14:paraId="2F1CFA4A" w14:textId="77777777" w:rsidR="00553430" w:rsidRDefault="00553430">
            <w:pPr>
              <w:spacing w:after="0" w:line="240" w:lineRule="auto"/>
              <w:rPr>
                <w:rFonts w:ascii="Times New Roman" w:eastAsia="Times New Roman" w:hAnsi="Times New Roman" w:cs="Times New Roman"/>
                <w:noProof/>
                <w:sz w:val="20"/>
                <w:szCs w:val="20"/>
              </w:rPr>
            </w:pPr>
          </w:p>
        </w:tc>
        <w:tc>
          <w:tcPr>
            <w:tcW w:w="992" w:type="dxa"/>
            <w:vMerge/>
            <w:tcBorders>
              <w:top w:val="single" w:sz="6" w:space="0" w:color="auto"/>
              <w:left w:val="single" w:sz="6" w:space="0" w:color="auto"/>
              <w:bottom w:val="single" w:sz="6" w:space="0" w:color="000000"/>
              <w:right w:val="single" w:sz="6" w:space="0" w:color="auto"/>
            </w:tcBorders>
            <w:vAlign w:val="center"/>
            <w:hideMark/>
          </w:tcPr>
          <w:p w14:paraId="05BAA461" w14:textId="77777777" w:rsidR="00553430" w:rsidRDefault="00553430">
            <w:pPr>
              <w:spacing w:after="0" w:line="240" w:lineRule="auto"/>
              <w:rPr>
                <w:rFonts w:ascii="Times New Roman" w:eastAsia="Times New Roman" w:hAnsi="Times New Roman" w:cs="Times New Roman"/>
                <w:noProof/>
                <w:sz w:val="20"/>
                <w:szCs w:val="20"/>
              </w:rPr>
            </w:pPr>
          </w:p>
        </w:tc>
        <w:tc>
          <w:tcPr>
            <w:tcW w:w="1276" w:type="dxa"/>
            <w:vMerge/>
            <w:tcBorders>
              <w:top w:val="single" w:sz="6" w:space="0" w:color="auto"/>
              <w:left w:val="nil"/>
              <w:bottom w:val="single" w:sz="6" w:space="0" w:color="000000"/>
              <w:right w:val="single" w:sz="6" w:space="0" w:color="auto"/>
            </w:tcBorders>
            <w:vAlign w:val="center"/>
            <w:hideMark/>
          </w:tcPr>
          <w:p w14:paraId="6440D941" w14:textId="77777777" w:rsidR="00553430" w:rsidRDefault="00553430">
            <w:pPr>
              <w:spacing w:after="0" w:line="240" w:lineRule="auto"/>
              <w:rPr>
                <w:rFonts w:ascii="Times New Roman" w:eastAsia="Times New Roman" w:hAnsi="Times New Roman" w:cs="Times New Roman"/>
                <w:noProof/>
                <w:sz w:val="20"/>
                <w:szCs w:val="20"/>
              </w:rPr>
            </w:pPr>
          </w:p>
        </w:tc>
        <w:tc>
          <w:tcPr>
            <w:tcW w:w="1417" w:type="dxa"/>
            <w:vMerge/>
            <w:tcBorders>
              <w:top w:val="single" w:sz="6" w:space="0" w:color="auto"/>
              <w:left w:val="single" w:sz="6" w:space="0" w:color="auto"/>
              <w:bottom w:val="single" w:sz="6" w:space="0" w:color="000000"/>
              <w:right w:val="single" w:sz="6" w:space="0" w:color="auto"/>
            </w:tcBorders>
            <w:vAlign w:val="center"/>
            <w:hideMark/>
          </w:tcPr>
          <w:p w14:paraId="26DB7F69" w14:textId="77777777" w:rsidR="00553430" w:rsidRDefault="00553430">
            <w:pPr>
              <w:spacing w:after="0" w:line="240" w:lineRule="auto"/>
              <w:rPr>
                <w:rFonts w:ascii="Times New Roman" w:eastAsia="Times New Roman" w:hAnsi="Times New Roman" w:cs="Times New Roman"/>
                <w:noProof/>
                <w:sz w:val="20"/>
                <w:szCs w:val="20"/>
              </w:rPr>
            </w:pPr>
          </w:p>
        </w:tc>
        <w:tc>
          <w:tcPr>
            <w:tcW w:w="851" w:type="dxa"/>
            <w:tcBorders>
              <w:top w:val="nil"/>
              <w:left w:val="nil"/>
              <w:bottom w:val="single" w:sz="6" w:space="0" w:color="auto"/>
              <w:right w:val="single" w:sz="6" w:space="0" w:color="auto"/>
            </w:tcBorders>
            <w:shd w:val="clear" w:color="auto" w:fill="BDD7EE"/>
            <w:vAlign w:val="center"/>
            <w:hideMark/>
          </w:tcPr>
          <w:p w14:paraId="4DB3AF18" w14:textId="77777777" w:rsidR="00553430" w:rsidRDefault="00212577">
            <w:pPr>
              <w:pStyle w:val="P68B1DB1-Normal58"/>
              <w:spacing w:after="0" w:line="240" w:lineRule="auto"/>
              <w:jc w:val="center"/>
              <w:textAlignment w:val="baseline"/>
              <w:rPr>
                <w:noProof/>
              </w:rPr>
            </w:pPr>
            <w:r>
              <w:rPr>
                <w:noProof/>
              </w:rPr>
              <w:t xml:space="preserve">Unité </w:t>
            </w:r>
          </w:p>
        </w:tc>
        <w:tc>
          <w:tcPr>
            <w:tcW w:w="992" w:type="dxa"/>
            <w:tcBorders>
              <w:top w:val="nil"/>
              <w:left w:val="nil"/>
              <w:bottom w:val="single" w:sz="6" w:space="0" w:color="auto"/>
              <w:right w:val="single" w:sz="6" w:space="0" w:color="auto"/>
            </w:tcBorders>
            <w:shd w:val="clear" w:color="auto" w:fill="BDD7EE"/>
            <w:vAlign w:val="center"/>
            <w:hideMark/>
          </w:tcPr>
          <w:p w14:paraId="0150FE4B" w14:textId="25FDD01A" w:rsidR="00553430" w:rsidRDefault="00212577">
            <w:pPr>
              <w:pStyle w:val="P68B1DB1-Normal58"/>
              <w:spacing w:after="0" w:line="240" w:lineRule="auto"/>
              <w:jc w:val="center"/>
              <w:textAlignment w:val="baseline"/>
              <w:rPr>
                <w:noProof/>
              </w:rPr>
            </w:pPr>
            <w:r>
              <w:rPr>
                <w:noProof/>
              </w:rPr>
              <w:t xml:space="preserve">Données de référence </w:t>
            </w:r>
          </w:p>
        </w:tc>
        <w:tc>
          <w:tcPr>
            <w:tcW w:w="992" w:type="dxa"/>
            <w:tcBorders>
              <w:top w:val="nil"/>
              <w:left w:val="nil"/>
              <w:bottom w:val="single" w:sz="6" w:space="0" w:color="auto"/>
              <w:right w:val="single" w:sz="6" w:space="0" w:color="auto"/>
            </w:tcBorders>
            <w:shd w:val="clear" w:color="auto" w:fill="BDD7EE"/>
            <w:vAlign w:val="center"/>
            <w:hideMark/>
          </w:tcPr>
          <w:p w14:paraId="1B383D2B" w14:textId="51D886C7" w:rsidR="00553430" w:rsidRDefault="00212577">
            <w:pPr>
              <w:pStyle w:val="P68B1DB1-Normal58"/>
              <w:spacing w:after="0" w:line="240" w:lineRule="auto"/>
              <w:jc w:val="center"/>
              <w:textAlignment w:val="baseline"/>
              <w:rPr>
                <w:noProof/>
              </w:rPr>
            </w:pPr>
            <w:r>
              <w:rPr>
                <w:noProof/>
              </w:rPr>
              <w:t xml:space="preserve">Objectif </w:t>
            </w:r>
          </w:p>
        </w:tc>
        <w:tc>
          <w:tcPr>
            <w:tcW w:w="959" w:type="dxa"/>
            <w:tcBorders>
              <w:top w:val="nil"/>
              <w:left w:val="nil"/>
              <w:bottom w:val="single" w:sz="6" w:space="0" w:color="auto"/>
              <w:right w:val="single" w:sz="6" w:space="0" w:color="auto"/>
            </w:tcBorders>
            <w:shd w:val="clear" w:color="auto" w:fill="BDD7EE"/>
            <w:vAlign w:val="center"/>
            <w:hideMark/>
          </w:tcPr>
          <w:p w14:paraId="578F5DC2" w14:textId="77777777" w:rsidR="00553430" w:rsidRDefault="00212577">
            <w:pPr>
              <w:pStyle w:val="P68B1DB1-Normal58"/>
              <w:spacing w:after="0" w:line="240" w:lineRule="auto"/>
              <w:jc w:val="center"/>
              <w:textAlignment w:val="baseline"/>
              <w:rPr>
                <w:noProof/>
              </w:rPr>
            </w:pPr>
            <w:r>
              <w:rPr>
                <w:noProof/>
              </w:rPr>
              <w:t>Trimestre</w:t>
            </w:r>
          </w:p>
        </w:tc>
        <w:tc>
          <w:tcPr>
            <w:tcW w:w="840" w:type="dxa"/>
            <w:tcBorders>
              <w:top w:val="nil"/>
              <w:left w:val="nil"/>
              <w:bottom w:val="single" w:sz="6" w:space="0" w:color="auto"/>
              <w:right w:val="single" w:sz="6" w:space="0" w:color="auto"/>
            </w:tcBorders>
            <w:shd w:val="clear" w:color="auto" w:fill="BDD7EE"/>
            <w:vAlign w:val="center"/>
            <w:hideMark/>
          </w:tcPr>
          <w:p w14:paraId="320CB73A" w14:textId="77777777" w:rsidR="00553430" w:rsidRDefault="00212577">
            <w:pPr>
              <w:pStyle w:val="P68B1DB1-Normal76"/>
              <w:spacing w:after="0" w:line="240" w:lineRule="auto"/>
              <w:jc w:val="center"/>
              <w:textAlignment w:val="baseline"/>
              <w:rPr>
                <w:noProof/>
              </w:rPr>
            </w:pPr>
            <w:r>
              <w:rPr>
                <w:b/>
                <w:noProof/>
              </w:rPr>
              <w:t>Année</w:t>
            </w:r>
            <w:r>
              <w:rPr>
                <w:noProof/>
              </w:rPr>
              <w:t> </w:t>
            </w:r>
          </w:p>
        </w:tc>
        <w:tc>
          <w:tcPr>
            <w:tcW w:w="4155" w:type="dxa"/>
            <w:vMerge/>
            <w:tcBorders>
              <w:top w:val="single" w:sz="6" w:space="0" w:color="auto"/>
              <w:left w:val="single" w:sz="6" w:space="0" w:color="auto"/>
              <w:bottom w:val="single" w:sz="6" w:space="0" w:color="auto"/>
              <w:right w:val="single" w:sz="6" w:space="0" w:color="auto"/>
            </w:tcBorders>
            <w:vAlign w:val="center"/>
            <w:hideMark/>
          </w:tcPr>
          <w:p w14:paraId="2CDE02D7" w14:textId="77777777" w:rsidR="00553430" w:rsidRDefault="00553430">
            <w:pPr>
              <w:spacing w:after="0" w:line="240" w:lineRule="auto"/>
              <w:rPr>
                <w:rFonts w:ascii="Times New Roman" w:eastAsia="Times New Roman" w:hAnsi="Times New Roman" w:cs="Times New Roman"/>
                <w:noProof/>
                <w:sz w:val="20"/>
                <w:szCs w:val="20"/>
              </w:rPr>
            </w:pPr>
          </w:p>
        </w:tc>
      </w:tr>
      <w:tr w:rsidR="00553430" w14:paraId="5574EF4D" w14:textId="77777777">
        <w:trPr>
          <w:trHeight w:val="300"/>
        </w:trPr>
        <w:tc>
          <w:tcPr>
            <w:tcW w:w="851" w:type="dxa"/>
            <w:tcBorders>
              <w:top w:val="nil"/>
              <w:left w:val="single" w:sz="6" w:space="0" w:color="auto"/>
              <w:bottom w:val="single" w:sz="6" w:space="0" w:color="auto"/>
              <w:right w:val="single" w:sz="6" w:space="0" w:color="auto"/>
            </w:tcBorders>
            <w:shd w:val="clear" w:color="auto" w:fill="C6EFCE"/>
            <w:hideMark/>
          </w:tcPr>
          <w:p w14:paraId="4714404C" w14:textId="77777777" w:rsidR="00553430" w:rsidRDefault="00212577">
            <w:pPr>
              <w:pStyle w:val="P68B1DB1-Normal66"/>
              <w:spacing w:after="0" w:line="240" w:lineRule="auto"/>
              <w:jc w:val="center"/>
              <w:textAlignment w:val="baseline"/>
              <w:rPr>
                <w:rFonts w:eastAsia="Times New Roman"/>
                <w:noProof/>
              </w:rPr>
            </w:pPr>
            <w:r>
              <w:rPr>
                <w:noProof/>
              </w:rPr>
              <w:t>397</w:t>
            </w:r>
          </w:p>
        </w:tc>
        <w:tc>
          <w:tcPr>
            <w:tcW w:w="1418" w:type="dxa"/>
            <w:tcBorders>
              <w:top w:val="nil"/>
              <w:left w:val="nil"/>
              <w:bottom w:val="single" w:sz="6" w:space="0" w:color="auto"/>
              <w:right w:val="single" w:sz="6" w:space="0" w:color="auto"/>
            </w:tcBorders>
            <w:shd w:val="clear" w:color="auto" w:fill="C6EFCE"/>
            <w:hideMark/>
          </w:tcPr>
          <w:p w14:paraId="6EF388D6" w14:textId="77777777" w:rsidR="00553430" w:rsidRDefault="00212577">
            <w:pPr>
              <w:pStyle w:val="P68B1DB1-Normal66"/>
              <w:spacing w:after="0" w:line="240" w:lineRule="auto"/>
              <w:jc w:val="center"/>
              <w:textAlignment w:val="baseline"/>
              <w:rPr>
                <w:rFonts w:eastAsia="Times New Roman"/>
                <w:noProof/>
              </w:rPr>
            </w:pPr>
            <w:r>
              <w:rPr>
                <w:noProof/>
              </w:rPr>
              <w:t>C3.1. R1-I4</w:t>
            </w:r>
          </w:p>
        </w:tc>
        <w:tc>
          <w:tcPr>
            <w:tcW w:w="992" w:type="dxa"/>
            <w:tcBorders>
              <w:top w:val="nil"/>
              <w:left w:val="nil"/>
              <w:bottom w:val="single" w:sz="6" w:space="0" w:color="auto"/>
              <w:right w:val="single" w:sz="6" w:space="0" w:color="auto"/>
            </w:tcBorders>
            <w:shd w:val="clear" w:color="auto" w:fill="C6EFCE"/>
            <w:hideMark/>
          </w:tcPr>
          <w:p w14:paraId="0FD562CC" w14:textId="77777777" w:rsidR="00553430" w:rsidRDefault="00212577">
            <w:pPr>
              <w:pStyle w:val="P68B1DB1-Normal66"/>
              <w:spacing w:after="0" w:line="240" w:lineRule="auto"/>
              <w:jc w:val="center"/>
              <w:textAlignment w:val="baseline"/>
              <w:rPr>
                <w:rFonts w:eastAsia="Times New Roman"/>
                <w:noProof/>
              </w:rPr>
            </w:pPr>
            <w:r>
              <w:rPr>
                <w:noProof/>
              </w:rPr>
              <w:t>T</w:t>
            </w:r>
          </w:p>
        </w:tc>
        <w:tc>
          <w:tcPr>
            <w:tcW w:w="1276" w:type="dxa"/>
            <w:tcBorders>
              <w:top w:val="nil"/>
              <w:left w:val="nil"/>
              <w:bottom w:val="single" w:sz="6" w:space="0" w:color="auto"/>
              <w:right w:val="single" w:sz="6" w:space="0" w:color="auto"/>
            </w:tcBorders>
            <w:shd w:val="clear" w:color="auto" w:fill="C6EFCE"/>
            <w:hideMark/>
          </w:tcPr>
          <w:p w14:paraId="083BD2B4" w14:textId="77777777" w:rsidR="00553430" w:rsidRDefault="00212577">
            <w:pPr>
              <w:pStyle w:val="P68B1DB1-Normal66"/>
              <w:spacing w:after="0" w:line="240" w:lineRule="auto"/>
              <w:textAlignment w:val="baseline"/>
              <w:rPr>
                <w:rFonts w:eastAsia="Times New Roman"/>
                <w:noProof/>
              </w:rPr>
            </w:pPr>
            <w:r>
              <w:rPr>
                <w:noProof/>
              </w:rPr>
              <w:t xml:space="preserve">Nombre de salles de classe d ' écoles primaires construites ou reconstruites </w:t>
            </w:r>
          </w:p>
        </w:tc>
        <w:tc>
          <w:tcPr>
            <w:tcW w:w="1417" w:type="dxa"/>
            <w:tcBorders>
              <w:top w:val="nil"/>
              <w:left w:val="nil"/>
              <w:bottom w:val="single" w:sz="6" w:space="0" w:color="auto"/>
              <w:right w:val="single" w:sz="6" w:space="0" w:color="auto"/>
            </w:tcBorders>
            <w:shd w:val="clear" w:color="auto" w:fill="C6EFCE"/>
            <w:hideMark/>
          </w:tcPr>
          <w:p w14:paraId="7A0EE568" w14:textId="77777777" w:rsidR="00553430" w:rsidRDefault="00553430">
            <w:pPr>
              <w:spacing w:after="0" w:line="240" w:lineRule="auto"/>
              <w:textAlignment w:val="baseline"/>
              <w:rPr>
                <w:rFonts w:ascii="Times New Roman" w:eastAsia="Times New Roman" w:hAnsi="Times New Roman" w:cs="Times New Roman"/>
                <w:noProof/>
                <w:sz w:val="20"/>
                <w:szCs w:val="20"/>
              </w:rPr>
            </w:pPr>
          </w:p>
        </w:tc>
        <w:tc>
          <w:tcPr>
            <w:tcW w:w="851" w:type="dxa"/>
            <w:tcBorders>
              <w:top w:val="nil"/>
              <w:left w:val="nil"/>
              <w:bottom w:val="single" w:sz="6" w:space="0" w:color="auto"/>
              <w:right w:val="single" w:sz="6" w:space="0" w:color="auto"/>
            </w:tcBorders>
            <w:shd w:val="clear" w:color="auto" w:fill="C6EFCE"/>
            <w:hideMark/>
          </w:tcPr>
          <w:p w14:paraId="2883B274" w14:textId="77777777" w:rsidR="00553430" w:rsidRDefault="00212577">
            <w:pPr>
              <w:pStyle w:val="P68B1DB1-Normal66"/>
              <w:spacing w:after="0" w:line="240" w:lineRule="auto"/>
              <w:jc w:val="center"/>
              <w:textAlignment w:val="baseline"/>
              <w:rPr>
                <w:rFonts w:eastAsia="Times New Roman"/>
                <w:noProof/>
              </w:rPr>
            </w:pPr>
            <w:r>
              <w:rPr>
                <w:noProof/>
              </w:rPr>
              <w:t xml:space="preserve">Numéro </w:t>
            </w:r>
          </w:p>
        </w:tc>
        <w:tc>
          <w:tcPr>
            <w:tcW w:w="992" w:type="dxa"/>
            <w:tcBorders>
              <w:top w:val="nil"/>
              <w:left w:val="nil"/>
              <w:bottom w:val="single" w:sz="6" w:space="0" w:color="auto"/>
              <w:right w:val="single" w:sz="6" w:space="0" w:color="auto"/>
            </w:tcBorders>
            <w:shd w:val="clear" w:color="auto" w:fill="C6EFCE"/>
            <w:hideMark/>
          </w:tcPr>
          <w:p w14:paraId="5F61E6BA" w14:textId="77777777" w:rsidR="00553430" w:rsidRDefault="00212577">
            <w:pPr>
              <w:pStyle w:val="P68B1DB1-Normal66"/>
              <w:spacing w:after="0" w:line="240" w:lineRule="auto"/>
              <w:jc w:val="center"/>
              <w:textAlignment w:val="baseline"/>
              <w:rPr>
                <w:rFonts w:eastAsia="Times New Roman"/>
                <w:noProof/>
              </w:rPr>
            </w:pPr>
            <w:r>
              <w:rPr>
                <w:noProof/>
              </w:rPr>
              <w:t>286</w:t>
            </w:r>
          </w:p>
        </w:tc>
        <w:tc>
          <w:tcPr>
            <w:tcW w:w="992" w:type="dxa"/>
            <w:tcBorders>
              <w:top w:val="nil"/>
              <w:left w:val="nil"/>
              <w:bottom w:val="single" w:sz="6" w:space="0" w:color="auto"/>
              <w:right w:val="single" w:sz="6" w:space="0" w:color="auto"/>
            </w:tcBorders>
            <w:shd w:val="clear" w:color="auto" w:fill="C6EFCE"/>
            <w:hideMark/>
          </w:tcPr>
          <w:p w14:paraId="49DD5E90" w14:textId="77777777" w:rsidR="00553430" w:rsidRDefault="00212577">
            <w:pPr>
              <w:pStyle w:val="P68B1DB1-Normal66"/>
              <w:spacing w:after="0" w:line="240" w:lineRule="auto"/>
              <w:jc w:val="center"/>
              <w:textAlignment w:val="baseline"/>
              <w:rPr>
                <w:rFonts w:eastAsia="Times New Roman"/>
                <w:noProof/>
              </w:rPr>
            </w:pPr>
            <w:r>
              <w:rPr>
                <w:noProof/>
              </w:rPr>
              <w:t>1318</w:t>
            </w:r>
          </w:p>
        </w:tc>
        <w:tc>
          <w:tcPr>
            <w:tcW w:w="959" w:type="dxa"/>
            <w:tcBorders>
              <w:top w:val="nil"/>
              <w:left w:val="nil"/>
              <w:bottom w:val="single" w:sz="6" w:space="0" w:color="auto"/>
              <w:right w:val="single" w:sz="6" w:space="0" w:color="auto"/>
            </w:tcBorders>
            <w:shd w:val="clear" w:color="auto" w:fill="C6EFCE"/>
            <w:hideMark/>
          </w:tcPr>
          <w:p w14:paraId="4C8190DB" w14:textId="77777777" w:rsidR="00553430" w:rsidRDefault="00212577">
            <w:pPr>
              <w:pStyle w:val="P68B1DB1-Normal66"/>
              <w:spacing w:after="0" w:line="240" w:lineRule="auto"/>
              <w:jc w:val="center"/>
              <w:textAlignment w:val="baseline"/>
              <w:rPr>
                <w:rFonts w:eastAsia="Times New Roman"/>
                <w:noProof/>
              </w:rPr>
            </w:pPr>
            <w:r>
              <w:rPr>
                <w:noProof/>
              </w:rPr>
              <w:t>T2</w:t>
            </w:r>
          </w:p>
        </w:tc>
        <w:tc>
          <w:tcPr>
            <w:tcW w:w="840" w:type="dxa"/>
            <w:tcBorders>
              <w:top w:val="nil"/>
              <w:left w:val="nil"/>
              <w:bottom w:val="single" w:sz="6" w:space="0" w:color="auto"/>
              <w:right w:val="single" w:sz="6" w:space="0" w:color="auto"/>
            </w:tcBorders>
            <w:shd w:val="clear" w:color="auto" w:fill="C6EFCE"/>
            <w:hideMark/>
          </w:tcPr>
          <w:p w14:paraId="219EF388" w14:textId="77777777" w:rsidR="00553430" w:rsidRDefault="00212577">
            <w:pPr>
              <w:pStyle w:val="P68B1DB1-Normal66"/>
              <w:spacing w:after="0" w:line="240" w:lineRule="auto"/>
              <w:jc w:val="center"/>
              <w:textAlignment w:val="baseline"/>
              <w:rPr>
                <w:rFonts w:eastAsia="Times New Roman"/>
                <w:noProof/>
              </w:rPr>
            </w:pPr>
            <w:r>
              <w:rPr>
                <w:noProof/>
              </w:rPr>
              <w:t>2026</w:t>
            </w:r>
          </w:p>
        </w:tc>
        <w:tc>
          <w:tcPr>
            <w:tcW w:w="4155" w:type="dxa"/>
            <w:tcBorders>
              <w:top w:val="nil"/>
              <w:left w:val="nil"/>
              <w:bottom w:val="single" w:sz="6" w:space="0" w:color="auto"/>
              <w:right w:val="single" w:sz="6" w:space="0" w:color="auto"/>
            </w:tcBorders>
            <w:shd w:val="clear" w:color="auto" w:fill="C6EFCE"/>
            <w:hideMark/>
          </w:tcPr>
          <w:p w14:paraId="69F1774E" w14:textId="3E262B40" w:rsidR="00553430" w:rsidRDefault="00212577">
            <w:pPr>
              <w:pStyle w:val="P68B1DB1-Normal66"/>
              <w:spacing w:after="0" w:line="240" w:lineRule="auto"/>
              <w:textAlignment w:val="baseline"/>
              <w:rPr>
                <w:noProof/>
              </w:rPr>
            </w:pPr>
            <w:r>
              <w:rPr>
                <w:noProof/>
              </w:rPr>
              <w:t xml:space="preserve">Au moins 1032 salles de classe supplémentaires dans les écoles primaires doivent être construites ou rénovées pour créer </w:t>
            </w:r>
            <w:r>
              <w:rPr>
                <w:noProof/>
              </w:rPr>
              <w:t>des capacités supplémentaires, comme approuvé par le ministère de la Science, de l'Éducation et du Consentement des jeunes qui détermine les capacités nécessaires. Au moins 197 nouvelles salles de sport seront construites.</w:t>
            </w:r>
          </w:p>
          <w:p w14:paraId="6F7ACF70" w14:textId="77777777" w:rsidR="00553430" w:rsidRDefault="00212577">
            <w:pPr>
              <w:spacing w:after="0" w:line="240" w:lineRule="auto"/>
              <w:textAlignment w:val="baseline"/>
              <w:rPr>
                <w:rFonts w:ascii="Times New Roman" w:eastAsia="Times New Roman" w:hAnsi="Times New Roman" w:cs="Times New Roman"/>
                <w:noProof/>
                <w:sz w:val="20"/>
                <w:szCs w:val="20"/>
              </w:rPr>
            </w:pPr>
            <w:r>
              <w:rPr>
                <w:rFonts w:ascii="Times New Roman" w:eastAsia="Calibri" w:hAnsi="Times New Roman" w:cs="Times New Roman"/>
                <w:noProof/>
                <w:sz w:val="20"/>
                <w:szCs w:val="20"/>
              </w:rPr>
              <w:t xml:space="preserve">La construction et la rénovation </w:t>
            </w:r>
            <w:r>
              <w:rPr>
                <w:rFonts w:ascii="Times New Roman" w:eastAsia="Calibri" w:hAnsi="Times New Roman" w:cs="Times New Roman"/>
                <w:noProof/>
                <w:sz w:val="20"/>
                <w:szCs w:val="20"/>
              </w:rPr>
              <w:t>des écoles primaires sont fondées sur l’évaluation des besoins d’investissement dans les infrastructures,</w:t>
            </w:r>
            <w:r>
              <w:rPr>
                <w:rFonts w:ascii="Times New Roman" w:hAnsi="Times New Roman" w:cs="Times New Roman"/>
                <w:noProof/>
                <w14:ligatures w14:val="none"/>
              </w:rPr>
              <w:t xml:space="preserve"> </w:t>
            </w:r>
            <w:r>
              <w:rPr>
                <w:rFonts w:ascii="Times New Roman" w:eastAsia="Calibri" w:hAnsi="Times New Roman" w:cs="Times New Roman"/>
                <w:noProof/>
                <w:sz w:val="20"/>
                <w:szCs w:val="20"/>
              </w:rPr>
              <w:t>en tenant compte des capacités de l’école et de l’évolution démographique.</w:t>
            </w:r>
          </w:p>
        </w:tc>
      </w:tr>
    </w:tbl>
    <w:p w14:paraId="020D414E" w14:textId="77777777" w:rsidR="00553430" w:rsidRDefault="00553430">
      <w:pPr>
        <w:rPr>
          <w:noProof/>
        </w:rPr>
      </w:pPr>
    </w:p>
    <w:p w14:paraId="518F0921" w14:textId="77777777" w:rsidR="00553430" w:rsidRDefault="00553430">
      <w:pPr>
        <w:rPr>
          <w:noProof/>
        </w:rPr>
      </w:pPr>
    </w:p>
    <w:p w14:paraId="775E0EE1" w14:textId="77777777" w:rsidR="00553430" w:rsidRDefault="00553430">
      <w:pPr>
        <w:rPr>
          <w:noProof/>
        </w:rPr>
        <w:sectPr w:rsidR="00553430" w:rsidSect="00FA29B2">
          <w:headerReference w:type="even" r:id="rId297"/>
          <w:headerReference w:type="default" r:id="rId298"/>
          <w:footerReference w:type="even" r:id="rId299"/>
          <w:footerReference w:type="default" r:id="rId300"/>
          <w:headerReference w:type="first" r:id="rId301"/>
          <w:footerReference w:type="first" r:id="rId302"/>
          <w:pgSz w:w="16839" w:h="11907" w:orient="landscape"/>
          <w:pgMar w:top="1134" w:right="1134" w:bottom="1134" w:left="1134" w:header="567" w:footer="567" w:gutter="0"/>
          <w:cols w:space="708"/>
          <w:docGrid w:linePitch="360"/>
        </w:sectPr>
      </w:pPr>
    </w:p>
    <w:p w14:paraId="6E6DC10D" w14:textId="77777777" w:rsidR="00553430" w:rsidRDefault="00212577">
      <w:pPr>
        <w:pStyle w:val="P68B1DB1-Normal32"/>
        <w:keepNext/>
        <w:tabs>
          <w:tab w:val="left" w:pos="850"/>
        </w:tabs>
        <w:spacing w:before="360" w:line="240" w:lineRule="auto"/>
        <w:jc w:val="both"/>
        <w:outlineLvl w:val="0"/>
        <w:rPr>
          <w:noProof/>
        </w:rPr>
      </w:pPr>
      <w:r>
        <w:rPr>
          <w:noProof/>
        </w:rPr>
        <w:t xml:space="preserve">Q. </w:t>
      </w:r>
      <w:r>
        <w:rPr>
          <w:noProof/>
        </w:rPr>
        <w:t>ÉLÉMENT 3.2: AMÉLIORER LA CAPACITÉ DE RECHERCHE ET D'INNOVATION</w:t>
      </w:r>
    </w:p>
    <w:p w14:paraId="0393FE8C" w14:textId="77777777" w:rsidR="00553430" w:rsidRDefault="00212577">
      <w:pPr>
        <w:pStyle w:val="P68B1DB1-Normal83"/>
        <w:tabs>
          <w:tab w:val="left" w:pos="426"/>
        </w:tabs>
        <w:spacing w:line="240" w:lineRule="auto"/>
        <w:jc w:val="both"/>
        <w:rPr>
          <w:noProof/>
        </w:rPr>
      </w:pPr>
      <w:r>
        <w:rPr>
          <w:noProof/>
        </w:rPr>
        <w:t>Le paysage public croate de la recherche et de l’innovation est très fragmenté. L'insuffisance des investissements dans la recherche, le développement et l'innovation, en particulier dans le s</w:t>
      </w:r>
      <w:r>
        <w:rPr>
          <w:noProof/>
        </w:rPr>
        <w:t>ecteur des entreprises, conjuguée à l'insuffisance du financement et du modèle organisationnel des universités et des instituts scientifiques, entrave le plein potentiel du secteur croate de la recherche. En conséquence, la productivité scientifique, l'eff</w:t>
      </w:r>
      <w:r>
        <w:rPr>
          <w:noProof/>
        </w:rPr>
        <w:t>icacité et le transfert de connaissances restent limités. Les conditions préalables au développement des ressources humaines dans les domaines des sciences, de l’ingénierie technologique et des mathématiques (STIM) et des technologies de l’information et d</w:t>
      </w:r>
      <w:r>
        <w:rPr>
          <w:noProof/>
        </w:rPr>
        <w:t>e la communication (TIC), qui permettraient d’accroître la préparation de la société à la transition numérique, sont sous-développées. La fragmentation et l'inefficacité des politiques de recherche, de développement et d'innovation et l'absence de résultat</w:t>
      </w:r>
      <w:r>
        <w:rPr>
          <w:noProof/>
        </w:rPr>
        <w:t>s des investissements dans la recherche, le développement et l'innovation sont quelques-unes des principales causes de l'entrave à la croissance de la productivité et de la compétitivité.</w:t>
      </w:r>
    </w:p>
    <w:p w14:paraId="5F98E6D9" w14:textId="77777777" w:rsidR="00553430" w:rsidRDefault="00212577">
      <w:pPr>
        <w:pStyle w:val="P68B1DB1-Normal83"/>
        <w:tabs>
          <w:tab w:val="left" w:pos="426"/>
        </w:tabs>
        <w:spacing w:line="240" w:lineRule="auto"/>
        <w:jc w:val="both"/>
        <w:rPr>
          <w:noProof/>
        </w:rPr>
      </w:pPr>
      <w:r>
        <w:rPr>
          <w:noProof/>
        </w:rPr>
        <w:t>Ce volet vise à relever ces défis en poursuivant les objectifs suiva</w:t>
      </w:r>
      <w:r>
        <w:rPr>
          <w:noProof/>
        </w:rPr>
        <w:t xml:space="preserve">nts: </w:t>
      </w:r>
    </w:p>
    <w:p w14:paraId="07DCF032" w14:textId="77777777" w:rsidR="00553430" w:rsidRDefault="00212577">
      <w:pPr>
        <w:pStyle w:val="P68B1DB1-Normal83"/>
        <w:numPr>
          <w:ilvl w:val="0"/>
          <w:numId w:val="68"/>
        </w:numPr>
        <w:tabs>
          <w:tab w:val="left" w:pos="426"/>
        </w:tabs>
        <w:spacing w:after="200" w:line="276" w:lineRule="auto"/>
        <w:ind w:left="720"/>
        <w:jc w:val="both"/>
        <w:rPr>
          <w:noProof/>
        </w:rPr>
      </w:pPr>
      <w:r>
        <w:rPr>
          <w:noProof/>
        </w:rPr>
        <w:t>Améliorer le système de financement institutionnel des universités et des instituts scientifiques afin de stimuler la productivité scientifique, l'efficacité et le transfert de connaissances grâce à des investissements directs et à un financement acc</w:t>
      </w:r>
      <w:r>
        <w:rPr>
          <w:noProof/>
        </w:rPr>
        <w:t>ru de la recherche scientifique.</w:t>
      </w:r>
    </w:p>
    <w:p w14:paraId="41F76E14" w14:textId="77777777" w:rsidR="00553430" w:rsidRDefault="00212577">
      <w:pPr>
        <w:pStyle w:val="P68B1DB1-Normal83"/>
        <w:numPr>
          <w:ilvl w:val="0"/>
          <w:numId w:val="68"/>
        </w:numPr>
        <w:tabs>
          <w:tab w:val="left" w:pos="426"/>
        </w:tabs>
        <w:spacing w:after="200" w:line="276" w:lineRule="auto"/>
        <w:ind w:left="720"/>
        <w:jc w:val="both"/>
        <w:rPr>
          <w:noProof/>
        </w:rPr>
      </w:pPr>
      <w:r>
        <w:rPr>
          <w:noProof/>
        </w:rPr>
        <w:t>Investissement accru dans les infrastructures de recherche et les capacités organisationnelles des universités et des instituts scientifiques, ce qui permettra d'améliorer la qualité de la recherche scientifique et d'amélio</w:t>
      </w:r>
      <w:r>
        <w:rPr>
          <w:noProof/>
        </w:rPr>
        <w:t>rer l'attractivité des carrières dans la recherche en Croatie.</w:t>
      </w:r>
    </w:p>
    <w:p w14:paraId="4C46CCC8" w14:textId="77777777" w:rsidR="00553430" w:rsidRDefault="00212577">
      <w:pPr>
        <w:pStyle w:val="P68B1DB1-Normal83"/>
        <w:numPr>
          <w:ilvl w:val="0"/>
          <w:numId w:val="68"/>
        </w:numPr>
        <w:tabs>
          <w:tab w:val="left" w:pos="426"/>
        </w:tabs>
        <w:spacing w:after="200" w:line="276" w:lineRule="auto"/>
        <w:ind w:left="720"/>
        <w:jc w:val="both"/>
        <w:rPr>
          <w:noProof/>
        </w:rPr>
      </w:pPr>
      <w:r>
        <w:rPr>
          <w:noProof/>
        </w:rPr>
        <w:t xml:space="preserve">Introduire un nouveau cadre propice à l'avancement et au développement de carrière des chercheurs, en fonction des spécificités des domaines scientifiques, en attirant et en retenant de jeunes </w:t>
      </w:r>
      <w:r>
        <w:rPr>
          <w:noProof/>
        </w:rPr>
        <w:t>scientifiques croates et des scientifiques étrangers de haute qualité.</w:t>
      </w:r>
    </w:p>
    <w:p w14:paraId="532AF47D" w14:textId="77777777" w:rsidR="00553430" w:rsidRDefault="00212577">
      <w:pPr>
        <w:pStyle w:val="P68B1DB1-Normal83"/>
        <w:numPr>
          <w:ilvl w:val="0"/>
          <w:numId w:val="68"/>
        </w:numPr>
        <w:tabs>
          <w:tab w:val="left" w:pos="426"/>
        </w:tabs>
        <w:spacing w:after="200" w:line="276" w:lineRule="auto"/>
        <w:ind w:left="720"/>
        <w:jc w:val="both"/>
        <w:rPr>
          <w:noProof/>
        </w:rPr>
      </w:pPr>
      <w:r>
        <w:rPr>
          <w:noProof/>
        </w:rPr>
        <w:t>Mettre en place un cadre institutionnel et de programmation plus efficace pour les programmes de financement de la recherche et du développement.</w:t>
      </w:r>
    </w:p>
    <w:p w14:paraId="31F24577" w14:textId="77777777" w:rsidR="00553430" w:rsidRDefault="00212577">
      <w:pPr>
        <w:pStyle w:val="P68B1DB1-Normal83"/>
        <w:tabs>
          <w:tab w:val="left" w:pos="426"/>
        </w:tabs>
        <w:spacing w:line="240" w:lineRule="auto"/>
        <w:jc w:val="both"/>
        <w:rPr>
          <w:noProof/>
        </w:rPr>
      </w:pPr>
      <w:r>
        <w:rPr>
          <w:noProof/>
        </w:rPr>
        <w:t>Le volet soutient la mise en œuvre de l</w:t>
      </w:r>
      <w:r>
        <w:rPr>
          <w:noProof/>
        </w:rPr>
        <w:t>a recommandation par pays relative à la politique économique en matière d’investissement dans le domaine de la recherche et de l’innovation (recommandation par pays no 3, 2019).</w:t>
      </w:r>
    </w:p>
    <w:p w14:paraId="365FA8D8" w14:textId="77777777" w:rsidR="00553430" w:rsidRDefault="00212577">
      <w:pPr>
        <w:pStyle w:val="P68B1DB1-Normal57"/>
        <w:keepNext/>
        <w:tabs>
          <w:tab w:val="num" w:pos="850"/>
        </w:tabs>
        <w:spacing w:before="40" w:after="0"/>
        <w:ind w:left="851"/>
        <w:jc w:val="both"/>
        <w:outlineLvl w:val="1"/>
        <w:rPr>
          <w:noProof/>
        </w:rPr>
      </w:pPr>
      <w:r>
        <w:rPr>
          <w:noProof/>
        </w:rPr>
        <w:t xml:space="preserve">Q.1. </w:t>
      </w:r>
      <w:r>
        <w:rPr>
          <w:noProof/>
        </w:rPr>
        <w:tab/>
        <w:t>Description des réformes et des investissements pour le soutien financie</w:t>
      </w:r>
      <w:r>
        <w:rPr>
          <w:noProof/>
        </w:rPr>
        <w:t>r non remboursable</w:t>
      </w:r>
    </w:p>
    <w:p w14:paraId="0EDD2C4E" w14:textId="77777777" w:rsidR="00553430" w:rsidRDefault="00212577">
      <w:pPr>
        <w:pStyle w:val="P68B1DB1-Normal96"/>
        <w:keepNext/>
        <w:tabs>
          <w:tab w:val="num" w:pos="850"/>
        </w:tabs>
        <w:spacing w:before="240" w:after="0"/>
        <w:ind w:left="851"/>
        <w:jc w:val="both"/>
        <w:outlineLvl w:val="2"/>
        <w:rPr>
          <w:noProof/>
        </w:rPr>
      </w:pPr>
      <w:r>
        <w:rPr>
          <w:noProof/>
        </w:rPr>
        <w:t>Réforme C3.2 R1 – Réforme et renforcement des capacités de recherche et de développement du secteur public de la recherche</w:t>
      </w:r>
    </w:p>
    <w:p w14:paraId="55F96AE6" w14:textId="77777777" w:rsidR="00553430" w:rsidRDefault="00212577">
      <w:pPr>
        <w:pStyle w:val="P68B1DB1-Normal33"/>
        <w:spacing w:line="240" w:lineRule="auto"/>
        <w:jc w:val="both"/>
        <w:rPr>
          <w:noProof/>
        </w:rPr>
      </w:pPr>
      <w:r>
        <w:rPr>
          <w:noProof/>
        </w:rPr>
        <w:t xml:space="preserve">L'objectif de cette réforme est d'accroître la qualité et la visibilité internationale de la recherche publique, </w:t>
      </w:r>
      <w:r>
        <w:rPr>
          <w:noProof/>
        </w:rPr>
        <w:t>de renforcer la recherche ciblée et l'impact de la science sur le développement de l'innovation, de l'économie et de la société par la réorganisation du secteur public de la recherche. La réforme comprend les actions suivantes:</w:t>
      </w:r>
    </w:p>
    <w:p w14:paraId="5C86ED18" w14:textId="77777777" w:rsidR="00553430" w:rsidRDefault="00212577">
      <w:pPr>
        <w:pStyle w:val="P68B1DB1-Normal83"/>
        <w:numPr>
          <w:ilvl w:val="0"/>
          <w:numId w:val="70"/>
        </w:numPr>
        <w:tabs>
          <w:tab w:val="left" w:pos="426"/>
        </w:tabs>
        <w:spacing w:after="200" w:line="276" w:lineRule="auto"/>
        <w:jc w:val="both"/>
        <w:rPr>
          <w:noProof/>
        </w:rPr>
      </w:pPr>
      <w:r>
        <w:rPr>
          <w:noProof/>
        </w:rPr>
        <w:t>Adoptant un nouveau modèle d</w:t>
      </w:r>
      <w:r>
        <w:rPr>
          <w:noProof/>
        </w:rPr>
        <w:t xml:space="preserve">'accords-programmes pour le financement du système public de recherche scientifique, </w:t>
      </w:r>
    </w:p>
    <w:p w14:paraId="3F428F01" w14:textId="77777777" w:rsidR="00553430" w:rsidRDefault="00212577">
      <w:pPr>
        <w:pStyle w:val="P68B1DB1-Normal83"/>
        <w:numPr>
          <w:ilvl w:val="0"/>
          <w:numId w:val="70"/>
        </w:numPr>
        <w:tabs>
          <w:tab w:val="left" w:pos="426"/>
        </w:tabs>
        <w:spacing w:after="200" w:line="276" w:lineRule="auto"/>
        <w:jc w:val="both"/>
        <w:rPr>
          <w:noProof/>
        </w:rPr>
      </w:pPr>
      <w:r>
        <w:rPr>
          <w:noProof/>
        </w:rPr>
        <w:t xml:space="preserve">Augmenter le budget des institutions scientifiques pour une recherche plus percutante, </w:t>
      </w:r>
    </w:p>
    <w:p w14:paraId="7774F8AB" w14:textId="77777777" w:rsidR="00553430" w:rsidRDefault="00212577">
      <w:pPr>
        <w:pStyle w:val="P68B1DB1-Normal83"/>
        <w:numPr>
          <w:ilvl w:val="0"/>
          <w:numId w:val="70"/>
        </w:numPr>
        <w:tabs>
          <w:tab w:val="left" w:pos="426"/>
        </w:tabs>
        <w:spacing w:after="200" w:line="276" w:lineRule="auto"/>
        <w:jc w:val="both"/>
        <w:rPr>
          <w:noProof/>
        </w:rPr>
      </w:pPr>
      <w:r>
        <w:rPr>
          <w:noProof/>
        </w:rPr>
        <w:t>réduire la fragmentation du système de recherche scientifique par l'intégration de</w:t>
      </w:r>
      <w:r>
        <w:rPr>
          <w:noProof/>
        </w:rPr>
        <w:t>s institutions de recherche scientifique en vue de la transition vers une organisation plus efficace des universités et des instituts de recherche,</w:t>
      </w:r>
    </w:p>
    <w:p w14:paraId="5D74BA1F" w14:textId="77777777" w:rsidR="00553430" w:rsidRDefault="00212577">
      <w:pPr>
        <w:pStyle w:val="P68B1DB1-Normal83"/>
        <w:numPr>
          <w:ilvl w:val="0"/>
          <w:numId w:val="70"/>
        </w:numPr>
        <w:tabs>
          <w:tab w:val="left" w:pos="426"/>
        </w:tabs>
        <w:spacing w:after="200" w:line="276" w:lineRule="auto"/>
        <w:jc w:val="both"/>
        <w:rPr>
          <w:noProof/>
        </w:rPr>
      </w:pPr>
      <w:r>
        <w:rPr>
          <w:noProof/>
        </w:rPr>
        <w:t>Améliorer la qualité des travaux de recherche scientifique en favorisant la transition vers un système de fi</w:t>
      </w:r>
      <w:r>
        <w:rPr>
          <w:noProof/>
        </w:rPr>
        <w:t>nancement axé sur le rendement.</w:t>
      </w:r>
    </w:p>
    <w:p w14:paraId="621516CB" w14:textId="77777777" w:rsidR="00553430" w:rsidRDefault="00212577">
      <w:pPr>
        <w:pStyle w:val="P68B1DB1-Normal33"/>
        <w:spacing w:line="240" w:lineRule="auto"/>
        <w:jc w:val="both"/>
        <w:rPr>
          <w:noProof/>
        </w:rPr>
      </w:pPr>
      <w:r>
        <w:rPr>
          <w:noProof/>
        </w:rPr>
        <w:t xml:space="preserve">La mise en œuvre de la réforme comprend l’adoption d’une nouvelle loi sur l’activité scientifique et l’enseignement supérieur fournissant un cadre juridique et financier pour l’intégration organisationnelle et fonctionnelle </w:t>
      </w:r>
      <w:r>
        <w:rPr>
          <w:noProof/>
        </w:rPr>
        <w:t>des universités et des instituts scientifiques, ainsi qu’un dialogue sur les objectifs institutionnels et un nouveau cadre de financement fondé sur les résultats. Le nouveau cadre juridique et financier devrait déboucher sur des publications plus influente</w:t>
      </w:r>
      <w:r>
        <w:rPr>
          <w:noProof/>
        </w:rPr>
        <w:t>s, des projets plus compétitifs, une coopération internationale renforcée et un nombre accru de projets en coopération avec les entreprises.</w:t>
      </w:r>
    </w:p>
    <w:p w14:paraId="5E185A49" w14:textId="77777777" w:rsidR="00553430" w:rsidRDefault="00212577">
      <w:pPr>
        <w:pStyle w:val="P68B1DB1-Normal33"/>
        <w:keepNext/>
        <w:numPr>
          <w:ilvl w:val="2"/>
          <w:numId w:val="0"/>
        </w:numPr>
        <w:spacing w:before="240" w:after="0"/>
        <w:jc w:val="both"/>
        <w:outlineLvl w:val="2"/>
        <w:rPr>
          <w:noProof/>
        </w:rPr>
      </w:pPr>
      <w:r>
        <w:rPr>
          <w:noProof/>
        </w:rPr>
        <w:t xml:space="preserve">La réforme est achevée au plus tard le 30 septembre 2022. </w:t>
      </w:r>
    </w:p>
    <w:p w14:paraId="674C9BFA" w14:textId="77777777" w:rsidR="00553430" w:rsidRDefault="00212577">
      <w:pPr>
        <w:pStyle w:val="P68B1DB1-Normal96"/>
        <w:keepNext/>
        <w:numPr>
          <w:ilvl w:val="2"/>
          <w:numId w:val="0"/>
        </w:numPr>
        <w:spacing w:before="240" w:after="0"/>
        <w:ind w:left="840"/>
        <w:jc w:val="both"/>
        <w:outlineLvl w:val="2"/>
        <w:rPr>
          <w:bCs/>
          <w:noProof/>
        </w:rPr>
      </w:pPr>
      <w:r>
        <w:rPr>
          <w:noProof/>
        </w:rPr>
        <w:t>Investissement C3.2 R1-I1 – Développement d’un système d</w:t>
      </w:r>
      <w:r>
        <w:rPr>
          <w:noProof/>
        </w:rPr>
        <w:t>’accords de programme pour le financement d’universités et d’instituts de recherche axés sur l’innovation, la recherche et le développement</w:t>
      </w:r>
    </w:p>
    <w:p w14:paraId="0108B086" w14:textId="77777777" w:rsidR="00553430" w:rsidRDefault="00553430">
      <w:pPr>
        <w:spacing w:line="240" w:lineRule="auto"/>
        <w:jc w:val="both"/>
        <w:rPr>
          <w:rFonts w:ascii="Times New Roman" w:eastAsia="Calibri" w:hAnsi="Times New Roman" w:cs="Times New Roman"/>
          <w:noProof/>
          <w:sz w:val="24"/>
          <w:szCs w:val="24"/>
        </w:rPr>
      </w:pPr>
    </w:p>
    <w:p w14:paraId="4568AAF8" w14:textId="77777777" w:rsidR="00553430" w:rsidRDefault="00212577">
      <w:pPr>
        <w:pStyle w:val="P68B1DB1-Normal33"/>
        <w:spacing w:line="240" w:lineRule="auto"/>
        <w:jc w:val="both"/>
        <w:rPr>
          <w:noProof/>
        </w:rPr>
      </w:pPr>
      <w:r>
        <w:rPr>
          <w:noProof/>
        </w:rPr>
        <w:t>L'objectif de cet investissement est d'améliorer le système de financement des travaux scientifiques des université</w:t>
      </w:r>
      <w:r>
        <w:rPr>
          <w:noProof/>
        </w:rPr>
        <w:t>s et des instituts scientifiques dans le but d'obtenir des résultats de recherche de meilleure qualité et plus pertinents.</w:t>
      </w:r>
    </w:p>
    <w:p w14:paraId="5B73BEF7" w14:textId="77777777" w:rsidR="00553430" w:rsidRDefault="00212577">
      <w:pPr>
        <w:pStyle w:val="P68B1DB1-Normal33"/>
        <w:spacing w:line="240" w:lineRule="auto"/>
        <w:jc w:val="both"/>
        <w:rPr>
          <w:noProof/>
        </w:rPr>
      </w:pPr>
      <w:r>
        <w:rPr>
          <w:noProof/>
        </w:rPr>
        <w:t>Cet investissement consiste à fournir un financement aux appels à projets de recherche aux entités publiques de recherche qui signent</w:t>
      </w:r>
      <w:r>
        <w:rPr>
          <w:noProof/>
        </w:rPr>
        <w:t xml:space="preserve"> des accords de programme.</w:t>
      </w:r>
    </w:p>
    <w:p w14:paraId="0271EAFE" w14:textId="77777777" w:rsidR="00553430" w:rsidRDefault="00212577">
      <w:pPr>
        <w:pStyle w:val="P68B1DB1-Normal96"/>
        <w:keepNext/>
        <w:numPr>
          <w:ilvl w:val="2"/>
          <w:numId w:val="0"/>
        </w:numPr>
        <w:spacing w:before="240" w:after="0"/>
        <w:ind w:left="851"/>
        <w:jc w:val="both"/>
        <w:outlineLvl w:val="2"/>
        <w:rPr>
          <w:noProof/>
        </w:rPr>
      </w:pPr>
      <w:r>
        <w:rPr>
          <w:noProof/>
        </w:rPr>
        <w:t>Réforme C3.2 R2 – Créer un cadre pour attirer les étudiants et les chercheurs dans les domaines des STIM et des TIC</w:t>
      </w:r>
    </w:p>
    <w:p w14:paraId="6750BCE8" w14:textId="77777777" w:rsidR="00553430" w:rsidRDefault="00212577">
      <w:pPr>
        <w:pStyle w:val="P68B1DB1-Normal33"/>
        <w:spacing w:line="240" w:lineRule="auto"/>
        <w:jc w:val="both"/>
        <w:rPr>
          <w:noProof/>
        </w:rPr>
      </w:pPr>
      <w:r>
        <w:rPr>
          <w:noProof/>
        </w:rPr>
        <w:t>L’objectif de cette réforme est d’introduire un nouveau cadre propice à l’avancement et au développement de carri</w:t>
      </w:r>
      <w:r>
        <w:rPr>
          <w:noProof/>
        </w:rPr>
        <w:t xml:space="preserve">ère des chercheurs dans les domaines des STIM et des TIC afin d’accroître le nombre et la qualité des chercheurs et des professionnels dans les secteurs scientifique et commercial et de renforcer le potentiel d’innovation. À long terme, la réforme devrait </w:t>
      </w:r>
      <w:r>
        <w:rPr>
          <w:noProof/>
        </w:rPr>
        <w:t>permettre au capital humain de passer des institutions scientifiques à l’économie grâce au transfert de connaissances spécialisées, aux technologies de pointe, à la collaboration entre le monde universitaire et les entreprises par l’intermédiaire de platef</w:t>
      </w:r>
      <w:r>
        <w:rPr>
          <w:noProof/>
        </w:rPr>
        <w:t>ormes technologiques et au développement de jeunes pousses et d’entreprises dérivées de haute technologie, ainsi que d’infrastructures ouvertes de recherche et de technologie.</w:t>
      </w:r>
    </w:p>
    <w:p w14:paraId="1F6BF7B0" w14:textId="77777777" w:rsidR="00553430" w:rsidRDefault="00212577">
      <w:pPr>
        <w:pStyle w:val="P68B1DB1-Normal33"/>
        <w:spacing w:line="240" w:lineRule="auto"/>
        <w:jc w:val="both"/>
        <w:rPr>
          <w:noProof/>
        </w:rPr>
      </w:pPr>
      <w:r>
        <w:rPr>
          <w:noProof/>
        </w:rPr>
        <w:t xml:space="preserve">Les carrières scientifiques sont rendues plus attrayantes grâce à une politique </w:t>
      </w:r>
      <w:r>
        <w:rPr>
          <w:noProof/>
        </w:rPr>
        <w:t xml:space="preserve">de recrutement claire, transparente et fondée sur le mérite dans les domaines clés de la recherche scientifique. Les carrières scientifiques dans les STIM et les TIC sont encouragées dès les premiers niveaux d’enseignement. Le cadre législatif est modifié </w:t>
      </w:r>
      <w:r>
        <w:rPr>
          <w:noProof/>
        </w:rPr>
        <w:t xml:space="preserve">pour remédier au modèle de recrutement et de promotion non concurrentiel et administrativement contraignant du système de recherche scientifique croate. </w:t>
      </w:r>
    </w:p>
    <w:p w14:paraId="0C09D888" w14:textId="77777777" w:rsidR="00553430" w:rsidRDefault="00212577">
      <w:pPr>
        <w:pStyle w:val="P68B1DB1-Normal33"/>
        <w:spacing w:line="240" w:lineRule="auto"/>
        <w:jc w:val="both"/>
        <w:rPr>
          <w:noProof/>
        </w:rPr>
      </w:pPr>
      <w:r>
        <w:rPr>
          <w:noProof/>
        </w:rPr>
        <w:t xml:space="preserve">La réforme est achevée au plus tard le 30 septembre 2022. </w:t>
      </w:r>
    </w:p>
    <w:p w14:paraId="70C498B8" w14:textId="77777777" w:rsidR="00553430" w:rsidRDefault="00212577">
      <w:pPr>
        <w:pStyle w:val="P68B1DB1-Normal96"/>
        <w:keepNext/>
        <w:numPr>
          <w:ilvl w:val="2"/>
          <w:numId w:val="0"/>
        </w:numPr>
        <w:spacing w:before="240" w:after="0"/>
        <w:ind w:left="851"/>
        <w:jc w:val="both"/>
        <w:outlineLvl w:val="2"/>
        <w:rPr>
          <w:bCs/>
          <w:noProof/>
        </w:rPr>
      </w:pPr>
      <w:r>
        <w:rPr>
          <w:noProof/>
        </w:rPr>
        <w:t>Investissement C3.2 R2-I1 – Développement d</w:t>
      </w:r>
      <w:r>
        <w:rPr>
          <w:noProof/>
        </w:rPr>
        <w:t>’un modèle propice à la progression de carrière des chercheurs et à la conduite de recherches scientifiques de pointe dans les domaines des STIM et des TIC</w:t>
      </w:r>
    </w:p>
    <w:p w14:paraId="4123B757" w14:textId="77777777" w:rsidR="00553430" w:rsidRDefault="00212577">
      <w:pPr>
        <w:pStyle w:val="P68B1DB1-Normal33"/>
        <w:spacing w:line="240" w:lineRule="auto"/>
        <w:jc w:val="both"/>
        <w:rPr>
          <w:noProof/>
        </w:rPr>
      </w:pPr>
      <w:r>
        <w:rPr>
          <w:noProof/>
        </w:rPr>
        <w:t xml:space="preserve">L’objectif de cet investissement est de développer et d’introduire un nouveau cadre favorable et un </w:t>
      </w:r>
      <w:r>
        <w:rPr>
          <w:noProof/>
        </w:rPr>
        <w:t xml:space="preserve">système d’incitation au développement de la carrière des chercheurs. </w:t>
      </w:r>
    </w:p>
    <w:p w14:paraId="123D5F0C" w14:textId="77777777" w:rsidR="00553430" w:rsidRDefault="00212577">
      <w:pPr>
        <w:pStyle w:val="P68B1DB1-Normal33"/>
        <w:spacing w:line="240" w:lineRule="auto"/>
        <w:jc w:val="both"/>
        <w:rPr>
          <w:noProof/>
        </w:rPr>
      </w:pPr>
      <w:r>
        <w:rPr>
          <w:noProof/>
        </w:rPr>
        <w:t>L'investissement consiste en des appels à subventions de recherche pour stimuler les jeunes chercheurs, les programmes de formation et la mobilité avec le secteur des entreprises.</w:t>
      </w:r>
    </w:p>
    <w:p w14:paraId="57740C0D" w14:textId="77777777" w:rsidR="00553430" w:rsidRDefault="00212577">
      <w:pPr>
        <w:pStyle w:val="P68B1DB1-Normal96"/>
        <w:keepNext/>
        <w:numPr>
          <w:ilvl w:val="2"/>
          <w:numId w:val="0"/>
        </w:numPr>
        <w:spacing w:before="240" w:after="0"/>
        <w:ind w:left="851"/>
        <w:jc w:val="both"/>
        <w:outlineLvl w:val="2"/>
        <w:rPr>
          <w:noProof/>
        </w:rPr>
      </w:pPr>
      <w:r>
        <w:rPr>
          <w:noProof/>
        </w:rPr>
        <w:t>Invest</w:t>
      </w:r>
      <w:r>
        <w:rPr>
          <w:noProof/>
        </w:rPr>
        <w:t>issement C3.2 R2-I2 – Investir dans la recherche – Infrastructures technologiques dans les domaines des STIM et des TIC</w:t>
      </w:r>
    </w:p>
    <w:p w14:paraId="19FF2D82" w14:textId="77777777" w:rsidR="00553430" w:rsidRDefault="00212577">
      <w:pPr>
        <w:pStyle w:val="P68B1DB1-Normal33"/>
        <w:spacing w:line="240" w:lineRule="auto"/>
        <w:jc w:val="both"/>
        <w:rPr>
          <w:noProof/>
        </w:rPr>
      </w:pPr>
      <w:r>
        <w:rPr>
          <w:noProof/>
        </w:rPr>
        <w:t xml:space="preserve">L’objectif de cet investissement est de soutenir la transition numérique par des investissements dans des projets d’infrastructure clés </w:t>
      </w:r>
      <w:r>
        <w:rPr>
          <w:noProof/>
        </w:rPr>
        <w:t>pour la recherche appliquée et ciblée.</w:t>
      </w:r>
    </w:p>
    <w:p w14:paraId="6D81A572" w14:textId="77777777" w:rsidR="00553430" w:rsidRDefault="00212577">
      <w:pPr>
        <w:pStyle w:val="P68B1DB1-Normal33"/>
        <w:spacing w:line="240" w:lineRule="auto"/>
        <w:jc w:val="both"/>
        <w:rPr>
          <w:noProof/>
        </w:rPr>
      </w:pPr>
      <w:r>
        <w:rPr>
          <w:noProof/>
        </w:rPr>
        <w:t xml:space="preserve">L'investissement consiste en la construction de six projets d'infrastructure visant à soutenir directement les activités de recherche, de développement et d'innovation. </w:t>
      </w:r>
    </w:p>
    <w:p w14:paraId="21B502B9" w14:textId="77777777" w:rsidR="00553430" w:rsidRDefault="00212577">
      <w:pPr>
        <w:pStyle w:val="P68B1DB1-Normal81"/>
        <w:keepNext/>
        <w:numPr>
          <w:ilvl w:val="2"/>
          <w:numId w:val="0"/>
        </w:numPr>
        <w:spacing w:before="240" w:after="0"/>
        <w:ind w:left="851"/>
        <w:jc w:val="both"/>
        <w:outlineLvl w:val="2"/>
        <w:rPr>
          <w:noProof/>
        </w:rPr>
      </w:pPr>
      <w:r>
        <w:rPr>
          <w:noProof/>
        </w:rPr>
        <w:t>Réforme C3.2 R3 – Améliorer la</w:t>
      </w:r>
      <w:r>
        <w:rPr>
          <w:noProof/>
        </w:rPr>
        <w:tab/>
      </w:r>
      <w:r>
        <w:rPr>
          <w:noProof/>
        </w:rPr>
        <w:t xml:space="preserve">efficacité des investissements publics dans la recherche, le développement et l'innovation </w:t>
      </w:r>
    </w:p>
    <w:p w14:paraId="1270C27D" w14:textId="77777777" w:rsidR="00553430" w:rsidRDefault="00212577">
      <w:pPr>
        <w:pStyle w:val="P68B1DB1-Normal46"/>
        <w:spacing w:line="240" w:lineRule="auto"/>
        <w:jc w:val="both"/>
        <w:rPr>
          <w:noProof/>
        </w:rPr>
      </w:pPr>
      <w:r>
        <w:rPr>
          <w:noProof/>
        </w:rPr>
        <w:t>L’objectif de cette réforme est de mettre en œuvre un modèle de gouvernance plus fonctionnel et plus efficace pour la recherche compétitive et de mettre en place de</w:t>
      </w:r>
      <w:r>
        <w:rPr>
          <w:noProof/>
        </w:rPr>
        <w:t xml:space="preserve">s systèmes de développement et d’innovation permettant un processus de sélection des projets de recherche plus rapide et fondé sur le mérite. </w:t>
      </w:r>
    </w:p>
    <w:p w14:paraId="0AE1EC09" w14:textId="77777777" w:rsidR="00553430" w:rsidRDefault="00212577">
      <w:pPr>
        <w:pStyle w:val="P68B1DB1-Normal46"/>
        <w:spacing w:line="240" w:lineRule="auto"/>
        <w:jc w:val="both"/>
        <w:rPr>
          <w:noProof/>
        </w:rPr>
      </w:pPr>
      <w:r>
        <w:rPr>
          <w:noProof/>
        </w:rPr>
        <w:t>La réforme comprend l’adoption d’une nouvelle loi sur la Fondation croate de la science afin de renforcer les cap</w:t>
      </w:r>
      <w:r>
        <w:rPr>
          <w:noProof/>
        </w:rPr>
        <w:t xml:space="preserve">acités de la Fondation croate de la science et de réduire le nombre d’institutions actuellement associées à la gestion et à la mise en œuvre des programmes de financement de la recherche et de l’innovation. Ce nouveau cadre juridique permet de transformer </w:t>
      </w:r>
      <w:r>
        <w:rPr>
          <w:noProof/>
        </w:rPr>
        <w:t>et de renforcer les capacités de la Fondation en un organe qui, outre des compétences clairement convenues et définies dans le cadre de la coordination interinstitutionnelle au sein du Conseil national de l’innovation, garantit une approche simplifiée et s</w:t>
      </w:r>
      <w:r>
        <w:rPr>
          <w:noProof/>
        </w:rPr>
        <w:t>ystématique de la gestion du financement des projets.</w:t>
      </w:r>
    </w:p>
    <w:p w14:paraId="1828D8B5" w14:textId="77777777" w:rsidR="00553430" w:rsidRDefault="00212577">
      <w:pPr>
        <w:pStyle w:val="P68B1DB1-Normal46"/>
        <w:keepNext/>
        <w:numPr>
          <w:ilvl w:val="2"/>
          <w:numId w:val="0"/>
        </w:numPr>
        <w:spacing w:before="240" w:after="0"/>
        <w:jc w:val="both"/>
        <w:outlineLvl w:val="2"/>
        <w:rPr>
          <w:rFonts w:eastAsia="Calibri"/>
          <w:noProof/>
        </w:rPr>
      </w:pPr>
      <w:r>
        <w:rPr>
          <w:noProof/>
        </w:rPr>
        <w:t xml:space="preserve">La réforme est achevée au plus tard le 30 septembre 2022. </w:t>
      </w:r>
    </w:p>
    <w:p w14:paraId="720E5D82" w14:textId="77777777" w:rsidR="00553430" w:rsidRDefault="00212577">
      <w:pPr>
        <w:pStyle w:val="P68B1DB1-Normal96"/>
        <w:keepNext/>
        <w:numPr>
          <w:ilvl w:val="2"/>
          <w:numId w:val="0"/>
        </w:numPr>
        <w:spacing w:before="240" w:after="0"/>
        <w:ind w:left="851"/>
        <w:jc w:val="both"/>
        <w:outlineLvl w:val="2"/>
        <w:rPr>
          <w:noProof/>
        </w:rPr>
      </w:pPr>
      <w:r>
        <w:rPr>
          <w:noProof/>
        </w:rPr>
        <w:t>Investissement C3.2 R3-I1 – Mise en place d’un cadre de programmation plus fonctionnel pour le financement des projets de recherche, de dévelop</w:t>
      </w:r>
      <w:r>
        <w:rPr>
          <w:noProof/>
        </w:rPr>
        <w:t>pement et d’innovation</w:t>
      </w:r>
    </w:p>
    <w:p w14:paraId="53BA1AAB" w14:textId="77777777" w:rsidR="00553430" w:rsidRDefault="00212577">
      <w:pPr>
        <w:pStyle w:val="P68B1DB1-Normal33"/>
        <w:spacing w:line="240" w:lineRule="auto"/>
        <w:jc w:val="both"/>
        <w:rPr>
          <w:noProof/>
        </w:rPr>
      </w:pPr>
      <w:r>
        <w:rPr>
          <w:noProof/>
        </w:rPr>
        <w:t>L’objectif de cette mesure est d’améliorer le système existant de financement de la recherche, du développement et de l’innovation (R&amp;D&amp;I) et de soutenir le développement de la recherche et des produits de pointe.</w:t>
      </w:r>
    </w:p>
    <w:p w14:paraId="259DFCF9" w14:textId="77777777" w:rsidR="00553430" w:rsidRDefault="00212577">
      <w:pPr>
        <w:pStyle w:val="P68B1DB1-Normal33"/>
        <w:spacing w:line="240" w:lineRule="auto"/>
        <w:jc w:val="both"/>
        <w:rPr>
          <w:noProof/>
        </w:rPr>
      </w:pPr>
      <w:r>
        <w:rPr>
          <w:noProof/>
        </w:rPr>
        <w:t xml:space="preserve">Cet investissement </w:t>
      </w:r>
      <w:r>
        <w:rPr>
          <w:noProof/>
        </w:rPr>
        <w:t>consiste en des appels à projets de recherche dans le cadre d'un programme pilote de financement.</w:t>
      </w:r>
    </w:p>
    <w:p w14:paraId="38FE90AF" w14:textId="77777777" w:rsidR="00553430" w:rsidRDefault="00212577">
      <w:pPr>
        <w:pStyle w:val="P68B1DB1-Normal33"/>
        <w:spacing w:line="240" w:lineRule="auto"/>
        <w:jc w:val="both"/>
        <w:rPr>
          <w:noProof/>
        </w:rPr>
      </w:pPr>
      <w:r>
        <w:rPr>
          <w:noProof/>
        </w:rPr>
        <w:t xml:space="preserve"> </w:t>
      </w:r>
    </w:p>
    <w:p w14:paraId="19015435" w14:textId="77777777" w:rsidR="00553430" w:rsidRDefault="00553430">
      <w:pPr>
        <w:spacing w:line="240" w:lineRule="auto"/>
        <w:jc w:val="both"/>
        <w:rPr>
          <w:rFonts w:ascii="Times New Roman" w:eastAsia="Calibri" w:hAnsi="Times New Roman" w:cs="Times New Roman"/>
          <w:noProof/>
          <w:sz w:val="24"/>
          <w:szCs w:val="24"/>
        </w:rPr>
        <w:sectPr w:rsidR="00553430" w:rsidSect="00FA29B2">
          <w:headerReference w:type="even" r:id="rId303"/>
          <w:headerReference w:type="default" r:id="rId304"/>
          <w:footerReference w:type="even" r:id="rId305"/>
          <w:footerReference w:type="default" r:id="rId306"/>
          <w:headerReference w:type="first" r:id="rId307"/>
          <w:footerReference w:type="first" r:id="rId308"/>
          <w:pgSz w:w="11907" w:h="16839"/>
          <w:pgMar w:top="1134" w:right="1134" w:bottom="1134" w:left="1134" w:header="567" w:footer="567" w:gutter="0"/>
          <w:cols w:space="708"/>
          <w:docGrid w:linePitch="360"/>
        </w:sectPr>
      </w:pPr>
    </w:p>
    <w:p w14:paraId="6308256E" w14:textId="77777777" w:rsidR="00553430" w:rsidRDefault="00212577">
      <w:pPr>
        <w:pStyle w:val="P68B1DB1-Normal113"/>
        <w:keepNext/>
        <w:tabs>
          <w:tab w:val="num" w:pos="850"/>
        </w:tabs>
        <w:spacing w:after="0" w:line="240" w:lineRule="auto"/>
        <w:jc w:val="both"/>
        <w:outlineLvl w:val="1"/>
        <w:rPr>
          <w:noProof/>
        </w:rPr>
      </w:pPr>
      <w:r>
        <w:rPr>
          <w:noProof/>
        </w:rPr>
        <w:t xml:space="preserve">Q2. </w:t>
      </w:r>
      <w:r>
        <w:rPr>
          <w:noProof/>
        </w:rPr>
        <w:tab/>
        <w:t xml:space="preserve">Étapes, cibles, indicateurs et calendrier pour le suivi et la mise en œuvre du soutien </w:t>
      </w:r>
      <w:r>
        <w:rPr>
          <w:noProof/>
        </w:rPr>
        <w:t>financier non remboursable</w:t>
      </w:r>
    </w:p>
    <w:p w14:paraId="4A90E54C" w14:textId="77777777" w:rsidR="00553430" w:rsidRDefault="00553430">
      <w:pPr>
        <w:keepNext/>
        <w:tabs>
          <w:tab w:val="num" w:pos="850"/>
        </w:tabs>
        <w:spacing w:after="0" w:line="240" w:lineRule="auto"/>
        <w:jc w:val="both"/>
        <w:outlineLvl w:val="1"/>
        <w:rPr>
          <w:rFonts w:ascii="Times New Roman" w:eastAsiaTheme="minorEastAsia" w:hAnsi="Times New Roman" w:cs="Times New Roman"/>
          <w:b/>
          <w:noProof/>
          <w:sz w:val="24"/>
          <w:szCs w:val="24"/>
          <w:u w:val="single"/>
        </w:rPr>
      </w:pPr>
    </w:p>
    <w:tbl>
      <w:tblPr>
        <w:tblW w:w="159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68"/>
        <w:gridCol w:w="1637"/>
        <w:gridCol w:w="1070"/>
        <w:gridCol w:w="1799"/>
        <w:gridCol w:w="1462"/>
        <w:gridCol w:w="1167"/>
        <w:gridCol w:w="1006"/>
        <w:gridCol w:w="1441"/>
        <w:gridCol w:w="893"/>
        <w:gridCol w:w="992"/>
        <w:gridCol w:w="3979"/>
      </w:tblGrid>
      <w:tr w:rsidR="00553430" w14:paraId="58DA3444" w14:textId="77777777">
        <w:trPr>
          <w:trHeight w:val="494"/>
          <w:tblHeader/>
          <w:jc w:val="center"/>
        </w:trPr>
        <w:tc>
          <w:tcPr>
            <w:tcW w:w="768" w:type="dxa"/>
            <w:vMerge w:val="restart"/>
            <w:shd w:val="clear" w:color="auto" w:fill="BDD7EE"/>
            <w:vAlign w:val="center"/>
            <w:hideMark/>
          </w:tcPr>
          <w:p w14:paraId="33B96383" w14:textId="77777777" w:rsidR="00553430" w:rsidRDefault="00212577">
            <w:pPr>
              <w:pStyle w:val="P68B1DB1-Normal58"/>
              <w:spacing w:after="0" w:line="276" w:lineRule="auto"/>
              <w:jc w:val="center"/>
              <w:rPr>
                <w:noProof/>
              </w:rPr>
            </w:pPr>
            <w:r>
              <w:rPr>
                <w:noProof/>
              </w:rPr>
              <w:t>Numéro</w:t>
            </w:r>
          </w:p>
        </w:tc>
        <w:tc>
          <w:tcPr>
            <w:tcW w:w="1637" w:type="dxa"/>
            <w:vMerge w:val="restart"/>
            <w:shd w:val="clear" w:color="auto" w:fill="BDD7EE"/>
            <w:vAlign w:val="center"/>
            <w:hideMark/>
          </w:tcPr>
          <w:p w14:paraId="6A2B5654" w14:textId="77777777" w:rsidR="00553430" w:rsidRDefault="00212577">
            <w:pPr>
              <w:pStyle w:val="P68B1DB1-Normal58"/>
              <w:spacing w:after="0" w:line="276" w:lineRule="auto"/>
              <w:jc w:val="center"/>
              <w:rPr>
                <w:noProof/>
              </w:rPr>
            </w:pPr>
            <w:r>
              <w:rPr>
                <w:noProof/>
              </w:rPr>
              <w:t>Mesure</w:t>
            </w:r>
          </w:p>
        </w:tc>
        <w:tc>
          <w:tcPr>
            <w:tcW w:w="1070" w:type="dxa"/>
            <w:vMerge w:val="restart"/>
            <w:shd w:val="clear" w:color="auto" w:fill="BDD7EE"/>
            <w:vAlign w:val="center"/>
            <w:hideMark/>
          </w:tcPr>
          <w:p w14:paraId="1B9BC822" w14:textId="77777777" w:rsidR="00553430" w:rsidRDefault="00212577">
            <w:pPr>
              <w:pStyle w:val="P68B1DB1-Normal58"/>
              <w:spacing w:after="0" w:line="276" w:lineRule="auto"/>
              <w:jc w:val="center"/>
              <w:rPr>
                <w:noProof/>
              </w:rPr>
            </w:pPr>
            <w:r>
              <w:rPr>
                <w:noProof/>
              </w:rPr>
              <w:t>Étape/cible</w:t>
            </w:r>
          </w:p>
        </w:tc>
        <w:tc>
          <w:tcPr>
            <w:tcW w:w="1799" w:type="dxa"/>
            <w:vMerge w:val="restart"/>
            <w:shd w:val="clear" w:color="auto" w:fill="BDD7EE"/>
            <w:vAlign w:val="center"/>
            <w:hideMark/>
          </w:tcPr>
          <w:p w14:paraId="42597E3E" w14:textId="77777777" w:rsidR="00553430" w:rsidRDefault="00212577">
            <w:pPr>
              <w:pStyle w:val="P68B1DB1-Normal58"/>
              <w:spacing w:after="0" w:line="276" w:lineRule="auto"/>
              <w:jc w:val="center"/>
              <w:rPr>
                <w:noProof/>
              </w:rPr>
            </w:pPr>
            <w:r>
              <w:rPr>
                <w:noProof/>
              </w:rPr>
              <w:t>Nom</w:t>
            </w:r>
          </w:p>
        </w:tc>
        <w:tc>
          <w:tcPr>
            <w:tcW w:w="1462" w:type="dxa"/>
            <w:vMerge w:val="restart"/>
            <w:shd w:val="clear" w:color="auto" w:fill="BDD7EE"/>
            <w:vAlign w:val="center"/>
            <w:hideMark/>
          </w:tcPr>
          <w:p w14:paraId="7E4CEBB5" w14:textId="77777777" w:rsidR="00553430" w:rsidRDefault="00212577">
            <w:pPr>
              <w:pStyle w:val="P68B1DB1-Normal58"/>
              <w:spacing w:after="0" w:line="276" w:lineRule="auto"/>
              <w:jc w:val="center"/>
              <w:rPr>
                <w:noProof/>
              </w:rPr>
            </w:pPr>
            <w:r>
              <w:rPr>
                <w:noProof/>
              </w:rPr>
              <w:t xml:space="preserve">Indicateurs qualitatifs </w:t>
            </w:r>
            <w:r>
              <w:rPr>
                <w:noProof/>
              </w:rPr>
              <w:br/>
              <w:t>(pour les jalons)</w:t>
            </w:r>
          </w:p>
        </w:tc>
        <w:tc>
          <w:tcPr>
            <w:tcW w:w="3581" w:type="dxa"/>
            <w:gridSpan w:val="3"/>
            <w:shd w:val="clear" w:color="auto" w:fill="BDD7EE"/>
            <w:vAlign w:val="center"/>
            <w:hideMark/>
          </w:tcPr>
          <w:p w14:paraId="67FB8121" w14:textId="77777777" w:rsidR="00553430" w:rsidRDefault="00212577">
            <w:pPr>
              <w:pStyle w:val="P68B1DB1-Normal58"/>
              <w:spacing w:after="0" w:line="276" w:lineRule="auto"/>
              <w:jc w:val="center"/>
              <w:rPr>
                <w:noProof/>
              </w:rPr>
            </w:pPr>
            <w:r>
              <w:rPr>
                <w:noProof/>
              </w:rPr>
              <w:t xml:space="preserve">Indicateurs quantitatifs </w:t>
            </w:r>
            <w:r>
              <w:rPr>
                <w:noProof/>
              </w:rPr>
              <w:br/>
              <w:t>(pour les objectifs)</w:t>
            </w:r>
          </w:p>
        </w:tc>
        <w:tc>
          <w:tcPr>
            <w:tcW w:w="1605" w:type="dxa"/>
            <w:gridSpan w:val="2"/>
            <w:shd w:val="clear" w:color="auto" w:fill="BDD7EE"/>
            <w:vAlign w:val="center"/>
            <w:hideMark/>
          </w:tcPr>
          <w:p w14:paraId="3695AAED" w14:textId="77777777" w:rsidR="00553430" w:rsidRDefault="00212577">
            <w:pPr>
              <w:pStyle w:val="P68B1DB1-Normal58"/>
              <w:spacing w:after="0" w:line="276" w:lineRule="auto"/>
              <w:jc w:val="center"/>
              <w:rPr>
                <w:noProof/>
              </w:rPr>
            </w:pPr>
            <w:r>
              <w:rPr>
                <w:noProof/>
              </w:rPr>
              <w:t>Temps</w:t>
            </w:r>
          </w:p>
        </w:tc>
        <w:tc>
          <w:tcPr>
            <w:tcW w:w="3979" w:type="dxa"/>
            <w:vMerge w:val="restart"/>
            <w:shd w:val="clear" w:color="auto" w:fill="BDD7EE"/>
            <w:vAlign w:val="center"/>
            <w:hideMark/>
          </w:tcPr>
          <w:p w14:paraId="26CB1B11" w14:textId="77777777" w:rsidR="00553430" w:rsidRDefault="00212577">
            <w:pPr>
              <w:pStyle w:val="P68B1DB1-Normal58"/>
              <w:spacing w:after="0" w:line="276" w:lineRule="auto"/>
              <w:jc w:val="center"/>
              <w:rPr>
                <w:noProof/>
              </w:rPr>
            </w:pPr>
            <w:r>
              <w:rPr>
                <w:noProof/>
              </w:rPr>
              <w:t>Description de chaque jalon et cible</w:t>
            </w:r>
          </w:p>
        </w:tc>
      </w:tr>
      <w:tr w:rsidR="00553430" w14:paraId="29D26AAF" w14:textId="77777777">
        <w:trPr>
          <w:trHeight w:val="502"/>
          <w:tblHeader/>
          <w:jc w:val="center"/>
        </w:trPr>
        <w:tc>
          <w:tcPr>
            <w:tcW w:w="768" w:type="dxa"/>
            <w:vMerge/>
            <w:hideMark/>
          </w:tcPr>
          <w:p w14:paraId="4613ED6B"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637" w:type="dxa"/>
            <w:vMerge/>
            <w:hideMark/>
          </w:tcPr>
          <w:p w14:paraId="0587FE1D"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70" w:type="dxa"/>
            <w:vMerge/>
            <w:hideMark/>
          </w:tcPr>
          <w:p w14:paraId="4D2C42A6"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799" w:type="dxa"/>
            <w:vMerge/>
            <w:hideMark/>
          </w:tcPr>
          <w:p w14:paraId="3605C946" w14:textId="77777777" w:rsidR="00553430" w:rsidRDefault="00553430">
            <w:pPr>
              <w:spacing w:after="0" w:line="276" w:lineRule="auto"/>
              <w:rPr>
                <w:rFonts w:ascii="Times New Roman" w:eastAsia="Times New Roman" w:hAnsi="Times New Roman" w:cs="Times New Roman"/>
                <w:b/>
                <w:noProof/>
                <w:sz w:val="20"/>
                <w:szCs w:val="20"/>
              </w:rPr>
            </w:pPr>
          </w:p>
        </w:tc>
        <w:tc>
          <w:tcPr>
            <w:tcW w:w="1462" w:type="dxa"/>
            <w:vMerge/>
            <w:hideMark/>
          </w:tcPr>
          <w:p w14:paraId="17075CA5" w14:textId="77777777" w:rsidR="00553430" w:rsidRDefault="00553430">
            <w:pPr>
              <w:spacing w:after="0" w:line="276" w:lineRule="auto"/>
              <w:rPr>
                <w:rFonts w:ascii="Times New Roman" w:eastAsia="Times New Roman" w:hAnsi="Times New Roman" w:cs="Times New Roman"/>
                <w:b/>
                <w:noProof/>
                <w:sz w:val="20"/>
                <w:szCs w:val="20"/>
              </w:rPr>
            </w:pPr>
          </w:p>
        </w:tc>
        <w:tc>
          <w:tcPr>
            <w:tcW w:w="1134" w:type="dxa"/>
            <w:shd w:val="clear" w:color="auto" w:fill="BDD7EE"/>
            <w:vAlign w:val="center"/>
            <w:hideMark/>
          </w:tcPr>
          <w:p w14:paraId="1079F418" w14:textId="77777777" w:rsidR="00553430" w:rsidRDefault="00212577">
            <w:pPr>
              <w:pStyle w:val="P68B1DB1-Normal58"/>
              <w:spacing w:after="0" w:line="276" w:lineRule="auto"/>
              <w:jc w:val="center"/>
              <w:rPr>
                <w:noProof/>
              </w:rPr>
            </w:pPr>
            <w:r>
              <w:rPr>
                <w:noProof/>
              </w:rPr>
              <w:t>Unité</w:t>
            </w:r>
          </w:p>
        </w:tc>
        <w:tc>
          <w:tcPr>
            <w:tcW w:w="1006" w:type="dxa"/>
            <w:shd w:val="clear" w:color="auto" w:fill="BDD7EE"/>
            <w:vAlign w:val="center"/>
            <w:hideMark/>
          </w:tcPr>
          <w:p w14:paraId="31960181" w14:textId="77777777" w:rsidR="00553430" w:rsidRDefault="00212577">
            <w:pPr>
              <w:pStyle w:val="P68B1DB1-Normal58"/>
              <w:spacing w:after="0" w:line="276" w:lineRule="auto"/>
              <w:jc w:val="center"/>
              <w:rPr>
                <w:noProof/>
              </w:rPr>
            </w:pPr>
            <w:r>
              <w:rPr>
                <w:noProof/>
              </w:rPr>
              <w:t>Données de référence</w:t>
            </w:r>
          </w:p>
        </w:tc>
        <w:tc>
          <w:tcPr>
            <w:tcW w:w="1441" w:type="dxa"/>
            <w:shd w:val="clear" w:color="auto" w:fill="BDD7EE"/>
            <w:vAlign w:val="center"/>
            <w:hideMark/>
          </w:tcPr>
          <w:p w14:paraId="62C481F6" w14:textId="77777777" w:rsidR="00553430" w:rsidRDefault="00212577">
            <w:pPr>
              <w:pStyle w:val="P68B1DB1-Normal58"/>
              <w:spacing w:after="0" w:line="276" w:lineRule="auto"/>
              <w:jc w:val="center"/>
              <w:rPr>
                <w:noProof/>
              </w:rPr>
            </w:pPr>
            <w:r>
              <w:rPr>
                <w:noProof/>
              </w:rPr>
              <w:t>Objectif</w:t>
            </w:r>
          </w:p>
        </w:tc>
        <w:tc>
          <w:tcPr>
            <w:tcW w:w="613" w:type="dxa"/>
            <w:shd w:val="clear" w:color="auto" w:fill="BDD7EE"/>
            <w:vAlign w:val="center"/>
            <w:hideMark/>
          </w:tcPr>
          <w:p w14:paraId="27BA9AE0" w14:textId="77777777" w:rsidR="00553430" w:rsidRDefault="00212577">
            <w:pPr>
              <w:pStyle w:val="P68B1DB1-Normal58"/>
              <w:spacing w:after="0" w:line="276" w:lineRule="auto"/>
              <w:jc w:val="center"/>
              <w:rPr>
                <w:noProof/>
              </w:rPr>
            </w:pPr>
            <w:r>
              <w:rPr>
                <w:noProof/>
              </w:rPr>
              <w:t>Trimestre</w:t>
            </w:r>
          </w:p>
        </w:tc>
        <w:tc>
          <w:tcPr>
            <w:tcW w:w="992" w:type="dxa"/>
            <w:shd w:val="clear" w:color="auto" w:fill="BDD7EE"/>
            <w:vAlign w:val="center"/>
            <w:hideMark/>
          </w:tcPr>
          <w:p w14:paraId="3CD45B6B" w14:textId="77777777" w:rsidR="00553430" w:rsidRDefault="00212577">
            <w:pPr>
              <w:pStyle w:val="P68B1DB1-Normal58"/>
              <w:spacing w:after="0" w:line="276" w:lineRule="auto"/>
              <w:jc w:val="center"/>
              <w:rPr>
                <w:noProof/>
              </w:rPr>
            </w:pPr>
            <w:r>
              <w:rPr>
                <w:noProof/>
              </w:rPr>
              <w:t>Année</w:t>
            </w:r>
          </w:p>
        </w:tc>
        <w:tc>
          <w:tcPr>
            <w:tcW w:w="3979" w:type="dxa"/>
            <w:vMerge/>
            <w:hideMark/>
          </w:tcPr>
          <w:p w14:paraId="39C3DBC2"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0C008F93" w14:textId="77777777">
        <w:trPr>
          <w:trHeight w:val="283"/>
          <w:jc w:val="center"/>
        </w:trPr>
        <w:tc>
          <w:tcPr>
            <w:tcW w:w="768" w:type="dxa"/>
            <w:shd w:val="clear" w:color="auto" w:fill="C6EFCE"/>
            <w:noWrap/>
          </w:tcPr>
          <w:p w14:paraId="085380D0" w14:textId="77777777" w:rsidR="00553430" w:rsidRDefault="00212577">
            <w:pPr>
              <w:pStyle w:val="P68B1DB1-Normal102"/>
              <w:spacing w:after="0" w:line="276" w:lineRule="auto"/>
              <w:jc w:val="center"/>
              <w:rPr>
                <w:noProof/>
              </w:rPr>
            </w:pPr>
            <w:r>
              <w:rPr>
                <w:noProof/>
              </w:rPr>
              <w:t>275</w:t>
            </w:r>
          </w:p>
        </w:tc>
        <w:tc>
          <w:tcPr>
            <w:tcW w:w="1637" w:type="dxa"/>
            <w:shd w:val="clear" w:color="auto" w:fill="C6EFCE"/>
            <w:noWrap/>
          </w:tcPr>
          <w:p w14:paraId="068158C0" w14:textId="77777777" w:rsidR="00553430" w:rsidRDefault="00212577">
            <w:pPr>
              <w:pStyle w:val="P68B1DB1-Normal102"/>
              <w:spacing w:line="276" w:lineRule="auto"/>
              <w:jc w:val="center"/>
              <w:rPr>
                <w:noProof/>
              </w:rPr>
            </w:pPr>
            <w:r>
              <w:rPr>
                <w:noProof/>
              </w:rPr>
              <w:t>C3.2. R1</w:t>
            </w:r>
          </w:p>
        </w:tc>
        <w:tc>
          <w:tcPr>
            <w:tcW w:w="1070" w:type="dxa"/>
            <w:shd w:val="clear" w:color="auto" w:fill="C6EFCE"/>
            <w:noWrap/>
          </w:tcPr>
          <w:p w14:paraId="2B365F2B" w14:textId="77777777" w:rsidR="00553430" w:rsidRDefault="00212577">
            <w:pPr>
              <w:pStyle w:val="P68B1DB1-Normal102"/>
              <w:spacing w:line="276" w:lineRule="auto"/>
              <w:jc w:val="center"/>
              <w:rPr>
                <w:noProof/>
              </w:rPr>
            </w:pPr>
            <w:r>
              <w:rPr>
                <w:noProof/>
              </w:rPr>
              <w:t>M</w:t>
            </w:r>
          </w:p>
        </w:tc>
        <w:tc>
          <w:tcPr>
            <w:tcW w:w="1799" w:type="dxa"/>
            <w:shd w:val="clear" w:color="auto" w:fill="C6EFCE"/>
            <w:noWrap/>
          </w:tcPr>
          <w:p w14:paraId="5FEDCEE8" w14:textId="77777777" w:rsidR="00553430" w:rsidRDefault="00212577">
            <w:pPr>
              <w:pStyle w:val="P68B1DB1-Normal102"/>
              <w:spacing w:line="276" w:lineRule="auto"/>
              <w:rPr>
                <w:noProof/>
              </w:rPr>
            </w:pPr>
            <w:r>
              <w:rPr>
                <w:noProof/>
              </w:rPr>
              <w:t>Nouvelle loi sur la science et l'enseignement supérieur</w:t>
            </w:r>
          </w:p>
        </w:tc>
        <w:tc>
          <w:tcPr>
            <w:tcW w:w="1462" w:type="dxa"/>
            <w:shd w:val="clear" w:color="auto" w:fill="C6EFCE"/>
            <w:noWrap/>
          </w:tcPr>
          <w:p w14:paraId="412795C3" w14:textId="77777777" w:rsidR="00553430" w:rsidRDefault="00212577">
            <w:pPr>
              <w:pStyle w:val="P68B1DB1-Normal102"/>
              <w:spacing w:line="276" w:lineRule="auto"/>
              <w:rPr>
                <w:noProof/>
              </w:rPr>
            </w:pPr>
            <w:r>
              <w:rPr>
                <w:noProof/>
              </w:rPr>
              <w:t xml:space="preserve">Entrée en vigueur de la nouvelle loi sur les sciences et l'enseignement supérieur </w:t>
            </w:r>
          </w:p>
        </w:tc>
        <w:tc>
          <w:tcPr>
            <w:tcW w:w="1134" w:type="dxa"/>
            <w:shd w:val="clear" w:color="auto" w:fill="C6EFCE"/>
            <w:noWrap/>
          </w:tcPr>
          <w:p w14:paraId="26A940DE" w14:textId="77777777" w:rsidR="00553430" w:rsidRDefault="00212577">
            <w:pPr>
              <w:pStyle w:val="P68B1DB1-Normal102"/>
              <w:spacing w:line="276" w:lineRule="auto"/>
              <w:jc w:val="center"/>
              <w:rPr>
                <w:noProof/>
              </w:rPr>
            </w:pPr>
            <w:r>
              <w:rPr>
                <w:noProof/>
              </w:rPr>
              <w:t> </w:t>
            </w:r>
          </w:p>
        </w:tc>
        <w:tc>
          <w:tcPr>
            <w:tcW w:w="1006" w:type="dxa"/>
            <w:shd w:val="clear" w:color="auto" w:fill="C6EFCE"/>
            <w:noWrap/>
          </w:tcPr>
          <w:p w14:paraId="462A551F" w14:textId="77777777" w:rsidR="00553430" w:rsidRDefault="00212577">
            <w:pPr>
              <w:pStyle w:val="P68B1DB1-Normal102"/>
              <w:spacing w:line="276" w:lineRule="auto"/>
              <w:jc w:val="center"/>
              <w:rPr>
                <w:noProof/>
              </w:rPr>
            </w:pPr>
            <w:r>
              <w:rPr>
                <w:noProof/>
              </w:rPr>
              <w:t> </w:t>
            </w:r>
          </w:p>
        </w:tc>
        <w:tc>
          <w:tcPr>
            <w:tcW w:w="1441" w:type="dxa"/>
            <w:shd w:val="clear" w:color="auto" w:fill="C6EFCE"/>
            <w:noWrap/>
          </w:tcPr>
          <w:p w14:paraId="6110633F" w14:textId="77777777" w:rsidR="00553430" w:rsidRDefault="00212577">
            <w:pPr>
              <w:pStyle w:val="P68B1DB1-Normal102"/>
              <w:spacing w:line="276" w:lineRule="auto"/>
              <w:jc w:val="center"/>
              <w:rPr>
                <w:noProof/>
              </w:rPr>
            </w:pPr>
            <w:r>
              <w:rPr>
                <w:noProof/>
              </w:rPr>
              <w:t> </w:t>
            </w:r>
          </w:p>
        </w:tc>
        <w:tc>
          <w:tcPr>
            <w:tcW w:w="613" w:type="dxa"/>
            <w:shd w:val="clear" w:color="auto" w:fill="C6EFCE"/>
            <w:noWrap/>
          </w:tcPr>
          <w:p w14:paraId="4CBC51AF" w14:textId="77777777" w:rsidR="00553430" w:rsidRDefault="00212577">
            <w:pPr>
              <w:pStyle w:val="P68B1DB1-Normal102"/>
              <w:spacing w:line="276" w:lineRule="auto"/>
              <w:jc w:val="center"/>
              <w:rPr>
                <w:noProof/>
              </w:rPr>
            </w:pPr>
            <w:r>
              <w:rPr>
                <w:noProof/>
              </w:rPr>
              <w:t>T3</w:t>
            </w:r>
          </w:p>
        </w:tc>
        <w:tc>
          <w:tcPr>
            <w:tcW w:w="992" w:type="dxa"/>
            <w:shd w:val="clear" w:color="auto" w:fill="C6EFCE"/>
            <w:noWrap/>
          </w:tcPr>
          <w:p w14:paraId="6F9692B1" w14:textId="77777777" w:rsidR="00553430" w:rsidRDefault="00212577">
            <w:pPr>
              <w:pStyle w:val="P68B1DB1-Normal102"/>
              <w:spacing w:line="276" w:lineRule="auto"/>
              <w:jc w:val="center"/>
              <w:rPr>
                <w:noProof/>
              </w:rPr>
            </w:pPr>
            <w:r>
              <w:rPr>
                <w:noProof/>
              </w:rPr>
              <w:t>2022</w:t>
            </w:r>
          </w:p>
        </w:tc>
        <w:tc>
          <w:tcPr>
            <w:tcW w:w="3979" w:type="dxa"/>
            <w:shd w:val="clear" w:color="auto" w:fill="C6EFCE"/>
            <w:noWrap/>
          </w:tcPr>
          <w:p w14:paraId="7E86949F" w14:textId="77777777" w:rsidR="00553430" w:rsidRDefault="00212577">
            <w:pPr>
              <w:pStyle w:val="P68B1DB1-Normal102"/>
              <w:spacing w:line="276" w:lineRule="auto"/>
              <w:rPr>
                <w:noProof/>
              </w:rPr>
            </w:pPr>
            <w:r>
              <w:rPr>
                <w:noProof/>
              </w:rPr>
              <w:t>Le nouvel acte législatif crée les conditions juridiques et financières d'une réforme organi</w:t>
            </w:r>
            <w:r>
              <w:rPr>
                <w:noProof/>
              </w:rPr>
              <w:t>sationnelle et fonctionnelle des universités et instituts scientifiques publics et d'un financement visant à atteindre les objectifs de développement institutionnel.</w:t>
            </w:r>
          </w:p>
        </w:tc>
      </w:tr>
      <w:tr w:rsidR="00553430" w14:paraId="44350435" w14:textId="77777777">
        <w:trPr>
          <w:trHeight w:val="283"/>
          <w:jc w:val="center"/>
        </w:trPr>
        <w:tc>
          <w:tcPr>
            <w:tcW w:w="768" w:type="dxa"/>
            <w:shd w:val="clear" w:color="auto" w:fill="C6EFCE"/>
            <w:noWrap/>
          </w:tcPr>
          <w:p w14:paraId="0C90BEF7" w14:textId="77777777" w:rsidR="00553430" w:rsidRDefault="00212577">
            <w:pPr>
              <w:pStyle w:val="P68B1DB1-Normal102"/>
              <w:spacing w:line="276" w:lineRule="auto"/>
              <w:jc w:val="center"/>
              <w:rPr>
                <w:noProof/>
              </w:rPr>
            </w:pPr>
            <w:r>
              <w:rPr>
                <w:noProof/>
              </w:rPr>
              <w:t>276</w:t>
            </w:r>
          </w:p>
        </w:tc>
        <w:tc>
          <w:tcPr>
            <w:tcW w:w="1637" w:type="dxa"/>
            <w:shd w:val="clear" w:color="auto" w:fill="C6EFCE"/>
            <w:noWrap/>
          </w:tcPr>
          <w:p w14:paraId="27FAC4ED" w14:textId="77777777" w:rsidR="00553430" w:rsidRDefault="00212577">
            <w:pPr>
              <w:pStyle w:val="P68B1DB1-Normal102"/>
              <w:spacing w:line="276" w:lineRule="auto"/>
              <w:jc w:val="center"/>
              <w:rPr>
                <w:noProof/>
              </w:rPr>
            </w:pPr>
            <w:r>
              <w:rPr>
                <w:noProof/>
              </w:rPr>
              <w:t>C3.2. R1-I1</w:t>
            </w:r>
          </w:p>
        </w:tc>
        <w:tc>
          <w:tcPr>
            <w:tcW w:w="1070" w:type="dxa"/>
            <w:shd w:val="clear" w:color="auto" w:fill="C6EFCE"/>
            <w:noWrap/>
          </w:tcPr>
          <w:p w14:paraId="5A617E9B" w14:textId="77777777" w:rsidR="00553430" w:rsidRDefault="00212577">
            <w:pPr>
              <w:pStyle w:val="P68B1DB1-Normal102"/>
              <w:spacing w:line="276" w:lineRule="auto"/>
              <w:jc w:val="center"/>
              <w:rPr>
                <w:noProof/>
              </w:rPr>
            </w:pPr>
            <w:r>
              <w:rPr>
                <w:noProof/>
              </w:rPr>
              <w:t>T</w:t>
            </w:r>
          </w:p>
        </w:tc>
        <w:tc>
          <w:tcPr>
            <w:tcW w:w="1799" w:type="dxa"/>
            <w:shd w:val="clear" w:color="auto" w:fill="C6EFCE"/>
            <w:noWrap/>
          </w:tcPr>
          <w:p w14:paraId="6942D739" w14:textId="77777777" w:rsidR="00553430" w:rsidRDefault="00212577">
            <w:pPr>
              <w:pStyle w:val="P68B1DB1-Normal102"/>
              <w:spacing w:line="276" w:lineRule="auto"/>
              <w:rPr>
                <w:noProof/>
              </w:rPr>
            </w:pPr>
            <w:r>
              <w:rPr>
                <w:noProof/>
              </w:rPr>
              <w:t xml:space="preserve">Financement alloué à des projets de recherche sur la base d'appels internes lancés par des organismes de recherche au cours du premier cycle de deux ans de mise en œuvre des accords de programme </w:t>
            </w:r>
          </w:p>
        </w:tc>
        <w:tc>
          <w:tcPr>
            <w:tcW w:w="1462" w:type="dxa"/>
            <w:shd w:val="clear" w:color="auto" w:fill="C6EFCE"/>
            <w:noWrap/>
          </w:tcPr>
          <w:p w14:paraId="44479A85" w14:textId="77777777" w:rsidR="00553430" w:rsidRDefault="00212577">
            <w:pPr>
              <w:pStyle w:val="P68B1DB1-Normal102"/>
              <w:spacing w:after="240" w:line="276" w:lineRule="auto"/>
              <w:rPr>
                <w:noProof/>
              </w:rPr>
            </w:pPr>
            <w:r>
              <w:rPr>
                <w:noProof/>
              </w:rPr>
              <w:t> </w:t>
            </w:r>
          </w:p>
        </w:tc>
        <w:tc>
          <w:tcPr>
            <w:tcW w:w="1134" w:type="dxa"/>
            <w:shd w:val="clear" w:color="auto" w:fill="C6EFCE"/>
            <w:noWrap/>
          </w:tcPr>
          <w:p w14:paraId="09FFC0FA" w14:textId="77777777" w:rsidR="00553430" w:rsidRDefault="00212577">
            <w:pPr>
              <w:pStyle w:val="P68B1DB1-Normal102"/>
              <w:spacing w:after="0" w:line="276" w:lineRule="auto"/>
              <w:jc w:val="center"/>
              <w:rPr>
                <w:noProof/>
                <w:u w:val="single"/>
              </w:rPr>
            </w:pPr>
            <w:r>
              <w:rPr>
                <w:noProof/>
              </w:rPr>
              <w:t>Numéro</w:t>
            </w:r>
            <w:r>
              <w:rPr>
                <w:noProof/>
                <w:u w:val="single"/>
              </w:rPr>
              <w:t xml:space="preserve"> </w:t>
            </w:r>
            <w:r>
              <w:rPr>
                <w:noProof/>
              </w:rPr>
              <w:t>(montant)</w:t>
            </w:r>
          </w:p>
        </w:tc>
        <w:tc>
          <w:tcPr>
            <w:tcW w:w="1006" w:type="dxa"/>
            <w:shd w:val="clear" w:color="auto" w:fill="C6EFCE"/>
            <w:noWrap/>
          </w:tcPr>
          <w:p w14:paraId="339AF66F" w14:textId="77777777" w:rsidR="00553430" w:rsidRDefault="00212577">
            <w:pPr>
              <w:pStyle w:val="P68B1DB1-Normal102"/>
              <w:spacing w:line="276" w:lineRule="auto"/>
              <w:jc w:val="center"/>
              <w:rPr>
                <w:noProof/>
              </w:rPr>
            </w:pPr>
            <w:r>
              <w:rPr>
                <w:noProof/>
              </w:rPr>
              <w:t>0</w:t>
            </w:r>
          </w:p>
        </w:tc>
        <w:tc>
          <w:tcPr>
            <w:tcW w:w="1441" w:type="dxa"/>
            <w:shd w:val="clear" w:color="auto" w:fill="C6EFCE"/>
            <w:noWrap/>
          </w:tcPr>
          <w:p w14:paraId="5AECE254" w14:textId="77777777" w:rsidR="00553430" w:rsidRDefault="00212577">
            <w:pPr>
              <w:pStyle w:val="P68B1DB1-Normal102"/>
              <w:spacing w:line="276" w:lineRule="auto"/>
              <w:jc w:val="center"/>
              <w:rPr>
                <w:noProof/>
              </w:rPr>
            </w:pPr>
            <w:r>
              <w:rPr>
                <w:noProof/>
              </w:rPr>
              <w:t>17 619 079</w:t>
            </w:r>
          </w:p>
        </w:tc>
        <w:tc>
          <w:tcPr>
            <w:tcW w:w="613" w:type="dxa"/>
            <w:shd w:val="clear" w:color="auto" w:fill="C6EFCE"/>
            <w:noWrap/>
          </w:tcPr>
          <w:p w14:paraId="4CB3A0D5" w14:textId="77777777" w:rsidR="00553430" w:rsidRDefault="00212577">
            <w:pPr>
              <w:pStyle w:val="P68B1DB1-Normal102"/>
              <w:spacing w:line="276" w:lineRule="auto"/>
              <w:jc w:val="center"/>
              <w:rPr>
                <w:noProof/>
              </w:rPr>
            </w:pPr>
            <w:r>
              <w:rPr>
                <w:noProof/>
              </w:rPr>
              <w:t>T1</w:t>
            </w:r>
          </w:p>
        </w:tc>
        <w:tc>
          <w:tcPr>
            <w:tcW w:w="992" w:type="dxa"/>
            <w:shd w:val="clear" w:color="auto" w:fill="C6EFCE"/>
            <w:noWrap/>
          </w:tcPr>
          <w:p w14:paraId="222DEFEF" w14:textId="77777777" w:rsidR="00553430" w:rsidRDefault="00212577">
            <w:pPr>
              <w:pStyle w:val="P68B1DB1-Normal102"/>
              <w:spacing w:line="276" w:lineRule="auto"/>
              <w:jc w:val="center"/>
              <w:rPr>
                <w:noProof/>
              </w:rPr>
            </w:pPr>
            <w:r>
              <w:rPr>
                <w:noProof/>
              </w:rPr>
              <w:t>2023</w:t>
            </w:r>
          </w:p>
        </w:tc>
        <w:tc>
          <w:tcPr>
            <w:tcW w:w="3979" w:type="dxa"/>
            <w:shd w:val="clear" w:color="auto" w:fill="C6EFCE"/>
            <w:noWrap/>
          </w:tcPr>
          <w:p w14:paraId="575A7485" w14:textId="77777777" w:rsidR="00553430" w:rsidRDefault="00212577">
            <w:pPr>
              <w:pStyle w:val="P68B1DB1-Normal102"/>
              <w:spacing w:line="276" w:lineRule="auto"/>
              <w:rPr>
                <w:noProof/>
              </w:rPr>
            </w:pPr>
            <w:r>
              <w:rPr>
                <w:noProof/>
              </w:rPr>
              <w:t>17 619 079 EUR ont é</w:t>
            </w:r>
            <w:r>
              <w:rPr>
                <w:noProof/>
              </w:rPr>
              <w:t>té attribués à des projets de recherche menés par des universités et des instituts de recherche ayant signé les conventions de programme. Les projets soutiennent des activités scientifiques et de recherche directes (projets de recherche) et sont fondés sur</w:t>
            </w:r>
            <w:r>
              <w:rPr>
                <w:noProof/>
              </w:rPr>
              <w:t xml:space="preserve"> des cahiers des charges publiés, avec des termes de référence comprenant des critères d’éligibilité qui garantissent que les projets sélectionnés sont conformes aux orientations techniques «Ne pas causer de préjudice important» (2021/C58/01) grâce à l’uti</w:t>
            </w:r>
            <w:r>
              <w:rPr>
                <w:noProof/>
              </w:rPr>
              <w:t>lisation d’une liste d’exclusion et à l’exigence de conformité avec la législation environnementale pertinente de l’UE et nationale.</w:t>
            </w:r>
          </w:p>
        </w:tc>
      </w:tr>
      <w:tr w:rsidR="00553430" w14:paraId="61DF1544" w14:textId="77777777">
        <w:trPr>
          <w:trHeight w:val="283"/>
          <w:jc w:val="center"/>
        </w:trPr>
        <w:tc>
          <w:tcPr>
            <w:tcW w:w="768" w:type="dxa"/>
            <w:shd w:val="clear" w:color="auto" w:fill="C6EFCE"/>
            <w:noWrap/>
          </w:tcPr>
          <w:p w14:paraId="40EF42B1" w14:textId="77777777" w:rsidR="00553430" w:rsidRDefault="00212577">
            <w:pPr>
              <w:pStyle w:val="P68B1DB1-Normal102"/>
              <w:spacing w:line="276" w:lineRule="auto"/>
              <w:jc w:val="center"/>
              <w:rPr>
                <w:noProof/>
              </w:rPr>
            </w:pPr>
            <w:r>
              <w:rPr>
                <w:noProof/>
              </w:rPr>
              <w:t>277</w:t>
            </w:r>
          </w:p>
        </w:tc>
        <w:tc>
          <w:tcPr>
            <w:tcW w:w="1637" w:type="dxa"/>
            <w:shd w:val="clear" w:color="auto" w:fill="C6EFCE"/>
            <w:noWrap/>
          </w:tcPr>
          <w:p w14:paraId="35DE472F" w14:textId="77777777" w:rsidR="00553430" w:rsidRDefault="00212577">
            <w:pPr>
              <w:pStyle w:val="P68B1DB1-Normal102"/>
              <w:spacing w:line="276" w:lineRule="auto"/>
              <w:jc w:val="center"/>
              <w:rPr>
                <w:noProof/>
              </w:rPr>
            </w:pPr>
            <w:r>
              <w:rPr>
                <w:noProof/>
              </w:rPr>
              <w:t>C3.2. R1-I1</w:t>
            </w:r>
          </w:p>
        </w:tc>
        <w:tc>
          <w:tcPr>
            <w:tcW w:w="1070" w:type="dxa"/>
            <w:shd w:val="clear" w:color="auto" w:fill="C6EFCE"/>
            <w:noWrap/>
          </w:tcPr>
          <w:p w14:paraId="2B5DA979" w14:textId="77777777" w:rsidR="00553430" w:rsidRDefault="00212577">
            <w:pPr>
              <w:pStyle w:val="P68B1DB1-Normal102"/>
              <w:spacing w:line="276" w:lineRule="auto"/>
              <w:jc w:val="center"/>
              <w:rPr>
                <w:noProof/>
              </w:rPr>
            </w:pPr>
            <w:r>
              <w:rPr>
                <w:noProof/>
              </w:rPr>
              <w:t>T</w:t>
            </w:r>
          </w:p>
        </w:tc>
        <w:tc>
          <w:tcPr>
            <w:tcW w:w="1799" w:type="dxa"/>
            <w:shd w:val="clear" w:color="auto" w:fill="C6EFCE"/>
            <w:noWrap/>
          </w:tcPr>
          <w:p w14:paraId="433B40CD" w14:textId="77777777" w:rsidR="00553430" w:rsidRDefault="00212577">
            <w:pPr>
              <w:pStyle w:val="P68B1DB1-Normal102"/>
              <w:spacing w:line="276" w:lineRule="auto"/>
              <w:rPr>
                <w:noProof/>
              </w:rPr>
            </w:pPr>
            <w:r>
              <w:rPr>
                <w:noProof/>
              </w:rPr>
              <w:t>Proportion d'universités ou d'instituts de recherche ayant signé des accords de programme</w:t>
            </w:r>
          </w:p>
        </w:tc>
        <w:tc>
          <w:tcPr>
            <w:tcW w:w="1462" w:type="dxa"/>
            <w:shd w:val="clear" w:color="auto" w:fill="C6EFCE"/>
            <w:noWrap/>
          </w:tcPr>
          <w:p w14:paraId="5331DB01" w14:textId="77777777" w:rsidR="00553430" w:rsidRDefault="00212577">
            <w:pPr>
              <w:pStyle w:val="P68B1DB1-Normal102"/>
              <w:spacing w:line="276" w:lineRule="auto"/>
              <w:rPr>
                <w:noProof/>
              </w:rPr>
            </w:pPr>
            <w:r>
              <w:rPr>
                <w:noProof/>
              </w:rPr>
              <w:t xml:space="preserve"> </w:t>
            </w:r>
          </w:p>
        </w:tc>
        <w:tc>
          <w:tcPr>
            <w:tcW w:w="1134" w:type="dxa"/>
            <w:shd w:val="clear" w:color="auto" w:fill="C6EFCE"/>
            <w:noWrap/>
          </w:tcPr>
          <w:p w14:paraId="3AAB89BC" w14:textId="77777777" w:rsidR="00553430" w:rsidRDefault="00212577">
            <w:pPr>
              <w:pStyle w:val="P68B1DB1-Normal102"/>
              <w:spacing w:line="276" w:lineRule="auto"/>
              <w:jc w:val="center"/>
              <w:rPr>
                <w:noProof/>
              </w:rPr>
            </w:pPr>
            <w:r>
              <w:rPr>
                <w:noProof/>
              </w:rPr>
              <w:t xml:space="preserve">% </w:t>
            </w:r>
            <w:r>
              <w:rPr>
                <w:noProof/>
              </w:rPr>
              <w:t>(pourcentage)</w:t>
            </w:r>
          </w:p>
        </w:tc>
        <w:tc>
          <w:tcPr>
            <w:tcW w:w="1006" w:type="dxa"/>
            <w:shd w:val="clear" w:color="auto" w:fill="C6EFCE"/>
            <w:noWrap/>
          </w:tcPr>
          <w:p w14:paraId="61CFB900" w14:textId="77777777" w:rsidR="00553430" w:rsidRDefault="00212577">
            <w:pPr>
              <w:pStyle w:val="P68B1DB1-Normal102"/>
              <w:spacing w:line="276" w:lineRule="auto"/>
              <w:jc w:val="center"/>
              <w:rPr>
                <w:noProof/>
              </w:rPr>
            </w:pPr>
            <w:r>
              <w:rPr>
                <w:noProof/>
              </w:rPr>
              <w:t>0</w:t>
            </w:r>
          </w:p>
          <w:p w14:paraId="78F92EAE" w14:textId="77777777" w:rsidR="00553430" w:rsidRDefault="00553430">
            <w:pPr>
              <w:spacing w:line="276" w:lineRule="auto"/>
              <w:rPr>
                <w:rFonts w:ascii="Times New Roman" w:hAnsi="Times New Roman" w:cs="Times New Roman"/>
                <w:noProof/>
                <w:sz w:val="20"/>
                <w:szCs w:val="20"/>
              </w:rPr>
            </w:pPr>
          </w:p>
          <w:p w14:paraId="0A80C8D1" w14:textId="77777777" w:rsidR="00553430" w:rsidRDefault="00553430">
            <w:pPr>
              <w:spacing w:line="276" w:lineRule="auto"/>
              <w:rPr>
                <w:rFonts w:ascii="Times New Roman" w:hAnsi="Times New Roman" w:cs="Times New Roman"/>
                <w:noProof/>
                <w:sz w:val="20"/>
                <w:szCs w:val="20"/>
              </w:rPr>
            </w:pPr>
          </w:p>
          <w:p w14:paraId="09A4BA4B" w14:textId="77777777" w:rsidR="00553430" w:rsidRDefault="00553430">
            <w:pPr>
              <w:spacing w:line="276" w:lineRule="auto"/>
              <w:rPr>
                <w:rFonts w:ascii="Times New Roman" w:hAnsi="Times New Roman" w:cs="Times New Roman"/>
                <w:noProof/>
                <w:sz w:val="20"/>
                <w:szCs w:val="20"/>
              </w:rPr>
            </w:pPr>
          </w:p>
        </w:tc>
        <w:tc>
          <w:tcPr>
            <w:tcW w:w="1441" w:type="dxa"/>
            <w:shd w:val="clear" w:color="auto" w:fill="C6EFCE"/>
            <w:noWrap/>
          </w:tcPr>
          <w:p w14:paraId="0F8B83D9" w14:textId="77777777" w:rsidR="00553430" w:rsidRDefault="00212577">
            <w:pPr>
              <w:pStyle w:val="P68B1DB1-Normal102"/>
              <w:spacing w:line="276" w:lineRule="auto"/>
              <w:jc w:val="center"/>
              <w:rPr>
                <w:noProof/>
              </w:rPr>
            </w:pPr>
            <w:r>
              <w:rPr>
                <w:noProof/>
              </w:rPr>
              <w:t>65</w:t>
            </w:r>
          </w:p>
        </w:tc>
        <w:tc>
          <w:tcPr>
            <w:tcW w:w="613" w:type="dxa"/>
            <w:shd w:val="clear" w:color="auto" w:fill="C6EFCE"/>
            <w:noWrap/>
          </w:tcPr>
          <w:p w14:paraId="764DE2F0" w14:textId="77777777" w:rsidR="00553430" w:rsidRDefault="00212577">
            <w:pPr>
              <w:pStyle w:val="P68B1DB1-Normal102"/>
              <w:spacing w:line="276" w:lineRule="auto"/>
              <w:jc w:val="center"/>
              <w:rPr>
                <w:noProof/>
              </w:rPr>
            </w:pPr>
            <w:r>
              <w:rPr>
                <w:noProof/>
              </w:rPr>
              <w:t>T3</w:t>
            </w:r>
          </w:p>
        </w:tc>
        <w:tc>
          <w:tcPr>
            <w:tcW w:w="992" w:type="dxa"/>
            <w:shd w:val="clear" w:color="auto" w:fill="C6EFCE"/>
            <w:noWrap/>
          </w:tcPr>
          <w:p w14:paraId="2507F97D" w14:textId="77777777" w:rsidR="00553430" w:rsidRDefault="00212577">
            <w:pPr>
              <w:pStyle w:val="P68B1DB1-Normal102"/>
              <w:spacing w:line="276" w:lineRule="auto"/>
              <w:jc w:val="center"/>
              <w:rPr>
                <w:noProof/>
              </w:rPr>
            </w:pPr>
            <w:r>
              <w:rPr>
                <w:noProof/>
              </w:rPr>
              <w:t>2024</w:t>
            </w:r>
          </w:p>
        </w:tc>
        <w:tc>
          <w:tcPr>
            <w:tcW w:w="3979" w:type="dxa"/>
            <w:shd w:val="clear" w:color="auto" w:fill="C6EFCE"/>
            <w:noWrap/>
          </w:tcPr>
          <w:p w14:paraId="3DFB0441" w14:textId="77777777" w:rsidR="00553430" w:rsidRDefault="00212577">
            <w:pPr>
              <w:pStyle w:val="P68B1DB1-Normal102"/>
              <w:spacing w:line="276" w:lineRule="auto"/>
              <w:rPr>
                <w:noProof/>
                <w:color w:val="000000" w:themeColor="text1"/>
              </w:rPr>
            </w:pPr>
            <w:r>
              <w:rPr>
                <w:noProof/>
              </w:rPr>
              <w:t>Au moins 65 % des universités et instituts scientifiques publics ont signé de nouveaux accords de programme conformément aux dispositions de la nouvelle loi sur l'activité scientifique et l'enseignement supérieur, qui instaure</w:t>
            </w:r>
            <w:r>
              <w:rPr>
                <w:noProof/>
              </w:rPr>
              <w:t xml:space="preserve"> un système d'objectifs de financement fondé sur les performances pour les organisations scientifiques publiques.</w:t>
            </w:r>
          </w:p>
        </w:tc>
      </w:tr>
      <w:tr w:rsidR="00553430" w14:paraId="2EDB0865" w14:textId="77777777">
        <w:trPr>
          <w:trHeight w:val="283"/>
          <w:jc w:val="center"/>
        </w:trPr>
        <w:tc>
          <w:tcPr>
            <w:tcW w:w="768" w:type="dxa"/>
            <w:shd w:val="clear" w:color="auto" w:fill="C6EFCE"/>
            <w:noWrap/>
          </w:tcPr>
          <w:p w14:paraId="463FC1DF" w14:textId="77777777" w:rsidR="00553430" w:rsidRDefault="00212577">
            <w:pPr>
              <w:pStyle w:val="P68B1DB1-Normal102"/>
              <w:spacing w:line="276" w:lineRule="auto"/>
              <w:jc w:val="center"/>
              <w:rPr>
                <w:noProof/>
              </w:rPr>
            </w:pPr>
            <w:r>
              <w:rPr>
                <w:noProof/>
              </w:rPr>
              <w:t>278</w:t>
            </w:r>
          </w:p>
        </w:tc>
        <w:tc>
          <w:tcPr>
            <w:tcW w:w="1637" w:type="dxa"/>
            <w:shd w:val="clear" w:color="auto" w:fill="C6EFCE"/>
            <w:noWrap/>
          </w:tcPr>
          <w:p w14:paraId="16FD5EA2" w14:textId="77777777" w:rsidR="00553430" w:rsidRDefault="00212577">
            <w:pPr>
              <w:pStyle w:val="P68B1DB1-Normal102"/>
              <w:spacing w:line="276" w:lineRule="auto"/>
              <w:jc w:val="center"/>
              <w:rPr>
                <w:noProof/>
              </w:rPr>
            </w:pPr>
            <w:r>
              <w:rPr>
                <w:noProof/>
              </w:rPr>
              <w:t>C3.2. R1-I1</w:t>
            </w:r>
          </w:p>
        </w:tc>
        <w:tc>
          <w:tcPr>
            <w:tcW w:w="1070" w:type="dxa"/>
            <w:shd w:val="clear" w:color="auto" w:fill="C6EFCE"/>
            <w:noWrap/>
          </w:tcPr>
          <w:p w14:paraId="11241F6E" w14:textId="77777777" w:rsidR="00553430" w:rsidRDefault="00212577">
            <w:pPr>
              <w:pStyle w:val="P68B1DB1-Normal102"/>
              <w:spacing w:line="276" w:lineRule="auto"/>
              <w:jc w:val="center"/>
              <w:rPr>
                <w:noProof/>
              </w:rPr>
            </w:pPr>
            <w:r>
              <w:rPr>
                <w:noProof/>
              </w:rPr>
              <w:t>T</w:t>
            </w:r>
          </w:p>
        </w:tc>
        <w:tc>
          <w:tcPr>
            <w:tcW w:w="1799" w:type="dxa"/>
            <w:shd w:val="clear" w:color="auto" w:fill="C6EFCE"/>
            <w:noWrap/>
          </w:tcPr>
          <w:p w14:paraId="31D689BE" w14:textId="77777777" w:rsidR="00553430" w:rsidRDefault="00212577">
            <w:pPr>
              <w:pStyle w:val="P68B1DB1-Normal102"/>
              <w:spacing w:line="276" w:lineRule="auto"/>
              <w:rPr>
                <w:noProof/>
              </w:rPr>
            </w:pPr>
            <w:r>
              <w:rPr>
                <w:noProof/>
              </w:rPr>
              <w:t xml:space="preserve">Projets de recherche achevés, dans le domaine «vert», par des organisations scientifiques ayant signé de nouveaux accords </w:t>
            </w:r>
            <w:r>
              <w:rPr>
                <w:noProof/>
              </w:rPr>
              <w:t>de programme</w:t>
            </w:r>
          </w:p>
        </w:tc>
        <w:tc>
          <w:tcPr>
            <w:tcW w:w="1462" w:type="dxa"/>
            <w:shd w:val="clear" w:color="auto" w:fill="C6EFCE"/>
            <w:noWrap/>
          </w:tcPr>
          <w:p w14:paraId="0E6EFC24" w14:textId="77777777" w:rsidR="00553430" w:rsidRDefault="00212577">
            <w:pPr>
              <w:pStyle w:val="P68B1DB1-Normal102"/>
              <w:spacing w:line="276" w:lineRule="auto"/>
              <w:rPr>
                <w:noProof/>
              </w:rPr>
            </w:pPr>
            <w:r>
              <w:rPr>
                <w:noProof/>
              </w:rPr>
              <w:t> </w:t>
            </w:r>
          </w:p>
        </w:tc>
        <w:tc>
          <w:tcPr>
            <w:tcW w:w="1134" w:type="dxa"/>
            <w:shd w:val="clear" w:color="auto" w:fill="C6EFCE"/>
            <w:noWrap/>
          </w:tcPr>
          <w:p w14:paraId="52CBBACF" w14:textId="77777777" w:rsidR="00553430" w:rsidRDefault="00212577">
            <w:pPr>
              <w:pStyle w:val="P68B1DB1-Normal102"/>
              <w:spacing w:line="276" w:lineRule="auto"/>
              <w:jc w:val="center"/>
              <w:rPr>
                <w:noProof/>
              </w:rPr>
            </w:pPr>
            <w:r>
              <w:rPr>
                <w:noProof/>
              </w:rPr>
              <w:t>Numéro</w:t>
            </w:r>
            <w:r>
              <w:rPr>
                <w:noProof/>
              </w:rPr>
              <w:br/>
            </w:r>
            <w:r>
              <w:rPr>
                <w:noProof/>
              </w:rPr>
              <w:br/>
            </w:r>
            <w:r>
              <w:rPr>
                <w:noProof/>
              </w:rPr>
              <w:br/>
            </w:r>
          </w:p>
        </w:tc>
        <w:tc>
          <w:tcPr>
            <w:tcW w:w="1006" w:type="dxa"/>
            <w:shd w:val="clear" w:color="auto" w:fill="C6EFCE"/>
            <w:noWrap/>
          </w:tcPr>
          <w:p w14:paraId="6CCA66D8" w14:textId="77777777" w:rsidR="00553430" w:rsidRDefault="00212577">
            <w:pPr>
              <w:pStyle w:val="P68B1DB1-Normal102"/>
              <w:spacing w:line="276" w:lineRule="auto"/>
              <w:jc w:val="center"/>
              <w:rPr>
                <w:noProof/>
              </w:rPr>
            </w:pPr>
            <w:r>
              <w:rPr>
                <w:noProof/>
              </w:rPr>
              <w:t>0</w:t>
            </w:r>
          </w:p>
        </w:tc>
        <w:tc>
          <w:tcPr>
            <w:tcW w:w="1441" w:type="dxa"/>
            <w:shd w:val="clear" w:color="auto" w:fill="C6EFCE"/>
            <w:noWrap/>
          </w:tcPr>
          <w:p w14:paraId="2BD86FE5" w14:textId="77777777" w:rsidR="00553430" w:rsidRDefault="00212577">
            <w:pPr>
              <w:pStyle w:val="P68B1DB1-Normal102"/>
              <w:spacing w:line="276" w:lineRule="auto"/>
              <w:jc w:val="center"/>
              <w:rPr>
                <w:noProof/>
              </w:rPr>
            </w:pPr>
            <w:r>
              <w:rPr>
                <w:noProof/>
              </w:rPr>
              <w:t>8</w:t>
            </w:r>
          </w:p>
        </w:tc>
        <w:tc>
          <w:tcPr>
            <w:tcW w:w="613" w:type="dxa"/>
            <w:shd w:val="clear" w:color="auto" w:fill="C6EFCE"/>
            <w:noWrap/>
          </w:tcPr>
          <w:p w14:paraId="29496EBF" w14:textId="77777777" w:rsidR="00553430" w:rsidRDefault="00212577">
            <w:pPr>
              <w:pStyle w:val="P68B1DB1-Normal102"/>
              <w:spacing w:line="276" w:lineRule="auto"/>
              <w:jc w:val="center"/>
              <w:rPr>
                <w:noProof/>
              </w:rPr>
            </w:pPr>
            <w:r>
              <w:rPr>
                <w:noProof/>
              </w:rPr>
              <w:t>T1</w:t>
            </w:r>
          </w:p>
        </w:tc>
        <w:tc>
          <w:tcPr>
            <w:tcW w:w="992" w:type="dxa"/>
            <w:shd w:val="clear" w:color="auto" w:fill="C6EFCE"/>
            <w:noWrap/>
          </w:tcPr>
          <w:p w14:paraId="012A64F7" w14:textId="77777777" w:rsidR="00553430" w:rsidRDefault="00212577">
            <w:pPr>
              <w:pStyle w:val="P68B1DB1-Normal102"/>
              <w:spacing w:line="276" w:lineRule="auto"/>
              <w:jc w:val="center"/>
              <w:rPr>
                <w:noProof/>
              </w:rPr>
            </w:pPr>
            <w:r>
              <w:rPr>
                <w:noProof/>
              </w:rPr>
              <w:t>2026</w:t>
            </w:r>
          </w:p>
        </w:tc>
        <w:tc>
          <w:tcPr>
            <w:tcW w:w="3979" w:type="dxa"/>
            <w:shd w:val="clear" w:color="auto" w:fill="C6EFCE"/>
            <w:noWrap/>
          </w:tcPr>
          <w:p w14:paraId="52700776" w14:textId="530BDE6D" w:rsidR="00553430" w:rsidRDefault="00212577">
            <w:pPr>
              <w:pStyle w:val="P68B1DB1-Normal102"/>
              <w:spacing w:line="276" w:lineRule="auto"/>
              <w:rPr>
                <w:noProof/>
              </w:rPr>
            </w:pPr>
            <w:r>
              <w:rPr>
                <w:noProof/>
              </w:rPr>
              <w:t>Au moins huit projets de recherche soutenant la transition écologique, menés par des organisations scientifiques qui ont signé les nouveaux accords de programme, ont été achevés sur la base d’un appel à projets fondé su</w:t>
            </w:r>
            <w:r>
              <w:rPr>
                <w:noProof/>
              </w:rPr>
              <w:t xml:space="preserve">r un cahier des charges publié. </w:t>
            </w:r>
          </w:p>
        </w:tc>
      </w:tr>
      <w:tr w:rsidR="00553430" w14:paraId="685B18D8" w14:textId="77777777">
        <w:trPr>
          <w:trHeight w:val="283"/>
          <w:jc w:val="center"/>
        </w:trPr>
        <w:tc>
          <w:tcPr>
            <w:tcW w:w="768" w:type="dxa"/>
            <w:shd w:val="clear" w:color="auto" w:fill="C6EFCE"/>
            <w:noWrap/>
          </w:tcPr>
          <w:p w14:paraId="23DDD76C" w14:textId="77777777" w:rsidR="00553430" w:rsidRDefault="00212577">
            <w:pPr>
              <w:pStyle w:val="P68B1DB1-Normal102"/>
              <w:spacing w:after="0" w:line="276" w:lineRule="auto"/>
              <w:jc w:val="center"/>
              <w:rPr>
                <w:noProof/>
              </w:rPr>
            </w:pPr>
            <w:r>
              <w:rPr>
                <w:noProof/>
              </w:rPr>
              <w:t>279</w:t>
            </w:r>
          </w:p>
        </w:tc>
        <w:tc>
          <w:tcPr>
            <w:tcW w:w="1637" w:type="dxa"/>
            <w:shd w:val="clear" w:color="auto" w:fill="C6EFCE"/>
            <w:noWrap/>
          </w:tcPr>
          <w:p w14:paraId="109DFDB7" w14:textId="77777777" w:rsidR="00553430" w:rsidRDefault="00212577">
            <w:pPr>
              <w:pStyle w:val="P68B1DB1-Normal102"/>
              <w:spacing w:line="276" w:lineRule="auto"/>
              <w:jc w:val="center"/>
              <w:rPr>
                <w:noProof/>
              </w:rPr>
            </w:pPr>
            <w:r>
              <w:rPr>
                <w:noProof/>
              </w:rPr>
              <w:t>C3.2. R1-I1</w:t>
            </w:r>
          </w:p>
        </w:tc>
        <w:tc>
          <w:tcPr>
            <w:tcW w:w="1070" w:type="dxa"/>
            <w:shd w:val="clear" w:color="auto" w:fill="C6EFCE"/>
            <w:noWrap/>
          </w:tcPr>
          <w:p w14:paraId="181B00CB" w14:textId="77777777" w:rsidR="00553430" w:rsidRDefault="00212577">
            <w:pPr>
              <w:pStyle w:val="P68B1DB1-Normal102"/>
              <w:spacing w:line="276" w:lineRule="auto"/>
              <w:jc w:val="center"/>
              <w:rPr>
                <w:noProof/>
              </w:rPr>
            </w:pPr>
            <w:r>
              <w:rPr>
                <w:noProof/>
              </w:rPr>
              <w:t>T</w:t>
            </w:r>
          </w:p>
        </w:tc>
        <w:tc>
          <w:tcPr>
            <w:tcW w:w="1799" w:type="dxa"/>
            <w:shd w:val="clear" w:color="auto" w:fill="C6EFCE"/>
            <w:noWrap/>
          </w:tcPr>
          <w:p w14:paraId="5EFA1EC5" w14:textId="46DDFE1D" w:rsidR="00553430" w:rsidRDefault="00212577">
            <w:pPr>
              <w:pStyle w:val="P68B1DB1-Normal102"/>
              <w:spacing w:line="276" w:lineRule="auto"/>
              <w:rPr>
                <w:noProof/>
              </w:rPr>
            </w:pPr>
            <w:r>
              <w:rPr>
                <w:noProof/>
              </w:rPr>
              <w:t>Financement alloué à des projets de recherche sur la base d'appels internes d'organismes de recherche</w:t>
            </w:r>
          </w:p>
        </w:tc>
        <w:tc>
          <w:tcPr>
            <w:tcW w:w="1462" w:type="dxa"/>
            <w:shd w:val="clear" w:color="auto" w:fill="C6EFCE"/>
            <w:noWrap/>
          </w:tcPr>
          <w:p w14:paraId="3C7B6028" w14:textId="77777777" w:rsidR="00553430" w:rsidRDefault="00212577">
            <w:pPr>
              <w:pStyle w:val="P68B1DB1-Normal102"/>
              <w:spacing w:line="276" w:lineRule="auto"/>
              <w:rPr>
                <w:noProof/>
              </w:rPr>
            </w:pPr>
            <w:r>
              <w:rPr>
                <w:noProof/>
              </w:rPr>
              <w:t> </w:t>
            </w:r>
          </w:p>
        </w:tc>
        <w:tc>
          <w:tcPr>
            <w:tcW w:w="1134" w:type="dxa"/>
            <w:shd w:val="clear" w:color="auto" w:fill="C6EFCE"/>
            <w:noWrap/>
          </w:tcPr>
          <w:p w14:paraId="6424AA48" w14:textId="77777777" w:rsidR="00553430" w:rsidRDefault="00212577">
            <w:pPr>
              <w:pStyle w:val="P68B1DB1-Normal102"/>
              <w:spacing w:line="276" w:lineRule="auto"/>
              <w:jc w:val="center"/>
              <w:rPr>
                <w:noProof/>
              </w:rPr>
            </w:pPr>
            <w:r>
              <w:rPr>
                <w:noProof/>
              </w:rPr>
              <w:t>Numéro (montant)</w:t>
            </w:r>
          </w:p>
        </w:tc>
        <w:tc>
          <w:tcPr>
            <w:tcW w:w="1006" w:type="dxa"/>
            <w:shd w:val="clear" w:color="auto" w:fill="C6EFCE"/>
            <w:noWrap/>
          </w:tcPr>
          <w:p w14:paraId="6DA57E7F" w14:textId="77777777" w:rsidR="00553430" w:rsidRDefault="00212577">
            <w:pPr>
              <w:pStyle w:val="P68B1DB1-Normal102"/>
              <w:spacing w:line="276" w:lineRule="auto"/>
              <w:jc w:val="center"/>
              <w:rPr>
                <w:noProof/>
                <w:color w:val="000000" w:themeColor="text1"/>
              </w:rPr>
            </w:pPr>
            <w:r>
              <w:rPr>
                <w:noProof/>
              </w:rPr>
              <w:t> 17 619 079</w:t>
            </w:r>
          </w:p>
        </w:tc>
        <w:tc>
          <w:tcPr>
            <w:tcW w:w="1441" w:type="dxa"/>
            <w:shd w:val="clear" w:color="auto" w:fill="C6EFCE"/>
            <w:noWrap/>
          </w:tcPr>
          <w:p w14:paraId="00F2AF06" w14:textId="77777777" w:rsidR="00553430" w:rsidRDefault="00212577">
            <w:pPr>
              <w:pStyle w:val="P68B1DB1-Normal102"/>
              <w:spacing w:line="276" w:lineRule="auto"/>
              <w:jc w:val="center"/>
              <w:rPr>
                <w:noProof/>
              </w:rPr>
            </w:pPr>
            <w:r>
              <w:rPr>
                <w:noProof/>
              </w:rPr>
              <w:t xml:space="preserve">121 109 984 </w:t>
            </w:r>
          </w:p>
        </w:tc>
        <w:tc>
          <w:tcPr>
            <w:tcW w:w="613" w:type="dxa"/>
            <w:shd w:val="clear" w:color="auto" w:fill="C6EFCE"/>
            <w:noWrap/>
          </w:tcPr>
          <w:p w14:paraId="79312768" w14:textId="77777777" w:rsidR="00553430" w:rsidRDefault="00212577">
            <w:pPr>
              <w:pStyle w:val="P68B1DB1-Normal102"/>
              <w:spacing w:line="276" w:lineRule="auto"/>
              <w:jc w:val="center"/>
              <w:rPr>
                <w:noProof/>
              </w:rPr>
            </w:pPr>
            <w:r>
              <w:rPr>
                <w:noProof/>
              </w:rPr>
              <w:t>T1</w:t>
            </w:r>
          </w:p>
        </w:tc>
        <w:tc>
          <w:tcPr>
            <w:tcW w:w="992" w:type="dxa"/>
            <w:shd w:val="clear" w:color="auto" w:fill="C6EFCE"/>
            <w:noWrap/>
          </w:tcPr>
          <w:p w14:paraId="6DC1C3C1" w14:textId="77777777" w:rsidR="00553430" w:rsidRDefault="00212577">
            <w:pPr>
              <w:pStyle w:val="P68B1DB1-Normal102"/>
              <w:spacing w:line="276" w:lineRule="auto"/>
              <w:jc w:val="center"/>
              <w:rPr>
                <w:noProof/>
              </w:rPr>
            </w:pPr>
            <w:r>
              <w:rPr>
                <w:noProof/>
              </w:rPr>
              <w:t>2026</w:t>
            </w:r>
          </w:p>
        </w:tc>
        <w:tc>
          <w:tcPr>
            <w:tcW w:w="3979" w:type="dxa"/>
            <w:shd w:val="clear" w:color="auto" w:fill="C6EFCE"/>
            <w:noWrap/>
          </w:tcPr>
          <w:p w14:paraId="3D7FBBF9" w14:textId="7F83FE29" w:rsidR="00553430" w:rsidRDefault="00212577">
            <w:pPr>
              <w:pStyle w:val="P68B1DB1-Normal102"/>
              <w:spacing w:line="276" w:lineRule="auto"/>
              <w:rPr>
                <w:noProof/>
              </w:rPr>
            </w:pPr>
            <w:r>
              <w:rPr>
                <w:noProof/>
              </w:rPr>
              <w:t xml:space="preserve">Au moins 103 490 905 EUR supplémentaires ont été </w:t>
            </w:r>
            <w:r>
              <w:rPr>
                <w:noProof/>
              </w:rPr>
              <w:t>attribués à des projets de recherche menés par des universités et des instituts de recherche ayant signé les conventions de programme. Les projets soutiennent des activités scientifiques et de recherche directes (projets de recherche) et sont fondés sur un</w:t>
            </w:r>
            <w:r>
              <w:rPr>
                <w:noProof/>
              </w:rPr>
              <w:t xml:space="preserve"> cahier des charges publié.</w:t>
            </w:r>
          </w:p>
        </w:tc>
      </w:tr>
      <w:tr w:rsidR="00553430" w14:paraId="7BFC2208" w14:textId="77777777">
        <w:trPr>
          <w:trHeight w:val="283"/>
          <w:jc w:val="center"/>
        </w:trPr>
        <w:tc>
          <w:tcPr>
            <w:tcW w:w="768" w:type="dxa"/>
            <w:shd w:val="clear" w:color="auto" w:fill="C6EFCE"/>
            <w:noWrap/>
          </w:tcPr>
          <w:p w14:paraId="09D50B10" w14:textId="77777777" w:rsidR="00553430" w:rsidRDefault="00212577">
            <w:pPr>
              <w:pStyle w:val="P68B1DB1-Normal102"/>
              <w:spacing w:line="276" w:lineRule="auto"/>
              <w:jc w:val="center"/>
              <w:rPr>
                <w:noProof/>
              </w:rPr>
            </w:pPr>
            <w:r>
              <w:rPr>
                <w:noProof/>
              </w:rPr>
              <w:t>280</w:t>
            </w:r>
          </w:p>
        </w:tc>
        <w:tc>
          <w:tcPr>
            <w:tcW w:w="1637" w:type="dxa"/>
            <w:shd w:val="clear" w:color="auto" w:fill="C6EFCE"/>
            <w:noWrap/>
          </w:tcPr>
          <w:p w14:paraId="4D160A34" w14:textId="77777777" w:rsidR="00553430" w:rsidRDefault="00212577">
            <w:pPr>
              <w:pStyle w:val="P68B1DB1-Normal102"/>
              <w:spacing w:line="276" w:lineRule="auto"/>
              <w:jc w:val="center"/>
              <w:rPr>
                <w:noProof/>
              </w:rPr>
            </w:pPr>
            <w:r>
              <w:rPr>
                <w:noProof/>
              </w:rPr>
              <w:t>C3.2. R1-I1</w:t>
            </w:r>
          </w:p>
        </w:tc>
        <w:tc>
          <w:tcPr>
            <w:tcW w:w="1070" w:type="dxa"/>
            <w:shd w:val="clear" w:color="auto" w:fill="C6EFCE"/>
            <w:noWrap/>
          </w:tcPr>
          <w:p w14:paraId="619238DE" w14:textId="77777777" w:rsidR="00553430" w:rsidRDefault="00212577">
            <w:pPr>
              <w:pStyle w:val="P68B1DB1-Normal102"/>
              <w:spacing w:line="276" w:lineRule="auto"/>
              <w:jc w:val="center"/>
              <w:rPr>
                <w:noProof/>
              </w:rPr>
            </w:pPr>
            <w:r>
              <w:rPr>
                <w:noProof/>
              </w:rPr>
              <w:t>T</w:t>
            </w:r>
          </w:p>
        </w:tc>
        <w:tc>
          <w:tcPr>
            <w:tcW w:w="1799" w:type="dxa"/>
            <w:shd w:val="clear" w:color="auto" w:fill="C6EFCE"/>
            <w:noWrap/>
          </w:tcPr>
          <w:p w14:paraId="419C7D88" w14:textId="77777777" w:rsidR="00553430" w:rsidRDefault="00212577">
            <w:pPr>
              <w:pStyle w:val="P68B1DB1-Normal102"/>
              <w:spacing w:line="276" w:lineRule="auto"/>
              <w:rPr>
                <w:noProof/>
              </w:rPr>
            </w:pPr>
            <w:r>
              <w:rPr>
                <w:noProof/>
              </w:rPr>
              <w:t xml:space="preserve">Réorganisation des établissements d'enseignement supérieur et des instituts scientifiques </w:t>
            </w:r>
          </w:p>
        </w:tc>
        <w:tc>
          <w:tcPr>
            <w:tcW w:w="1462" w:type="dxa"/>
            <w:shd w:val="clear" w:color="auto" w:fill="C6EFCE"/>
            <w:noWrap/>
          </w:tcPr>
          <w:p w14:paraId="2B889EED" w14:textId="77777777" w:rsidR="00553430" w:rsidRDefault="00212577">
            <w:pPr>
              <w:pStyle w:val="P68B1DB1-Normal102"/>
              <w:spacing w:line="276" w:lineRule="auto"/>
              <w:rPr>
                <w:noProof/>
              </w:rPr>
            </w:pPr>
            <w:r>
              <w:rPr>
                <w:noProof/>
              </w:rPr>
              <w:t xml:space="preserve"> </w:t>
            </w:r>
          </w:p>
        </w:tc>
        <w:tc>
          <w:tcPr>
            <w:tcW w:w="1134" w:type="dxa"/>
            <w:shd w:val="clear" w:color="auto" w:fill="C6EFCE"/>
            <w:noWrap/>
          </w:tcPr>
          <w:p w14:paraId="3345BFBE" w14:textId="77777777" w:rsidR="00553430" w:rsidRDefault="00212577">
            <w:pPr>
              <w:pStyle w:val="P68B1DB1-Normal102"/>
              <w:spacing w:line="276" w:lineRule="auto"/>
              <w:jc w:val="center"/>
              <w:rPr>
                <w:noProof/>
              </w:rPr>
            </w:pPr>
            <w:r>
              <w:rPr>
                <w:noProof/>
              </w:rPr>
              <w:t>Numéro</w:t>
            </w:r>
          </w:p>
        </w:tc>
        <w:tc>
          <w:tcPr>
            <w:tcW w:w="1006" w:type="dxa"/>
            <w:shd w:val="clear" w:color="auto" w:fill="C6EFCE"/>
            <w:noWrap/>
          </w:tcPr>
          <w:p w14:paraId="15D9A71B" w14:textId="77777777" w:rsidR="00553430" w:rsidRDefault="00212577">
            <w:pPr>
              <w:pStyle w:val="P68B1DB1-Normal102"/>
              <w:spacing w:line="276" w:lineRule="auto"/>
              <w:jc w:val="center"/>
              <w:rPr>
                <w:noProof/>
              </w:rPr>
            </w:pPr>
            <w:r>
              <w:rPr>
                <w:noProof/>
              </w:rPr>
              <w:t>0</w:t>
            </w:r>
          </w:p>
        </w:tc>
        <w:tc>
          <w:tcPr>
            <w:tcW w:w="1441" w:type="dxa"/>
            <w:shd w:val="clear" w:color="auto" w:fill="C6EFCE"/>
            <w:noWrap/>
          </w:tcPr>
          <w:p w14:paraId="59EC6A6F" w14:textId="77777777" w:rsidR="00553430" w:rsidRDefault="00212577">
            <w:pPr>
              <w:pStyle w:val="P68B1DB1-Normal102"/>
              <w:spacing w:line="276" w:lineRule="auto"/>
              <w:jc w:val="center"/>
              <w:rPr>
                <w:noProof/>
              </w:rPr>
            </w:pPr>
            <w:r>
              <w:rPr>
                <w:noProof/>
              </w:rPr>
              <w:t>6</w:t>
            </w:r>
          </w:p>
        </w:tc>
        <w:tc>
          <w:tcPr>
            <w:tcW w:w="613" w:type="dxa"/>
            <w:shd w:val="clear" w:color="auto" w:fill="C6EFCE"/>
            <w:noWrap/>
          </w:tcPr>
          <w:p w14:paraId="5DBC03EE" w14:textId="77777777" w:rsidR="00553430" w:rsidRDefault="00212577">
            <w:pPr>
              <w:pStyle w:val="P68B1DB1-Normal102"/>
              <w:spacing w:line="276" w:lineRule="auto"/>
              <w:jc w:val="center"/>
              <w:rPr>
                <w:noProof/>
              </w:rPr>
            </w:pPr>
            <w:r>
              <w:rPr>
                <w:noProof/>
              </w:rPr>
              <w:t>T4</w:t>
            </w:r>
          </w:p>
        </w:tc>
        <w:tc>
          <w:tcPr>
            <w:tcW w:w="992" w:type="dxa"/>
            <w:shd w:val="clear" w:color="auto" w:fill="C6EFCE"/>
            <w:noWrap/>
          </w:tcPr>
          <w:p w14:paraId="10EFB8FA" w14:textId="77777777" w:rsidR="00553430" w:rsidRDefault="00212577">
            <w:pPr>
              <w:pStyle w:val="P68B1DB1-Normal102"/>
              <w:spacing w:line="276" w:lineRule="auto"/>
              <w:jc w:val="center"/>
              <w:rPr>
                <w:noProof/>
              </w:rPr>
            </w:pPr>
            <w:r>
              <w:rPr>
                <w:noProof/>
              </w:rPr>
              <w:t>2025</w:t>
            </w:r>
          </w:p>
        </w:tc>
        <w:tc>
          <w:tcPr>
            <w:tcW w:w="3979" w:type="dxa"/>
            <w:shd w:val="clear" w:color="auto" w:fill="C6EFCE"/>
            <w:noWrap/>
          </w:tcPr>
          <w:p w14:paraId="5797F76E" w14:textId="77777777" w:rsidR="00553430" w:rsidRDefault="00212577">
            <w:pPr>
              <w:pStyle w:val="P68B1DB1-Normal102"/>
              <w:spacing w:line="276" w:lineRule="auto"/>
              <w:rPr>
                <w:noProof/>
              </w:rPr>
            </w:pPr>
            <w:r>
              <w:rPr>
                <w:noProof/>
              </w:rPr>
              <w:t xml:space="preserve">Sur la base du modèle de réorganisation des établissements d’enseignement supérieur et des </w:t>
            </w:r>
            <w:r>
              <w:rPr>
                <w:noProof/>
              </w:rPr>
              <w:t>instituts scientifiques élaboré par des experts externes indépendants et adopté par le ministère des sciences, de l’éducation et de la jeunesse en dialogue avec le monde universitaire et les partenaires sociaux, au moins six (6) réorganisations d’établisse</w:t>
            </w:r>
            <w:r>
              <w:rPr>
                <w:noProof/>
              </w:rPr>
              <w:t xml:space="preserve">ments d’enseignement supérieur et d’instituts scientifiques impliquant au moins douze (12) établissements d’enseignement supérieur et instituts scientifiques sont finalisées. </w:t>
            </w:r>
          </w:p>
        </w:tc>
      </w:tr>
      <w:tr w:rsidR="00553430" w14:paraId="2EB346DA" w14:textId="77777777">
        <w:trPr>
          <w:trHeight w:val="283"/>
          <w:jc w:val="center"/>
        </w:trPr>
        <w:tc>
          <w:tcPr>
            <w:tcW w:w="768" w:type="dxa"/>
            <w:shd w:val="clear" w:color="auto" w:fill="C6EFCE"/>
            <w:noWrap/>
          </w:tcPr>
          <w:p w14:paraId="12B27C67" w14:textId="77777777" w:rsidR="00553430" w:rsidRDefault="00212577">
            <w:pPr>
              <w:pStyle w:val="P68B1DB1-Normal102"/>
              <w:spacing w:line="276" w:lineRule="auto"/>
              <w:jc w:val="center"/>
              <w:rPr>
                <w:noProof/>
              </w:rPr>
            </w:pPr>
            <w:r>
              <w:rPr>
                <w:noProof/>
              </w:rPr>
              <w:t>281</w:t>
            </w:r>
          </w:p>
        </w:tc>
        <w:tc>
          <w:tcPr>
            <w:tcW w:w="1637" w:type="dxa"/>
            <w:shd w:val="clear" w:color="auto" w:fill="C6EFCE"/>
            <w:noWrap/>
          </w:tcPr>
          <w:p w14:paraId="645B39AE" w14:textId="77777777" w:rsidR="00553430" w:rsidRDefault="00212577">
            <w:pPr>
              <w:pStyle w:val="P68B1DB1-Normal102"/>
              <w:spacing w:line="276" w:lineRule="auto"/>
              <w:jc w:val="center"/>
              <w:rPr>
                <w:noProof/>
              </w:rPr>
            </w:pPr>
            <w:r>
              <w:rPr>
                <w:noProof/>
              </w:rPr>
              <w:t>C3.2. R2</w:t>
            </w:r>
          </w:p>
        </w:tc>
        <w:tc>
          <w:tcPr>
            <w:tcW w:w="1070" w:type="dxa"/>
            <w:shd w:val="clear" w:color="auto" w:fill="C6EFCE"/>
            <w:noWrap/>
          </w:tcPr>
          <w:p w14:paraId="1AC0C63E" w14:textId="77777777" w:rsidR="00553430" w:rsidRDefault="00212577">
            <w:pPr>
              <w:pStyle w:val="P68B1DB1-Normal102"/>
              <w:spacing w:line="276" w:lineRule="auto"/>
              <w:jc w:val="center"/>
              <w:rPr>
                <w:noProof/>
              </w:rPr>
            </w:pPr>
            <w:r>
              <w:rPr>
                <w:noProof/>
              </w:rPr>
              <w:t>M</w:t>
            </w:r>
          </w:p>
        </w:tc>
        <w:tc>
          <w:tcPr>
            <w:tcW w:w="1799" w:type="dxa"/>
            <w:shd w:val="clear" w:color="auto" w:fill="C6EFCE"/>
            <w:noWrap/>
          </w:tcPr>
          <w:p w14:paraId="7081FFED" w14:textId="77777777" w:rsidR="00553430" w:rsidRDefault="00212577">
            <w:pPr>
              <w:pStyle w:val="P68B1DB1-Normal102"/>
              <w:spacing w:line="276" w:lineRule="auto"/>
              <w:rPr>
                <w:noProof/>
              </w:rPr>
            </w:pPr>
            <w:r>
              <w:rPr>
                <w:noProof/>
              </w:rPr>
              <w:t xml:space="preserve">Nouveau cadre juridique régissant les exigences de qualité pour les programmes d'études, les études doctorales et les conditions de travail des institutions scientifiques </w:t>
            </w:r>
          </w:p>
        </w:tc>
        <w:tc>
          <w:tcPr>
            <w:tcW w:w="1462" w:type="dxa"/>
            <w:shd w:val="clear" w:color="auto" w:fill="C6EFCE"/>
            <w:noWrap/>
          </w:tcPr>
          <w:p w14:paraId="46442B45" w14:textId="77777777" w:rsidR="00553430" w:rsidRDefault="00212577">
            <w:pPr>
              <w:pStyle w:val="P68B1DB1-Normal102"/>
              <w:spacing w:line="276" w:lineRule="auto"/>
              <w:rPr>
                <w:noProof/>
              </w:rPr>
            </w:pPr>
            <w:r>
              <w:rPr>
                <w:noProof/>
              </w:rPr>
              <w:t xml:space="preserve">Entrée en vigueur d'un nouveau cadre juridique </w:t>
            </w:r>
          </w:p>
        </w:tc>
        <w:tc>
          <w:tcPr>
            <w:tcW w:w="1134" w:type="dxa"/>
            <w:shd w:val="clear" w:color="auto" w:fill="C6EFCE"/>
            <w:noWrap/>
          </w:tcPr>
          <w:p w14:paraId="403CDFCA" w14:textId="77777777" w:rsidR="00553430" w:rsidRDefault="00212577">
            <w:pPr>
              <w:pStyle w:val="P68B1DB1-Normal102"/>
              <w:spacing w:line="276" w:lineRule="auto"/>
              <w:jc w:val="center"/>
              <w:rPr>
                <w:noProof/>
              </w:rPr>
            </w:pPr>
            <w:r>
              <w:rPr>
                <w:noProof/>
              </w:rPr>
              <w:t> </w:t>
            </w:r>
          </w:p>
        </w:tc>
        <w:tc>
          <w:tcPr>
            <w:tcW w:w="1006" w:type="dxa"/>
            <w:shd w:val="clear" w:color="auto" w:fill="C6EFCE"/>
            <w:noWrap/>
          </w:tcPr>
          <w:p w14:paraId="7A622D88" w14:textId="77777777" w:rsidR="00553430" w:rsidRDefault="00212577">
            <w:pPr>
              <w:pStyle w:val="P68B1DB1-Normal102"/>
              <w:spacing w:line="276" w:lineRule="auto"/>
              <w:jc w:val="center"/>
              <w:rPr>
                <w:noProof/>
              </w:rPr>
            </w:pPr>
            <w:r>
              <w:rPr>
                <w:noProof/>
              </w:rPr>
              <w:t> </w:t>
            </w:r>
          </w:p>
        </w:tc>
        <w:tc>
          <w:tcPr>
            <w:tcW w:w="1441" w:type="dxa"/>
            <w:shd w:val="clear" w:color="auto" w:fill="C6EFCE"/>
            <w:noWrap/>
          </w:tcPr>
          <w:p w14:paraId="2379C2DA" w14:textId="77777777" w:rsidR="00553430" w:rsidRDefault="00212577">
            <w:pPr>
              <w:pStyle w:val="P68B1DB1-Normal102"/>
              <w:spacing w:line="276" w:lineRule="auto"/>
              <w:jc w:val="center"/>
              <w:rPr>
                <w:noProof/>
              </w:rPr>
            </w:pPr>
            <w:r>
              <w:rPr>
                <w:noProof/>
              </w:rPr>
              <w:t> </w:t>
            </w:r>
          </w:p>
        </w:tc>
        <w:tc>
          <w:tcPr>
            <w:tcW w:w="613" w:type="dxa"/>
            <w:shd w:val="clear" w:color="auto" w:fill="C6EFCE"/>
            <w:noWrap/>
          </w:tcPr>
          <w:p w14:paraId="1134F632" w14:textId="77777777" w:rsidR="00553430" w:rsidRDefault="00212577">
            <w:pPr>
              <w:pStyle w:val="P68B1DB1-Normal102"/>
              <w:spacing w:line="276" w:lineRule="auto"/>
              <w:jc w:val="center"/>
              <w:rPr>
                <w:noProof/>
              </w:rPr>
            </w:pPr>
            <w:r>
              <w:rPr>
                <w:noProof/>
              </w:rPr>
              <w:t>T3</w:t>
            </w:r>
          </w:p>
        </w:tc>
        <w:tc>
          <w:tcPr>
            <w:tcW w:w="992" w:type="dxa"/>
            <w:shd w:val="clear" w:color="auto" w:fill="C6EFCE"/>
            <w:noWrap/>
          </w:tcPr>
          <w:p w14:paraId="37D59D34" w14:textId="77777777" w:rsidR="00553430" w:rsidRDefault="00212577">
            <w:pPr>
              <w:pStyle w:val="P68B1DB1-Normal102"/>
              <w:spacing w:line="276" w:lineRule="auto"/>
              <w:jc w:val="center"/>
              <w:rPr>
                <w:noProof/>
              </w:rPr>
            </w:pPr>
            <w:r>
              <w:rPr>
                <w:noProof/>
              </w:rPr>
              <w:t>2022</w:t>
            </w:r>
          </w:p>
        </w:tc>
        <w:tc>
          <w:tcPr>
            <w:tcW w:w="3979" w:type="dxa"/>
            <w:shd w:val="clear" w:color="auto" w:fill="C6EFCE"/>
            <w:noWrap/>
          </w:tcPr>
          <w:p w14:paraId="18FCA0D8" w14:textId="77777777" w:rsidR="00553430" w:rsidRDefault="00212577">
            <w:pPr>
              <w:pStyle w:val="P68B1DB1-Normal89"/>
              <w:spacing w:line="276" w:lineRule="auto"/>
              <w:rPr>
                <w:noProof/>
              </w:rPr>
            </w:pPr>
            <w:r>
              <w:rPr>
                <w:noProof/>
                <w:color w:val="000000" w:themeColor="text1"/>
              </w:rPr>
              <w:t>Le nouveau cadre jurid</w:t>
            </w:r>
            <w:r>
              <w:rPr>
                <w:noProof/>
                <w:color w:val="000000" w:themeColor="text1"/>
              </w:rPr>
              <w:t xml:space="preserve">ique constitue la base d'un nouveau système de promotion fondé sur l'excellence et une meilleure réglementation de l'évolution de carrière, permettant ainsi d'attirer et de retenir des chercheurs de qualité. Le nouveau cadre juridique permettra aux jeunes </w:t>
            </w:r>
            <w:r>
              <w:rPr>
                <w:noProof/>
                <w:color w:val="000000" w:themeColor="text1"/>
              </w:rPr>
              <w:t>scientifiques de s'épanouir sur la base de critères de qualité scientifique internationalement reconnus et avec moins d'obstacles administratifs. Il comprend des modalités de travail flexibles visant à promouvoir le recrutement de chercheurs ayant des resp</w:t>
            </w:r>
            <w:r>
              <w:rPr>
                <w:noProof/>
                <w:color w:val="000000" w:themeColor="text1"/>
              </w:rPr>
              <w:t>onsabilités familiales.</w:t>
            </w:r>
            <w:r>
              <w:rPr>
                <w:noProof/>
              </w:rPr>
              <w:br/>
            </w:r>
            <w:r>
              <w:rPr>
                <w:noProof/>
                <w:color w:val="000000" w:themeColor="text1"/>
              </w:rPr>
              <w:t>Le nouveau cadre juridique se compose des éléments suivants:</w:t>
            </w:r>
            <w:r>
              <w:rPr>
                <w:noProof/>
              </w:rPr>
              <w:br/>
            </w:r>
            <w:r>
              <w:rPr>
                <w:noProof/>
                <w:color w:val="000000" w:themeColor="text1"/>
              </w:rPr>
              <w:t xml:space="preserve">1) Nouvelle loi sur l'assurance de la qualité dans les sciences et l'enseignement supérieur </w:t>
            </w:r>
            <w:r>
              <w:rPr>
                <w:noProof/>
              </w:rPr>
              <w:br/>
              <w:t xml:space="preserve"> </w:t>
            </w:r>
            <w:r>
              <w:rPr>
                <w:noProof/>
                <w:color w:val="000000" w:themeColor="text1"/>
              </w:rPr>
              <w:t>2) Ordonnance sur les conditions de sélection dans les titres scientifiques</w:t>
            </w:r>
          </w:p>
        </w:tc>
      </w:tr>
      <w:tr w:rsidR="00553430" w14:paraId="59152EBB" w14:textId="77777777">
        <w:trPr>
          <w:trHeight w:val="283"/>
          <w:jc w:val="center"/>
        </w:trPr>
        <w:tc>
          <w:tcPr>
            <w:tcW w:w="768" w:type="dxa"/>
            <w:shd w:val="clear" w:color="auto" w:fill="C6EFCE"/>
            <w:noWrap/>
          </w:tcPr>
          <w:p w14:paraId="2EB1DE81" w14:textId="77777777" w:rsidR="00553430" w:rsidRDefault="00212577">
            <w:pPr>
              <w:pStyle w:val="P68B1DB1-Normal102"/>
              <w:spacing w:line="276" w:lineRule="auto"/>
              <w:jc w:val="center"/>
              <w:rPr>
                <w:noProof/>
              </w:rPr>
            </w:pPr>
            <w:r>
              <w:rPr>
                <w:noProof/>
              </w:rPr>
              <w:t>282</w:t>
            </w:r>
          </w:p>
        </w:tc>
        <w:tc>
          <w:tcPr>
            <w:tcW w:w="1637" w:type="dxa"/>
            <w:shd w:val="clear" w:color="auto" w:fill="C6EFCE"/>
            <w:noWrap/>
          </w:tcPr>
          <w:p w14:paraId="78B1D560" w14:textId="77777777" w:rsidR="00553430" w:rsidRDefault="00212577">
            <w:pPr>
              <w:pStyle w:val="P68B1DB1-Normal102"/>
              <w:spacing w:line="276" w:lineRule="auto"/>
              <w:jc w:val="center"/>
              <w:rPr>
                <w:noProof/>
              </w:rPr>
            </w:pPr>
            <w:r>
              <w:rPr>
                <w:noProof/>
              </w:rPr>
              <w:t>C3.2. R2-I1</w:t>
            </w:r>
          </w:p>
        </w:tc>
        <w:tc>
          <w:tcPr>
            <w:tcW w:w="1070" w:type="dxa"/>
            <w:shd w:val="clear" w:color="auto" w:fill="C6EFCE"/>
            <w:noWrap/>
          </w:tcPr>
          <w:p w14:paraId="5953ADE6" w14:textId="77777777" w:rsidR="00553430" w:rsidRDefault="00212577">
            <w:pPr>
              <w:pStyle w:val="P68B1DB1-Normal102"/>
              <w:spacing w:line="276" w:lineRule="auto"/>
              <w:jc w:val="center"/>
              <w:rPr>
                <w:noProof/>
              </w:rPr>
            </w:pPr>
            <w:r>
              <w:rPr>
                <w:noProof/>
              </w:rPr>
              <w:t>T</w:t>
            </w:r>
          </w:p>
        </w:tc>
        <w:tc>
          <w:tcPr>
            <w:tcW w:w="1799" w:type="dxa"/>
            <w:shd w:val="clear" w:color="auto" w:fill="C6EFCE"/>
            <w:noWrap/>
          </w:tcPr>
          <w:p w14:paraId="7A432B4A" w14:textId="2B6E24D5" w:rsidR="00553430" w:rsidRDefault="00212577">
            <w:pPr>
              <w:pStyle w:val="P68B1DB1-Normal102"/>
              <w:spacing w:line="276" w:lineRule="auto"/>
              <w:rPr>
                <w:noProof/>
              </w:rPr>
            </w:pPr>
            <w:r>
              <w:rPr>
                <w:noProof/>
              </w:rPr>
              <w:t xml:space="preserve">Subventions octroyées au titre du cadre de programmation pour accroître la disponibilité et l’employabilité des diplômés dans les domaines des STIM/TIC et améliorer leur mobilité aux fins de la coopération nationale et internationale </w:t>
            </w:r>
          </w:p>
        </w:tc>
        <w:tc>
          <w:tcPr>
            <w:tcW w:w="1462" w:type="dxa"/>
            <w:shd w:val="clear" w:color="auto" w:fill="C6EFCE"/>
            <w:noWrap/>
          </w:tcPr>
          <w:p w14:paraId="7DE0B4CF" w14:textId="77777777" w:rsidR="00553430" w:rsidRDefault="00212577">
            <w:pPr>
              <w:pStyle w:val="P68B1DB1-Normal102"/>
              <w:spacing w:line="276" w:lineRule="auto"/>
              <w:rPr>
                <w:noProof/>
              </w:rPr>
            </w:pPr>
            <w:r>
              <w:rPr>
                <w:noProof/>
              </w:rPr>
              <w:t xml:space="preserve"> </w:t>
            </w:r>
          </w:p>
        </w:tc>
        <w:tc>
          <w:tcPr>
            <w:tcW w:w="1134" w:type="dxa"/>
            <w:shd w:val="clear" w:color="auto" w:fill="C6EFCE"/>
            <w:noWrap/>
          </w:tcPr>
          <w:p w14:paraId="30855E04" w14:textId="77777777" w:rsidR="00553430" w:rsidRDefault="00212577">
            <w:pPr>
              <w:pStyle w:val="P68B1DB1-Normal102"/>
              <w:spacing w:line="276" w:lineRule="auto"/>
              <w:jc w:val="center"/>
              <w:rPr>
                <w:noProof/>
              </w:rPr>
            </w:pPr>
            <w:r>
              <w:rPr>
                <w:noProof/>
              </w:rPr>
              <w:t>Numéro</w:t>
            </w:r>
          </w:p>
        </w:tc>
        <w:tc>
          <w:tcPr>
            <w:tcW w:w="1006" w:type="dxa"/>
            <w:shd w:val="clear" w:color="auto" w:fill="C6EFCE"/>
            <w:noWrap/>
          </w:tcPr>
          <w:p w14:paraId="077479D3" w14:textId="77777777" w:rsidR="00553430" w:rsidRDefault="00212577">
            <w:pPr>
              <w:pStyle w:val="P68B1DB1-Normal102"/>
              <w:spacing w:line="276" w:lineRule="auto"/>
              <w:jc w:val="center"/>
              <w:rPr>
                <w:noProof/>
              </w:rPr>
            </w:pPr>
            <w:r>
              <w:rPr>
                <w:noProof/>
              </w:rPr>
              <w:t>0</w:t>
            </w:r>
          </w:p>
        </w:tc>
        <w:tc>
          <w:tcPr>
            <w:tcW w:w="1441" w:type="dxa"/>
            <w:shd w:val="clear" w:color="auto" w:fill="C6EFCE"/>
            <w:noWrap/>
          </w:tcPr>
          <w:p w14:paraId="1A725A3D" w14:textId="77777777" w:rsidR="00553430" w:rsidRDefault="00212577">
            <w:pPr>
              <w:pStyle w:val="P68B1DB1-Normal102"/>
              <w:spacing w:line="276" w:lineRule="auto"/>
              <w:jc w:val="center"/>
              <w:rPr>
                <w:noProof/>
              </w:rPr>
            </w:pPr>
            <w:r>
              <w:rPr>
                <w:noProof/>
              </w:rPr>
              <w:t>3 354</w:t>
            </w:r>
          </w:p>
        </w:tc>
        <w:tc>
          <w:tcPr>
            <w:tcW w:w="613" w:type="dxa"/>
            <w:shd w:val="clear" w:color="auto" w:fill="C6EFCE"/>
            <w:noWrap/>
          </w:tcPr>
          <w:p w14:paraId="2FFC8DAF" w14:textId="77777777" w:rsidR="00553430" w:rsidRDefault="00212577">
            <w:pPr>
              <w:pStyle w:val="P68B1DB1-Normal102"/>
              <w:spacing w:line="276" w:lineRule="auto"/>
              <w:jc w:val="center"/>
              <w:rPr>
                <w:noProof/>
              </w:rPr>
            </w:pPr>
            <w:r>
              <w:rPr>
                <w:noProof/>
              </w:rPr>
              <w:t>T1</w:t>
            </w:r>
          </w:p>
        </w:tc>
        <w:tc>
          <w:tcPr>
            <w:tcW w:w="992" w:type="dxa"/>
            <w:shd w:val="clear" w:color="auto" w:fill="C6EFCE"/>
            <w:noWrap/>
          </w:tcPr>
          <w:p w14:paraId="06D43CE8" w14:textId="77777777" w:rsidR="00553430" w:rsidRDefault="00212577">
            <w:pPr>
              <w:pStyle w:val="P68B1DB1-Normal102"/>
              <w:spacing w:line="276" w:lineRule="auto"/>
              <w:jc w:val="center"/>
              <w:rPr>
                <w:noProof/>
              </w:rPr>
            </w:pPr>
            <w:r>
              <w:rPr>
                <w:noProof/>
              </w:rPr>
              <w:t>2025</w:t>
            </w:r>
          </w:p>
        </w:tc>
        <w:tc>
          <w:tcPr>
            <w:tcW w:w="3979" w:type="dxa"/>
            <w:shd w:val="clear" w:color="auto" w:fill="C6EFCE"/>
            <w:noWrap/>
          </w:tcPr>
          <w:p w14:paraId="17314AF4" w14:textId="79788302" w:rsidR="00553430" w:rsidRDefault="00212577">
            <w:pPr>
              <w:pStyle w:val="P68B1DB1-Normal89"/>
              <w:spacing w:line="276" w:lineRule="auto"/>
              <w:rPr>
                <w:noProof/>
                <w:color w:val="000000" w:themeColor="text1"/>
              </w:rPr>
            </w:pPr>
            <w:r>
              <w:rPr>
                <w:noProof/>
                <w:color w:val="000000" w:themeColor="text1"/>
              </w:rPr>
              <w:t>Au moins 3 354 subventions sont octroyées par des décisions de financement de projets prises par le ministère des sciences, de l’éducation et de la jeunesse, dans le cadre du nouveau cadre</w:t>
            </w:r>
            <w:r>
              <w:rPr>
                <w:noProof/>
              </w:rPr>
              <w:t xml:space="preserve"> de financement des programmes de recherche, </w:t>
            </w:r>
            <w:r>
              <w:rPr>
                <w:noProof/>
              </w:rPr>
              <w:t>qui met l’accent sur la récompense de l’excellence en matière de recherche, la coopération avec l’industrie et la coopération internationale. Le cadre comprend des subventions pour: i) Bourses dans les domaines des STIM et des TIC; ii) un programme pour le</w:t>
            </w:r>
            <w:r>
              <w:rPr>
                <w:noProof/>
              </w:rPr>
              <w:t xml:space="preserve">s jeunes chercheurs; iii) un programme de suivi des régimes fonciers; iv) un programme de mobilité; v) Démarrage/décollage d’entreprises de jeunes chercheurs; et vi) un programme de stages en entrepreneuriat. </w:t>
            </w:r>
          </w:p>
        </w:tc>
      </w:tr>
      <w:tr w:rsidR="00553430" w14:paraId="65D8B547" w14:textId="77777777">
        <w:trPr>
          <w:trHeight w:val="283"/>
          <w:jc w:val="center"/>
        </w:trPr>
        <w:tc>
          <w:tcPr>
            <w:tcW w:w="768" w:type="dxa"/>
            <w:shd w:val="clear" w:color="auto" w:fill="C6EFCE"/>
            <w:noWrap/>
          </w:tcPr>
          <w:p w14:paraId="1CAEAFB3" w14:textId="77777777" w:rsidR="00553430" w:rsidRDefault="00212577">
            <w:pPr>
              <w:pStyle w:val="P68B1DB1-Normal102"/>
              <w:spacing w:line="276" w:lineRule="auto"/>
              <w:jc w:val="center"/>
              <w:rPr>
                <w:noProof/>
              </w:rPr>
            </w:pPr>
            <w:r>
              <w:rPr>
                <w:noProof/>
              </w:rPr>
              <w:t>283</w:t>
            </w:r>
          </w:p>
        </w:tc>
        <w:tc>
          <w:tcPr>
            <w:tcW w:w="1637" w:type="dxa"/>
            <w:shd w:val="clear" w:color="auto" w:fill="C6EFCE"/>
            <w:noWrap/>
          </w:tcPr>
          <w:p w14:paraId="749731DA" w14:textId="77777777" w:rsidR="00553430" w:rsidRDefault="00212577">
            <w:pPr>
              <w:pStyle w:val="P68B1DB1-Normal102"/>
              <w:spacing w:line="276" w:lineRule="auto"/>
              <w:jc w:val="center"/>
              <w:rPr>
                <w:noProof/>
              </w:rPr>
            </w:pPr>
            <w:r>
              <w:rPr>
                <w:noProof/>
              </w:rPr>
              <w:t>C3.2. R2-I2</w:t>
            </w:r>
          </w:p>
        </w:tc>
        <w:tc>
          <w:tcPr>
            <w:tcW w:w="1070" w:type="dxa"/>
            <w:shd w:val="clear" w:color="auto" w:fill="C6EFCE"/>
            <w:noWrap/>
          </w:tcPr>
          <w:p w14:paraId="67607181" w14:textId="77777777" w:rsidR="00553430" w:rsidRDefault="00212577">
            <w:pPr>
              <w:pStyle w:val="P68B1DB1-Normal102"/>
              <w:spacing w:line="276" w:lineRule="auto"/>
              <w:jc w:val="center"/>
              <w:rPr>
                <w:noProof/>
              </w:rPr>
            </w:pPr>
            <w:r>
              <w:rPr>
                <w:noProof/>
              </w:rPr>
              <w:t>T</w:t>
            </w:r>
          </w:p>
        </w:tc>
        <w:tc>
          <w:tcPr>
            <w:tcW w:w="1799" w:type="dxa"/>
            <w:shd w:val="clear" w:color="auto" w:fill="C6EFCE"/>
            <w:noWrap/>
          </w:tcPr>
          <w:p w14:paraId="79EF3EB2" w14:textId="7AAEF524" w:rsidR="00553430" w:rsidRDefault="00212577">
            <w:pPr>
              <w:pStyle w:val="P68B1DB1-Normal102"/>
              <w:spacing w:line="276" w:lineRule="auto"/>
              <w:rPr>
                <w:noProof/>
              </w:rPr>
            </w:pPr>
            <w:r>
              <w:rPr>
                <w:noProof/>
              </w:rPr>
              <w:t xml:space="preserve">Projets d'infrastructure </w:t>
            </w:r>
            <w:r>
              <w:rPr>
                <w:noProof/>
              </w:rPr>
              <w:t>pour la recherche appliquée et ciblée</w:t>
            </w:r>
          </w:p>
        </w:tc>
        <w:tc>
          <w:tcPr>
            <w:tcW w:w="1462" w:type="dxa"/>
            <w:shd w:val="clear" w:color="auto" w:fill="C6EFCE"/>
            <w:noWrap/>
          </w:tcPr>
          <w:p w14:paraId="6A4534E3" w14:textId="77777777" w:rsidR="00553430" w:rsidRDefault="00212577">
            <w:pPr>
              <w:pStyle w:val="P68B1DB1-Normal102"/>
              <w:spacing w:line="276" w:lineRule="auto"/>
              <w:rPr>
                <w:noProof/>
              </w:rPr>
            </w:pPr>
            <w:r>
              <w:rPr>
                <w:noProof/>
              </w:rPr>
              <w:t xml:space="preserve"> </w:t>
            </w:r>
          </w:p>
        </w:tc>
        <w:tc>
          <w:tcPr>
            <w:tcW w:w="1134" w:type="dxa"/>
            <w:shd w:val="clear" w:color="auto" w:fill="C6EFCE"/>
            <w:noWrap/>
          </w:tcPr>
          <w:p w14:paraId="7C0ADCFA" w14:textId="77777777" w:rsidR="00553430" w:rsidRDefault="00212577">
            <w:pPr>
              <w:pStyle w:val="P68B1DB1-Normal102"/>
              <w:spacing w:line="276" w:lineRule="auto"/>
              <w:jc w:val="center"/>
              <w:rPr>
                <w:noProof/>
              </w:rPr>
            </w:pPr>
            <w:r>
              <w:rPr>
                <w:noProof/>
              </w:rPr>
              <w:t>Numéro</w:t>
            </w:r>
          </w:p>
        </w:tc>
        <w:tc>
          <w:tcPr>
            <w:tcW w:w="1006" w:type="dxa"/>
            <w:shd w:val="clear" w:color="auto" w:fill="C6EFCE"/>
            <w:noWrap/>
          </w:tcPr>
          <w:p w14:paraId="47CC4DF8" w14:textId="77777777" w:rsidR="00553430" w:rsidRDefault="00212577">
            <w:pPr>
              <w:pStyle w:val="P68B1DB1-Normal102"/>
              <w:spacing w:line="276" w:lineRule="auto"/>
              <w:jc w:val="center"/>
              <w:rPr>
                <w:noProof/>
              </w:rPr>
            </w:pPr>
            <w:r>
              <w:rPr>
                <w:noProof/>
              </w:rPr>
              <w:t>0</w:t>
            </w:r>
          </w:p>
        </w:tc>
        <w:tc>
          <w:tcPr>
            <w:tcW w:w="1441" w:type="dxa"/>
            <w:shd w:val="clear" w:color="auto" w:fill="C6EFCE"/>
            <w:noWrap/>
          </w:tcPr>
          <w:p w14:paraId="03D7F359" w14:textId="77777777" w:rsidR="00553430" w:rsidRDefault="00212577">
            <w:pPr>
              <w:pStyle w:val="P68B1DB1-Normal102"/>
              <w:spacing w:line="276" w:lineRule="auto"/>
              <w:jc w:val="center"/>
              <w:rPr>
                <w:noProof/>
              </w:rPr>
            </w:pPr>
            <w:r>
              <w:rPr>
                <w:noProof/>
              </w:rPr>
              <w:t>6</w:t>
            </w:r>
          </w:p>
        </w:tc>
        <w:tc>
          <w:tcPr>
            <w:tcW w:w="613" w:type="dxa"/>
            <w:shd w:val="clear" w:color="auto" w:fill="C6EFCE"/>
            <w:noWrap/>
          </w:tcPr>
          <w:p w14:paraId="0E9F3F0E" w14:textId="77777777" w:rsidR="00553430" w:rsidRDefault="00212577">
            <w:pPr>
              <w:pStyle w:val="P68B1DB1-Normal102"/>
              <w:spacing w:line="276" w:lineRule="auto"/>
              <w:jc w:val="center"/>
              <w:rPr>
                <w:noProof/>
              </w:rPr>
            </w:pPr>
            <w:r>
              <w:rPr>
                <w:noProof/>
              </w:rPr>
              <w:t>T2</w:t>
            </w:r>
          </w:p>
        </w:tc>
        <w:tc>
          <w:tcPr>
            <w:tcW w:w="992" w:type="dxa"/>
            <w:shd w:val="clear" w:color="auto" w:fill="C6EFCE"/>
            <w:noWrap/>
          </w:tcPr>
          <w:p w14:paraId="0E42A586" w14:textId="77777777" w:rsidR="00553430" w:rsidRDefault="00212577">
            <w:pPr>
              <w:pStyle w:val="P68B1DB1-Normal102"/>
              <w:spacing w:line="276" w:lineRule="auto"/>
              <w:jc w:val="center"/>
              <w:rPr>
                <w:noProof/>
              </w:rPr>
            </w:pPr>
            <w:r>
              <w:rPr>
                <w:noProof/>
              </w:rPr>
              <w:t>2026</w:t>
            </w:r>
          </w:p>
        </w:tc>
        <w:tc>
          <w:tcPr>
            <w:tcW w:w="3979" w:type="dxa"/>
            <w:shd w:val="clear" w:color="auto" w:fill="C6EFCE"/>
            <w:noWrap/>
          </w:tcPr>
          <w:p w14:paraId="2DD4CA51" w14:textId="76653A11" w:rsidR="00553430" w:rsidRDefault="00212577">
            <w:pPr>
              <w:pStyle w:val="P68B1DB1-Normal89"/>
              <w:spacing w:line="276" w:lineRule="auto"/>
              <w:rPr>
                <w:noProof/>
              </w:rPr>
            </w:pPr>
            <w:r>
              <w:rPr>
                <w:noProof/>
                <w:color w:val="000000" w:themeColor="text1"/>
              </w:rPr>
              <w:t>Six projets d’infrastructures scientifiques et technologiques pour la recherche appliquée et ciblée dans les domaines des STIM et des TIC, soutenant la transformation numérique et associant de jeun</w:t>
            </w:r>
            <w:r>
              <w:rPr>
                <w:noProof/>
                <w:color w:val="000000" w:themeColor="text1"/>
              </w:rPr>
              <w:t xml:space="preserve">es chercheurs, sont finalisés. </w:t>
            </w:r>
            <w:r>
              <w:rPr>
                <w:noProof/>
              </w:rPr>
              <w:t xml:space="preserve">Les infrastructures sont fondées sur des principes d’innovation ouverte et soutiennent directement les domaines des technologies propres et les transitions écologique et numérique. </w:t>
            </w:r>
          </w:p>
          <w:p w14:paraId="57624796" w14:textId="77777777" w:rsidR="00553430" w:rsidRDefault="00212577">
            <w:pPr>
              <w:pStyle w:val="P68B1DB1-Normal89"/>
              <w:framePr w:hSpace="180" w:wrap="around" w:vAnchor="text" w:hAnchor="text" w:xAlign="center" w:y="1"/>
              <w:spacing w:after="0" w:line="276" w:lineRule="auto"/>
              <w:suppressOverlap/>
              <w:rPr>
                <w:noProof/>
              </w:rPr>
            </w:pPr>
            <w:r>
              <w:rPr>
                <w:noProof/>
              </w:rPr>
              <w:t>Au moins 3 222 325 EUR sont alloués à trois</w:t>
            </w:r>
            <w:r>
              <w:rPr>
                <w:noProof/>
              </w:rPr>
              <w:t xml:space="preserve"> des six projets d’infrastructures scientifiques et technologiques, à savoir:</w:t>
            </w:r>
          </w:p>
          <w:p w14:paraId="70612E3D" w14:textId="77777777" w:rsidR="00553430" w:rsidRDefault="00212577">
            <w:pPr>
              <w:pStyle w:val="P68B1DB1-Normal89"/>
              <w:numPr>
                <w:ilvl w:val="0"/>
                <w:numId w:val="71"/>
              </w:numPr>
              <w:spacing w:before="120" w:after="120" w:line="276" w:lineRule="auto"/>
              <w:rPr>
                <w:noProof/>
              </w:rPr>
            </w:pPr>
            <w:r>
              <w:rPr>
                <w:noProof/>
              </w:rPr>
              <w:t>MARBLE Smart Marina</w:t>
            </w:r>
          </w:p>
          <w:p w14:paraId="5B37D7D0" w14:textId="77777777" w:rsidR="00553430" w:rsidRDefault="00212577">
            <w:pPr>
              <w:pStyle w:val="P68B1DB1-Normal89"/>
              <w:numPr>
                <w:ilvl w:val="0"/>
                <w:numId w:val="71"/>
              </w:numPr>
              <w:spacing w:before="120" w:after="120" w:line="276" w:lineRule="auto"/>
              <w:rPr>
                <w:noProof/>
              </w:rPr>
            </w:pPr>
            <w:r>
              <w:rPr>
                <w:noProof/>
              </w:rPr>
              <w:t>MARBLE Smart Mussel Farm</w:t>
            </w:r>
          </w:p>
          <w:p w14:paraId="085F37EF" w14:textId="77777777" w:rsidR="00553430" w:rsidRDefault="00212577">
            <w:pPr>
              <w:pStyle w:val="P68B1DB1-Normal89"/>
              <w:numPr>
                <w:ilvl w:val="0"/>
                <w:numId w:val="71"/>
              </w:numPr>
              <w:spacing w:before="120" w:after="120" w:line="276" w:lineRule="auto"/>
              <w:rPr>
                <w:noProof/>
              </w:rPr>
            </w:pPr>
            <w:r>
              <w:rPr>
                <w:noProof/>
              </w:rPr>
              <w:t>MARBLE Site d'exploitation de véhicules marins autonomes</w:t>
            </w:r>
          </w:p>
          <w:p w14:paraId="47F1787B" w14:textId="36A1D7E1" w:rsidR="00553430" w:rsidRDefault="00212577">
            <w:pPr>
              <w:pStyle w:val="P68B1DB1-Normal89"/>
              <w:spacing w:line="276" w:lineRule="auto"/>
              <w:rPr>
                <w:noProof/>
              </w:rPr>
            </w:pPr>
            <w:r>
              <w:rPr>
                <w:noProof/>
              </w:rPr>
              <w:t xml:space="preserve">afin de prendre en charge uniquement et exclusivement les éléments tels que </w:t>
            </w:r>
            <w:r>
              <w:rPr>
                <w:noProof/>
              </w:rPr>
              <w:t xml:space="preserve">définis dans le module de travail 3: «Infrastructures et équipements» du projet MARBLE. Les montants fournis par d’autres programmes ou instruments de l’Union ne sont pas comptabilisés dans ce montant. </w:t>
            </w:r>
          </w:p>
          <w:p w14:paraId="15A7EA6B" w14:textId="77777777" w:rsidR="00553430" w:rsidRDefault="00212577">
            <w:pPr>
              <w:pStyle w:val="P68B1DB1-Normal89"/>
              <w:spacing w:line="276" w:lineRule="auto"/>
              <w:rPr>
                <w:noProof/>
              </w:rPr>
            </w:pPr>
            <w:r>
              <w:rPr>
                <w:noProof/>
              </w:rPr>
              <w:t xml:space="preserve">Les décisions de financement du ministère de la </w:t>
            </w:r>
            <w:r>
              <w:rPr>
                <w:noProof/>
              </w:rPr>
              <w:t xml:space="preserve">science, de l’éducation et de la jeunesse, ainsi que les extraits du système de comptabilité nationale indiquant les montants et les lignes budgétaires réservés, à partir desquels il est possible de distinguer les sources de financement utilisées pour les </w:t>
            </w:r>
            <w:r>
              <w:rPr>
                <w:noProof/>
              </w:rPr>
              <w:t>différentes parties et activités de chacun des 3 projets (MARBLE Smart Marina, MARBLE Smart Mussel Farm, MARBLE Autonomous Marine Vehicle Operation site), seront fournies sur présentation de la demande de paiement correspondante.</w:t>
            </w:r>
          </w:p>
        </w:tc>
      </w:tr>
      <w:tr w:rsidR="00553430" w14:paraId="7EDCADE8" w14:textId="77777777">
        <w:trPr>
          <w:trHeight w:val="283"/>
          <w:jc w:val="center"/>
        </w:trPr>
        <w:tc>
          <w:tcPr>
            <w:tcW w:w="768" w:type="dxa"/>
            <w:shd w:val="clear" w:color="auto" w:fill="C6EFCE"/>
            <w:noWrap/>
          </w:tcPr>
          <w:p w14:paraId="45AF5DA7" w14:textId="77777777" w:rsidR="00553430" w:rsidRDefault="00212577">
            <w:pPr>
              <w:pStyle w:val="P68B1DB1-Normal102"/>
              <w:spacing w:line="276" w:lineRule="auto"/>
              <w:jc w:val="center"/>
              <w:rPr>
                <w:noProof/>
              </w:rPr>
            </w:pPr>
            <w:r>
              <w:rPr>
                <w:noProof/>
              </w:rPr>
              <w:t>284</w:t>
            </w:r>
          </w:p>
        </w:tc>
        <w:tc>
          <w:tcPr>
            <w:tcW w:w="1637" w:type="dxa"/>
            <w:shd w:val="clear" w:color="auto" w:fill="C6EFCE"/>
            <w:noWrap/>
          </w:tcPr>
          <w:p w14:paraId="73A8A8FB" w14:textId="77777777" w:rsidR="00553430" w:rsidRDefault="00212577">
            <w:pPr>
              <w:pStyle w:val="P68B1DB1-Normal102"/>
              <w:spacing w:line="276" w:lineRule="auto"/>
              <w:jc w:val="center"/>
              <w:rPr>
                <w:noProof/>
              </w:rPr>
            </w:pPr>
            <w:r>
              <w:rPr>
                <w:noProof/>
              </w:rPr>
              <w:t>C3.2. R3</w:t>
            </w:r>
          </w:p>
        </w:tc>
        <w:tc>
          <w:tcPr>
            <w:tcW w:w="1070" w:type="dxa"/>
            <w:shd w:val="clear" w:color="auto" w:fill="C6EFCE"/>
            <w:noWrap/>
          </w:tcPr>
          <w:p w14:paraId="286792CE" w14:textId="77777777" w:rsidR="00553430" w:rsidRDefault="00212577">
            <w:pPr>
              <w:pStyle w:val="P68B1DB1-Normal102"/>
              <w:spacing w:line="276" w:lineRule="auto"/>
              <w:jc w:val="center"/>
              <w:rPr>
                <w:noProof/>
              </w:rPr>
            </w:pPr>
            <w:r>
              <w:rPr>
                <w:noProof/>
              </w:rPr>
              <w:t>M</w:t>
            </w:r>
          </w:p>
        </w:tc>
        <w:tc>
          <w:tcPr>
            <w:tcW w:w="1799" w:type="dxa"/>
            <w:shd w:val="clear" w:color="auto" w:fill="C6EFCE"/>
            <w:noWrap/>
          </w:tcPr>
          <w:p w14:paraId="2877B8C9" w14:textId="77777777" w:rsidR="00553430" w:rsidRDefault="00212577">
            <w:pPr>
              <w:pStyle w:val="P68B1DB1-Normal102"/>
              <w:spacing w:line="276" w:lineRule="auto"/>
              <w:rPr>
                <w:noProof/>
              </w:rPr>
            </w:pPr>
            <w:r>
              <w:rPr>
                <w:noProof/>
              </w:rPr>
              <w:t xml:space="preserve">Nouvelle </w:t>
            </w:r>
            <w:r>
              <w:rPr>
                <w:noProof/>
              </w:rPr>
              <w:t>loi sur la Fondation croate de la science</w:t>
            </w:r>
          </w:p>
        </w:tc>
        <w:tc>
          <w:tcPr>
            <w:tcW w:w="1462" w:type="dxa"/>
            <w:shd w:val="clear" w:color="auto" w:fill="C6EFCE"/>
            <w:noWrap/>
          </w:tcPr>
          <w:p w14:paraId="13F8C998" w14:textId="77777777" w:rsidR="00553430" w:rsidRDefault="00212577">
            <w:pPr>
              <w:pStyle w:val="P68B1DB1-Normal102"/>
              <w:spacing w:line="276" w:lineRule="auto"/>
              <w:rPr>
                <w:noProof/>
              </w:rPr>
            </w:pPr>
            <w:r>
              <w:rPr>
                <w:noProof/>
              </w:rPr>
              <w:t>Entrée en vigueur de la nouvelle loi sur la Fondation scientifique croate.</w:t>
            </w:r>
          </w:p>
        </w:tc>
        <w:tc>
          <w:tcPr>
            <w:tcW w:w="1134" w:type="dxa"/>
            <w:shd w:val="clear" w:color="auto" w:fill="C6EFCE"/>
            <w:noWrap/>
          </w:tcPr>
          <w:p w14:paraId="4A5A8623" w14:textId="77777777" w:rsidR="00553430" w:rsidRDefault="00212577">
            <w:pPr>
              <w:pStyle w:val="P68B1DB1-Normal102"/>
              <w:spacing w:line="276" w:lineRule="auto"/>
              <w:jc w:val="center"/>
              <w:rPr>
                <w:noProof/>
              </w:rPr>
            </w:pPr>
            <w:r>
              <w:rPr>
                <w:noProof/>
              </w:rPr>
              <w:t> </w:t>
            </w:r>
          </w:p>
        </w:tc>
        <w:tc>
          <w:tcPr>
            <w:tcW w:w="1006" w:type="dxa"/>
            <w:shd w:val="clear" w:color="auto" w:fill="C6EFCE"/>
            <w:noWrap/>
          </w:tcPr>
          <w:p w14:paraId="0DD8D638" w14:textId="77777777" w:rsidR="00553430" w:rsidRDefault="00212577">
            <w:pPr>
              <w:pStyle w:val="P68B1DB1-Normal102"/>
              <w:spacing w:line="276" w:lineRule="auto"/>
              <w:jc w:val="center"/>
              <w:rPr>
                <w:noProof/>
              </w:rPr>
            </w:pPr>
            <w:r>
              <w:rPr>
                <w:noProof/>
              </w:rPr>
              <w:t> </w:t>
            </w:r>
          </w:p>
        </w:tc>
        <w:tc>
          <w:tcPr>
            <w:tcW w:w="1441" w:type="dxa"/>
            <w:shd w:val="clear" w:color="auto" w:fill="C6EFCE"/>
            <w:noWrap/>
          </w:tcPr>
          <w:p w14:paraId="529ECC3A" w14:textId="77777777" w:rsidR="00553430" w:rsidRDefault="00212577">
            <w:pPr>
              <w:pStyle w:val="P68B1DB1-Normal102"/>
              <w:spacing w:line="276" w:lineRule="auto"/>
              <w:jc w:val="center"/>
              <w:rPr>
                <w:noProof/>
              </w:rPr>
            </w:pPr>
            <w:r>
              <w:rPr>
                <w:noProof/>
              </w:rPr>
              <w:t> </w:t>
            </w:r>
          </w:p>
        </w:tc>
        <w:tc>
          <w:tcPr>
            <w:tcW w:w="613" w:type="dxa"/>
            <w:shd w:val="clear" w:color="auto" w:fill="C6EFCE"/>
            <w:noWrap/>
          </w:tcPr>
          <w:p w14:paraId="310DBB84" w14:textId="77777777" w:rsidR="00553430" w:rsidRDefault="00212577">
            <w:pPr>
              <w:pStyle w:val="P68B1DB1-Normal102"/>
              <w:spacing w:line="276" w:lineRule="auto"/>
              <w:jc w:val="center"/>
              <w:rPr>
                <w:noProof/>
              </w:rPr>
            </w:pPr>
            <w:r>
              <w:rPr>
                <w:noProof/>
              </w:rPr>
              <w:t>T3</w:t>
            </w:r>
          </w:p>
        </w:tc>
        <w:tc>
          <w:tcPr>
            <w:tcW w:w="992" w:type="dxa"/>
            <w:shd w:val="clear" w:color="auto" w:fill="C6EFCE"/>
            <w:noWrap/>
          </w:tcPr>
          <w:p w14:paraId="76DF86C0" w14:textId="77777777" w:rsidR="00553430" w:rsidRDefault="00212577">
            <w:pPr>
              <w:pStyle w:val="P68B1DB1-Normal102"/>
              <w:spacing w:line="276" w:lineRule="auto"/>
              <w:jc w:val="center"/>
              <w:rPr>
                <w:noProof/>
              </w:rPr>
            </w:pPr>
            <w:r>
              <w:rPr>
                <w:noProof/>
              </w:rPr>
              <w:t>2022</w:t>
            </w:r>
          </w:p>
        </w:tc>
        <w:tc>
          <w:tcPr>
            <w:tcW w:w="3979" w:type="dxa"/>
            <w:shd w:val="clear" w:color="auto" w:fill="C6EFCE"/>
            <w:noWrap/>
          </w:tcPr>
          <w:p w14:paraId="78415EBF" w14:textId="77777777" w:rsidR="00553430" w:rsidRDefault="00212577">
            <w:pPr>
              <w:pStyle w:val="P68B1DB1-Normal102"/>
              <w:spacing w:line="276" w:lineRule="auto"/>
              <w:rPr>
                <w:noProof/>
              </w:rPr>
            </w:pPr>
            <w:r>
              <w:rPr>
                <w:noProof/>
              </w:rPr>
              <w:t>La nouvelle loi sur la Fondation scientifique croate définit une mission claire de la Fondation pour la conduite, la coordina</w:t>
            </w:r>
            <w:r>
              <w:rPr>
                <w:noProof/>
              </w:rPr>
              <w:t xml:space="preserve">tion, la conception, le suivi et l'évaluation du programme et de l'évaluation des programmes et des politiques de financement des projets de R&amp;D, créant un système solide et indépendant pour la mise en œuvre de la sélection, du financement et du suivi des </w:t>
            </w:r>
            <w:r>
              <w:rPr>
                <w:noProof/>
              </w:rPr>
              <w:t>effets des projets de R&amp;D.</w:t>
            </w:r>
          </w:p>
        </w:tc>
      </w:tr>
      <w:tr w:rsidR="00553430" w14:paraId="29D6E25F" w14:textId="77777777">
        <w:trPr>
          <w:trHeight w:val="283"/>
          <w:jc w:val="center"/>
        </w:trPr>
        <w:tc>
          <w:tcPr>
            <w:tcW w:w="768" w:type="dxa"/>
            <w:shd w:val="clear" w:color="auto" w:fill="C6EFCE"/>
            <w:noWrap/>
          </w:tcPr>
          <w:p w14:paraId="7308AC77" w14:textId="77777777" w:rsidR="00553430" w:rsidRDefault="00212577">
            <w:pPr>
              <w:pStyle w:val="P68B1DB1-Normal102"/>
              <w:spacing w:line="276" w:lineRule="auto"/>
              <w:jc w:val="center"/>
              <w:rPr>
                <w:noProof/>
              </w:rPr>
            </w:pPr>
            <w:r>
              <w:rPr>
                <w:noProof/>
              </w:rPr>
              <w:t>285</w:t>
            </w:r>
          </w:p>
        </w:tc>
        <w:tc>
          <w:tcPr>
            <w:tcW w:w="1637" w:type="dxa"/>
            <w:shd w:val="clear" w:color="auto" w:fill="C6EFCE"/>
            <w:noWrap/>
          </w:tcPr>
          <w:p w14:paraId="2ECD55EE" w14:textId="77777777" w:rsidR="00553430" w:rsidRDefault="00212577">
            <w:pPr>
              <w:pStyle w:val="P68B1DB1-Normal102"/>
              <w:spacing w:line="276" w:lineRule="auto"/>
              <w:jc w:val="center"/>
              <w:rPr>
                <w:noProof/>
              </w:rPr>
            </w:pPr>
            <w:r>
              <w:rPr>
                <w:noProof/>
              </w:rPr>
              <w:t>C3.2. R3-I1</w:t>
            </w:r>
          </w:p>
        </w:tc>
        <w:tc>
          <w:tcPr>
            <w:tcW w:w="1070" w:type="dxa"/>
            <w:shd w:val="clear" w:color="auto" w:fill="C6EFCE"/>
            <w:noWrap/>
          </w:tcPr>
          <w:p w14:paraId="16665950" w14:textId="77777777" w:rsidR="00553430" w:rsidRDefault="00212577">
            <w:pPr>
              <w:pStyle w:val="P68B1DB1-Normal102"/>
              <w:spacing w:line="276" w:lineRule="auto"/>
              <w:jc w:val="center"/>
              <w:rPr>
                <w:noProof/>
              </w:rPr>
            </w:pPr>
            <w:r>
              <w:rPr>
                <w:noProof/>
              </w:rPr>
              <w:t>T</w:t>
            </w:r>
          </w:p>
        </w:tc>
        <w:tc>
          <w:tcPr>
            <w:tcW w:w="1799" w:type="dxa"/>
            <w:shd w:val="clear" w:color="auto" w:fill="C6EFCE"/>
            <w:noWrap/>
          </w:tcPr>
          <w:p w14:paraId="6F7D2156" w14:textId="77777777" w:rsidR="00553430" w:rsidRDefault="00212577">
            <w:pPr>
              <w:pStyle w:val="P68B1DB1-Normal102"/>
              <w:spacing w:line="276" w:lineRule="auto"/>
              <w:rPr>
                <w:noProof/>
              </w:rPr>
            </w:pPr>
            <w:r>
              <w:rPr>
                <w:noProof/>
              </w:rPr>
              <w:t xml:space="preserve">Subventions octroyées dans le cadre d’un «programme pilote» soutenant la mise en place d’un cadre de R &amp; D &amp; I réformé. </w:t>
            </w:r>
          </w:p>
        </w:tc>
        <w:tc>
          <w:tcPr>
            <w:tcW w:w="1462" w:type="dxa"/>
            <w:shd w:val="clear" w:color="auto" w:fill="C6EFCE"/>
            <w:noWrap/>
          </w:tcPr>
          <w:p w14:paraId="2E74C0D3" w14:textId="77777777" w:rsidR="00553430" w:rsidRDefault="00212577">
            <w:pPr>
              <w:pStyle w:val="P68B1DB1-Normal102"/>
              <w:spacing w:line="276" w:lineRule="auto"/>
              <w:rPr>
                <w:noProof/>
              </w:rPr>
            </w:pPr>
            <w:r>
              <w:rPr>
                <w:noProof/>
              </w:rPr>
              <w:t xml:space="preserve"> </w:t>
            </w:r>
          </w:p>
        </w:tc>
        <w:tc>
          <w:tcPr>
            <w:tcW w:w="1134" w:type="dxa"/>
            <w:shd w:val="clear" w:color="auto" w:fill="C6EFCE"/>
            <w:noWrap/>
          </w:tcPr>
          <w:p w14:paraId="50163DBC" w14:textId="77777777" w:rsidR="00553430" w:rsidRDefault="00212577">
            <w:pPr>
              <w:pStyle w:val="P68B1DB1-Normal102"/>
              <w:spacing w:line="276" w:lineRule="auto"/>
              <w:jc w:val="center"/>
              <w:rPr>
                <w:noProof/>
              </w:rPr>
            </w:pPr>
            <w:r>
              <w:rPr>
                <w:noProof/>
              </w:rPr>
              <w:t>Numéro</w:t>
            </w:r>
          </w:p>
        </w:tc>
        <w:tc>
          <w:tcPr>
            <w:tcW w:w="1006" w:type="dxa"/>
            <w:shd w:val="clear" w:color="auto" w:fill="C6EFCE"/>
            <w:noWrap/>
          </w:tcPr>
          <w:p w14:paraId="004B4266" w14:textId="77777777" w:rsidR="00553430" w:rsidRDefault="00212577">
            <w:pPr>
              <w:pStyle w:val="P68B1DB1-Normal102"/>
              <w:spacing w:line="276" w:lineRule="auto"/>
              <w:jc w:val="center"/>
              <w:rPr>
                <w:noProof/>
              </w:rPr>
            </w:pPr>
            <w:r>
              <w:rPr>
                <w:noProof/>
              </w:rPr>
              <w:t>0</w:t>
            </w:r>
          </w:p>
        </w:tc>
        <w:tc>
          <w:tcPr>
            <w:tcW w:w="1441" w:type="dxa"/>
            <w:shd w:val="clear" w:color="auto" w:fill="C6EFCE"/>
            <w:noWrap/>
          </w:tcPr>
          <w:p w14:paraId="623EE226" w14:textId="77777777" w:rsidR="00553430" w:rsidRDefault="00212577">
            <w:pPr>
              <w:pStyle w:val="P68B1DB1-Normal102"/>
              <w:spacing w:line="276" w:lineRule="auto"/>
              <w:jc w:val="center"/>
              <w:rPr>
                <w:noProof/>
              </w:rPr>
            </w:pPr>
            <w:r>
              <w:rPr>
                <w:noProof/>
              </w:rPr>
              <w:t>300</w:t>
            </w:r>
          </w:p>
        </w:tc>
        <w:tc>
          <w:tcPr>
            <w:tcW w:w="613" w:type="dxa"/>
            <w:shd w:val="clear" w:color="auto" w:fill="C6EFCE"/>
            <w:noWrap/>
          </w:tcPr>
          <w:p w14:paraId="2176B442" w14:textId="77777777" w:rsidR="00553430" w:rsidRDefault="00212577">
            <w:pPr>
              <w:pStyle w:val="P68B1DB1-Normal102"/>
              <w:spacing w:line="276" w:lineRule="auto"/>
              <w:jc w:val="center"/>
              <w:rPr>
                <w:noProof/>
              </w:rPr>
            </w:pPr>
            <w:r>
              <w:rPr>
                <w:noProof/>
              </w:rPr>
              <w:t>T4</w:t>
            </w:r>
          </w:p>
        </w:tc>
        <w:tc>
          <w:tcPr>
            <w:tcW w:w="992" w:type="dxa"/>
            <w:shd w:val="clear" w:color="auto" w:fill="C6EFCE"/>
            <w:noWrap/>
          </w:tcPr>
          <w:p w14:paraId="61EE11C7" w14:textId="77777777" w:rsidR="00553430" w:rsidRDefault="00212577">
            <w:pPr>
              <w:pStyle w:val="P68B1DB1-Normal102"/>
              <w:spacing w:line="276" w:lineRule="auto"/>
              <w:jc w:val="center"/>
              <w:rPr>
                <w:noProof/>
              </w:rPr>
            </w:pPr>
            <w:r>
              <w:rPr>
                <w:noProof/>
              </w:rPr>
              <w:t>2025</w:t>
            </w:r>
          </w:p>
        </w:tc>
        <w:tc>
          <w:tcPr>
            <w:tcW w:w="3979" w:type="dxa"/>
            <w:shd w:val="clear" w:color="auto" w:fill="C6EFCE"/>
            <w:noWrap/>
          </w:tcPr>
          <w:p w14:paraId="052CFC47" w14:textId="77777777" w:rsidR="00553430" w:rsidRDefault="00212577">
            <w:pPr>
              <w:pStyle w:val="P68B1DB1-Normal102"/>
              <w:spacing w:line="276" w:lineRule="auto"/>
              <w:rPr>
                <w:noProof/>
              </w:rPr>
            </w:pPr>
            <w:r>
              <w:rPr>
                <w:noProof/>
              </w:rPr>
              <w:t xml:space="preserve">Sur la base de l’assistance consultative d’experts externes </w:t>
            </w:r>
            <w:r>
              <w:rPr>
                <w:noProof/>
              </w:rPr>
              <w:t>engagés pour la mise en place du nouveau cadre institutionnel et de programmation de R &amp; D &amp; I et la conception de nouveaux programmes de R &amp; D, au moins 300 subventions ont été octroyées pour des projets ciblant la coopération entre les entreprises et les</w:t>
            </w:r>
            <w:r>
              <w:rPr>
                <w:noProof/>
              </w:rPr>
              <w:t xml:space="preserve"> organismes de recherche ou les transferts de connaissances et de technologies dans le cadre d’un «programme pilote» visant à soutenir la mise en place d’un cadre de R &amp; D &amp; I réformé. </w:t>
            </w:r>
          </w:p>
        </w:tc>
      </w:tr>
    </w:tbl>
    <w:p w14:paraId="33B7214B" w14:textId="77777777" w:rsidR="00553430" w:rsidRDefault="00212577">
      <w:pPr>
        <w:pStyle w:val="P68B1DB1-Normal130"/>
        <w:keepNext/>
        <w:tabs>
          <w:tab w:val="left" w:pos="850"/>
        </w:tabs>
        <w:spacing w:before="360" w:line="240" w:lineRule="auto"/>
        <w:jc w:val="both"/>
        <w:outlineLvl w:val="0"/>
        <w:rPr>
          <w:noProof/>
        </w:rPr>
        <w:sectPr w:rsidR="00553430" w:rsidSect="00FA29B2">
          <w:headerReference w:type="even" r:id="rId309"/>
          <w:headerReference w:type="default" r:id="rId310"/>
          <w:footerReference w:type="even" r:id="rId311"/>
          <w:footerReference w:type="default" r:id="rId312"/>
          <w:headerReference w:type="first" r:id="rId313"/>
          <w:footerReference w:type="first" r:id="rId314"/>
          <w:pgSz w:w="16839" w:h="11907" w:orient="landscape"/>
          <w:pgMar w:top="1134" w:right="1134" w:bottom="1134" w:left="1134" w:header="567" w:footer="567" w:gutter="0"/>
          <w:cols w:space="708"/>
          <w:docGrid w:linePitch="360"/>
        </w:sectPr>
      </w:pPr>
      <w:r>
        <w:rPr>
          <w:noProof/>
        </w:rPr>
        <w:br/>
      </w:r>
    </w:p>
    <w:p w14:paraId="1384F85D" w14:textId="77777777" w:rsidR="00553430" w:rsidRDefault="00212577">
      <w:pPr>
        <w:pStyle w:val="P68B1DB1-Normal131"/>
        <w:keepNext/>
        <w:tabs>
          <w:tab w:val="left" w:pos="850"/>
        </w:tabs>
        <w:spacing w:before="360" w:line="240" w:lineRule="auto"/>
        <w:jc w:val="both"/>
        <w:outlineLvl w:val="0"/>
        <w:rPr>
          <w:rFonts w:ascii="Times New Roman" w:eastAsia="Calibri" w:hAnsi="Times New Roman" w:cs="Times New Roman"/>
          <w:noProof/>
          <w:szCs w:val="24"/>
        </w:rPr>
      </w:pPr>
      <w:r>
        <w:rPr>
          <w:rFonts w:ascii="Times New Roman" w:eastAsia="Calibri" w:hAnsi="Times New Roman" w:cs="Times New Roman"/>
          <w:noProof/>
          <w:szCs w:val="28"/>
        </w:rPr>
        <w:t xml:space="preserve">R. Élément 4.1: AMÉLIORATION DES MESURES D'EMPLOI ET DU </w:t>
      </w:r>
      <w:r>
        <w:rPr>
          <w:rFonts w:ascii="Times New Roman" w:eastAsia="Calibri" w:hAnsi="Times New Roman" w:cs="Times New Roman"/>
          <w:noProof/>
          <w:szCs w:val="24"/>
        </w:rPr>
        <w:t>CADRE JURIDIQUE POUR UN MARCHÉ DU TRAVAIL MODERNE ET L'ÉCONOMIE DE L'AVENIR</w:t>
      </w:r>
    </w:p>
    <w:p w14:paraId="6F38D183" w14:textId="77777777" w:rsidR="00553430" w:rsidRDefault="00212577">
      <w:pPr>
        <w:pStyle w:val="P68B1DB1-Normal33"/>
        <w:spacing w:line="240" w:lineRule="auto"/>
        <w:jc w:val="both"/>
        <w:rPr>
          <w:noProof/>
        </w:rPr>
      </w:pPr>
      <w:r>
        <w:rPr>
          <w:noProof/>
        </w:rPr>
        <w:t xml:space="preserve">Ce volet du plan croate pour la reprise et la résilience aborde les questions relatives au marché du travail, notamment en </w:t>
      </w:r>
      <w:r>
        <w:rPr>
          <w:noProof/>
        </w:rPr>
        <w:t xml:space="preserve">modernisant la réglementation du marché du travail et en élaborant des politiques actives ciblées en la matière. L’objectif général des réformes et des investissements dans ce volet est de contribuer à accroître l’emploi en Croatie, qui reste bien en deçà </w:t>
      </w:r>
      <w:r>
        <w:rPr>
          <w:noProof/>
        </w:rPr>
        <w:t xml:space="preserve">de la moyenne de l’UE malgré les améliorations enregistrées ces dernières années. </w:t>
      </w:r>
    </w:p>
    <w:p w14:paraId="71CA8499" w14:textId="77777777" w:rsidR="00553430" w:rsidRDefault="00212577">
      <w:pPr>
        <w:pStyle w:val="P68B1DB1-Normal33"/>
        <w:spacing w:line="240" w:lineRule="auto"/>
        <w:jc w:val="both"/>
        <w:rPr>
          <w:noProof/>
        </w:rPr>
      </w:pPr>
      <w:r>
        <w:rPr>
          <w:noProof/>
        </w:rPr>
        <w:t>Les objectifs spécifiques poursuivis par ce volet sont les suivants:</w:t>
      </w:r>
    </w:p>
    <w:p w14:paraId="014DE516" w14:textId="77777777" w:rsidR="00553430" w:rsidRDefault="00212577">
      <w:pPr>
        <w:pStyle w:val="P68B1DB1-Normal83"/>
        <w:numPr>
          <w:ilvl w:val="0"/>
          <w:numId w:val="70"/>
        </w:numPr>
        <w:tabs>
          <w:tab w:val="left" w:pos="426"/>
        </w:tabs>
        <w:spacing w:before="120" w:after="120" w:line="276" w:lineRule="auto"/>
        <w:ind w:left="714" w:hanging="357"/>
        <w:jc w:val="both"/>
        <w:rPr>
          <w:noProof/>
        </w:rPr>
      </w:pPr>
      <w:r>
        <w:rPr>
          <w:noProof/>
        </w:rPr>
        <w:t xml:space="preserve">Élaboration et mise en œuvre de nouvelles politiques actives du marché du travail soutenant la création </w:t>
      </w:r>
      <w:r>
        <w:rPr>
          <w:noProof/>
        </w:rPr>
        <w:t>d’emplois dans les domaines vert et numérique</w:t>
      </w:r>
    </w:p>
    <w:p w14:paraId="245A2814" w14:textId="77777777" w:rsidR="00553430" w:rsidRDefault="00212577">
      <w:pPr>
        <w:pStyle w:val="P68B1DB1-Normal83"/>
        <w:numPr>
          <w:ilvl w:val="0"/>
          <w:numId w:val="70"/>
        </w:numPr>
        <w:tabs>
          <w:tab w:val="left" w:pos="426"/>
        </w:tabs>
        <w:spacing w:before="120" w:after="120" w:line="276" w:lineRule="auto"/>
        <w:ind w:left="714" w:hanging="357"/>
        <w:jc w:val="both"/>
        <w:rPr>
          <w:noProof/>
        </w:rPr>
      </w:pPr>
      <w:r>
        <w:rPr>
          <w:noProof/>
        </w:rPr>
        <w:t>Amélioration du système d'inclusion et de suivi des groupes vulnérables sur le marché du travail</w:t>
      </w:r>
    </w:p>
    <w:p w14:paraId="31C04BC1" w14:textId="77777777" w:rsidR="00553430" w:rsidRDefault="00212577">
      <w:pPr>
        <w:pStyle w:val="P68B1DB1-Normal83"/>
        <w:numPr>
          <w:ilvl w:val="0"/>
          <w:numId w:val="70"/>
        </w:numPr>
        <w:tabs>
          <w:tab w:val="left" w:pos="426"/>
        </w:tabs>
        <w:spacing w:before="120" w:after="120" w:line="276" w:lineRule="auto"/>
        <w:ind w:left="714" w:hanging="357"/>
        <w:jc w:val="both"/>
        <w:rPr>
          <w:noProof/>
        </w:rPr>
      </w:pPr>
      <w:r>
        <w:rPr>
          <w:noProof/>
        </w:rPr>
        <w:t>Introduction d’un système de chèques pour l’éducation et le perfectionnement des adultes, en particulier</w:t>
      </w:r>
      <w:r>
        <w:rPr>
          <w:noProof/>
        </w:rPr>
        <w:softHyphen/>
      </w:r>
      <w:r>
        <w:rPr>
          <w:noProof/>
        </w:rPr>
        <w:softHyphen/>
      </w:r>
      <w:r>
        <w:rPr>
          <w:noProof/>
        </w:rPr>
        <w:softHyphen/>
      </w:r>
      <w:r>
        <w:rPr>
          <w:noProof/>
        </w:rPr>
        <w:softHyphen/>
        <w:t xml:space="preserve"> l’ac</w:t>
      </w:r>
      <w:r>
        <w:rPr>
          <w:noProof/>
        </w:rPr>
        <w:t>quisition de compétences liées aux technologies vertes et numériques</w:t>
      </w:r>
    </w:p>
    <w:p w14:paraId="3926EAD7" w14:textId="77777777" w:rsidR="00553430" w:rsidRDefault="00212577">
      <w:pPr>
        <w:pStyle w:val="P68B1DB1-Normal83"/>
        <w:numPr>
          <w:ilvl w:val="0"/>
          <w:numId w:val="70"/>
        </w:numPr>
        <w:tabs>
          <w:tab w:val="left" w:pos="426"/>
        </w:tabs>
        <w:spacing w:before="120" w:after="120" w:line="276" w:lineRule="auto"/>
        <w:ind w:left="714" w:hanging="357"/>
        <w:jc w:val="both"/>
        <w:rPr>
          <w:noProof/>
        </w:rPr>
      </w:pPr>
      <w:r>
        <w:rPr>
          <w:noProof/>
        </w:rPr>
        <w:t>Amélioration du droit du travail</w:t>
      </w:r>
    </w:p>
    <w:p w14:paraId="250C1362" w14:textId="77777777" w:rsidR="00553430" w:rsidRDefault="00212577">
      <w:pPr>
        <w:pStyle w:val="P68B1DB1-Normal33"/>
        <w:spacing w:line="240" w:lineRule="auto"/>
        <w:jc w:val="both"/>
        <w:rPr>
          <w:noProof/>
        </w:rPr>
      </w:pPr>
      <w:r>
        <w:rPr>
          <w:noProof/>
        </w:rPr>
        <w:t>Ce volet répond à la recommandation par pays visant à renforcer les mesures et les institutions du marché du travail et leur coordination avec les service</w:t>
      </w:r>
      <w:r>
        <w:rPr>
          <w:noProof/>
        </w:rPr>
        <w:t>s sociaux (recommandation par pays no 2, 2019),</w:t>
      </w:r>
      <w:r>
        <w:rPr>
          <w:noProof/>
          <w:bdr w:val="none" w:sz="0" w:space="0" w:color="auto" w:frame="1"/>
        </w:rPr>
        <w:t xml:space="preserve"> ainsi qu’à </w:t>
      </w:r>
      <w:r>
        <w:rPr>
          <w:noProof/>
        </w:rPr>
        <w:t>la recommandation par pays visant à</w:t>
      </w:r>
      <w:r>
        <w:rPr>
          <w:noProof/>
          <w:bdr w:val="none" w:sz="0" w:space="0" w:color="auto" w:frame="1"/>
        </w:rPr>
        <w:t xml:space="preserve"> favoriser l’acquisition de compétences (recommandation par pays no 2.4, 2020).</w:t>
      </w:r>
      <w:r>
        <w:rPr>
          <w:noProof/>
        </w:rPr>
        <w:t> </w:t>
      </w:r>
    </w:p>
    <w:p w14:paraId="5B506D84" w14:textId="77777777" w:rsidR="00553430" w:rsidRDefault="00212577">
      <w:pPr>
        <w:pStyle w:val="P68B1DB1-Normal57"/>
        <w:keepNext/>
        <w:spacing w:before="40" w:after="0"/>
        <w:ind w:left="851"/>
        <w:jc w:val="both"/>
        <w:outlineLvl w:val="1"/>
        <w:rPr>
          <w:noProof/>
        </w:rPr>
      </w:pPr>
      <w:r>
        <w:rPr>
          <w:noProof/>
        </w:rPr>
        <w:t xml:space="preserve">R.1. </w:t>
      </w:r>
      <w:r>
        <w:rPr>
          <w:noProof/>
        </w:rPr>
        <w:tab/>
        <w:t>Description des réformes et des investissements pour le soutien financier n</w:t>
      </w:r>
      <w:r>
        <w:rPr>
          <w:noProof/>
        </w:rPr>
        <w:t>on remboursable</w:t>
      </w:r>
    </w:p>
    <w:p w14:paraId="378655C4" w14:textId="77777777" w:rsidR="00553430" w:rsidRDefault="00212577">
      <w:pPr>
        <w:pStyle w:val="P68B1DB1-Normal96"/>
        <w:keepNext/>
        <w:tabs>
          <w:tab w:val="num" w:pos="850"/>
        </w:tabs>
        <w:spacing w:before="240" w:after="0"/>
        <w:ind w:left="851"/>
        <w:jc w:val="both"/>
        <w:outlineLvl w:val="2"/>
        <w:rPr>
          <w:noProof/>
        </w:rPr>
      </w:pPr>
      <w:r>
        <w:rPr>
          <w:noProof/>
        </w:rPr>
        <w:t>Réforme C4.1 R1 – Élaboration et mise en œuvre de nouvelles politiques actives ciblées du marché du travail aux fins de la transition écologique et numérique du marché du travail</w:t>
      </w:r>
    </w:p>
    <w:p w14:paraId="6F1A7DE6" w14:textId="77777777" w:rsidR="00553430" w:rsidRDefault="00212577">
      <w:pPr>
        <w:pStyle w:val="P68B1DB1-Normal33"/>
        <w:spacing w:before="120" w:line="240" w:lineRule="auto"/>
        <w:jc w:val="both"/>
        <w:rPr>
          <w:noProof/>
        </w:rPr>
      </w:pPr>
      <w:r>
        <w:rPr>
          <w:noProof/>
        </w:rPr>
        <w:t>L’objectif de cette mesure est d’adopter de nouvelles politiq</w:t>
      </w:r>
      <w:r>
        <w:rPr>
          <w:noProof/>
        </w:rPr>
        <w:t xml:space="preserve">ues actives du marché du travail (PAMT) afin de stimuler l’emploi et le travail indépendant liés aux transitions écologique et numérique et d’accroître la compétitivité et l’employabilité de la main-d’œuvre conformément aux besoins du marché du travail et </w:t>
      </w:r>
      <w:r>
        <w:rPr>
          <w:noProof/>
        </w:rPr>
        <w:t xml:space="preserve">en mettant particulièrement l’accent sur les groupes vulnérables. Cette mesure consiste à adopter de nouvelles politiques actives du marché du travail et à soutenir les bénéficiaires, y compris les groupes vulnérables. </w:t>
      </w:r>
    </w:p>
    <w:p w14:paraId="665CC28F" w14:textId="77777777" w:rsidR="00553430" w:rsidRDefault="00212577">
      <w:pPr>
        <w:pStyle w:val="P68B1DB1-Normal96"/>
        <w:keepNext/>
        <w:tabs>
          <w:tab w:val="num" w:pos="850"/>
        </w:tabs>
        <w:spacing w:before="240" w:after="0"/>
        <w:ind w:left="851"/>
        <w:jc w:val="both"/>
        <w:outlineLvl w:val="2"/>
        <w:rPr>
          <w:noProof/>
        </w:rPr>
      </w:pPr>
      <w:r>
        <w:rPr>
          <w:noProof/>
        </w:rPr>
        <w:t>Réforme C4.1 R2 – Renforcement du système d’inclusion et de suivi des groupes vulnérables sur le marché du travail grâce à l’amélioration des processus des services de l’emploi</w:t>
      </w:r>
    </w:p>
    <w:p w14:paraId="0FA0D845" w14:textId="77777777" w:rsidR="00553430" w:rsidRDefault="00212577">
      <w:pPr>
        <w:pStyle w:val="P68B1DB1-Normal46"/>
        <w:spacing w:before="120" w:after="240" w:line="240" w:lineRule="auto"/>
        <w:jc w:val="both"/>
        <w:rPr>
          <w:rFonts w:eastAsia="Times New Roman"/>
          <w:noProof/>
        </w:rPr>
      </w:pPr>
      <w:r>
        <w:rPr>
          <w:noProof/>
        </w:rPr>
        <w:t>L’objectif de cette mesure est de renforcer le soutien aux chômeurs et aux grou</w:t>
      </w:r>
      <w:r>
        <w:rPr>
          <w:noProof/>
        </w:rPr>
        <w:t>pes vulnérables. Cette mesure consiste à modifier la loi sur le marché du travail, à améliorer les processus de CES pour le profilage et l’activation et à fournir un soutien aux personnes vulnérables.</w:t>
      </w:r>
    </w:p>
    <w:p w14:paraId="0C58EDAE" w14:textId="77777777" w:rsidR="00553430" w:rsidRDefault="00212577">
      <w:pPr>
        <w:pStyle w:val="P68B1DB1-Normal96"/>
        <w:keepNext/>
        <w:tabs>
          <w:tab w:val="num" w:pos="850"/>
        </w:tabs>
        <w:spacing w:before="240" w:after="0"/>
        <w:ind w:left="851"/>
        <w:jc w:val="both"/>
        <w:outlineLvl w:val="2"/>
        <w:rPr>
          <w:noProof/>
        </w:rPr>
      </w:pPr>
      <w:r>
        <w:rPr>
          <w:noProof/>
        </w:rPr>
        <w:t>Réforme C4.1 R3 – Mise en place d’un système de chèques</w:t>
      </w:r>
      <w:r>
        <w:rPr>
          <w:noProof/>
        </w:rPr>
        <w:t xml:space="preserve"> pour l’éducation, la formation et le perfectionnement des adultes</w:t>
      </w:r>
    </w:p>
    <w:p w14:paraId="63472D4F" w14:textId="77777777" w:rsidR="00553430" w:rsidRDefault="00212577">
      <w:pPr>
        <w:pStyle w:val="P68B1DB1-Normal33"/>
        <w:spacing w:before="120" w:line="240" w:lineRule="auto"/>
        <w:jc w:val="both"/>
        <w:rPr>
          <w:rFonts w:eastAsia="Times New Roman"/>
          <w:noProof/>
        </w:rPr>
      </w:pPr>
      <w:r>
        <w:rPr>
          <w:noProof/>
        </w:rPr>
        <w:t xml:space="preserve">L’objectif de cette réforme est d’accroître l’employabilité des travailleurs et de mieux faire correspondre l’offre et la demande sur le marché du travail en soutenant l’apprentissage tout </w:t>
      </w:r>
      <w:r>
        <w:rPr>
          <w:noProof/>
        </w:rPr>
        <w:t xml:space="preserve">au long de la vie et l’acquisition de nouvelles compétences, en particulier les compétences vertes et numériques. </w:t>
      </w:r>
    </w:p>
    <w:p w14:paraId="3CA21CF2" w14:textId="77777777" w:rsidR="00553430" w:rsidRDefault="00212577">
      <w:pPr>
        <w:pStyle w:val="P68B1DB1-Normal33"/>
        <w:spacing w:line="240" w:lineRule="auto"/>
        <w:jc w:val="both"/>
        <w:rPr>
          <w:noProof/>
        </w:rPr>
      </w:pPr>
      <w:r>
        <w:rPr>
          <w:noProof/>
        </w:rPr>
        <w:t>La réforme comprend:</w:t>
      </w:r>
    </w:p>
    <w:p w14:paraId="323D434F" w14:textId="77777777" w:rsidR="00553430" w:rsidRDefault="00212577">
      <w:pPr>
        <w:pStyle w:val="P68B1DB1-Normal83"/>
        <w:numPr>
          <w:ilvl w:val="0"/>
          <w:numId w:val="70"/>
        </w:numPr>
        <w:tabs>
          <w:tab w:val="left" w:pos="426"/>
        </w:tabs>
        <w:spacing w:before="120" w:after="120" w:line="276" w:lineRule="auto"/>
        <w:ind w:left="714" w:hanging="357"/>
        <w:jc w:val="both"/>
        <w:rPr>
          <w:noProof/>
        </w:rPr>
      </w:pPr>
      <w:r>
        <w:rPr>
          <w:noProof/>
        </w:rPr>
        <w:t>L’adoption d’une nouvelle loi sur l’éducation des adultes, qui vise à améliorer la qualité de l’éducation et de la forma</w:t>
      </w:r>
      <w:r>
        <w:rPr>
          <w:noProof/>
        </w:rPr>
        <w:t>tion des adultes grâce à l’amélioration de l’accréditation, du suivi et de l’évaluation des établissements d’éducation des adultes, à l’introduction de bons d’éducation des adultes et à leur alignement sur le cadre croate des certifications dans le système</w:t>
      </w:r>
      <w:r>
        <w:rPr>
          <w:noProof/>
        </w:rPr>
        <w:t xml:space="preserve"> d’éducation des adultes.</w:t>
      </w:r>
    </w:p>
    <w:p w14:paraId="734C0DE8" w14:textId="77777777" w:rsidR="00553430" w:rsidRDefault="00212577">
      <w:pPr>
        <w:pStyle w:val="P68B1DB1-Normal83"/>
        <w:numPr>
          <w:ilvl w:val="0"/>
          <w:numId w:val="70"/>
        </w:numPr>
        <w:tabs>
          <w:tab w:val="left" w:pos="426"/>
        </w:tabs>
        <w:spacing w:before="120" w:after="120" w:line="276" w:lineRule="auto"/>
        <w:ind w:left="714" w:hanging="357"/>
        <w:jc w:val="both"/>
        <w:rPr>
          <w:noProof/>
        </w:rPr>
      </w:pPr>
      <w:r>
        <w:rPr>
          <w:noProof/>
        </w:rPr>
        <w:t>Cartographie des compétences, en mettant l’accent sur les compétences prioritaires sur le marché du travail, y compris les compétences en pénurie, les compétences vertes et numériques, qui seront utilisées pour mettre à jour le ca</w:t>
      </w:r>
      <w:r>
        <w:rPr>
          <w:noProof/>
        </w:rPr>
        <w:t>talogue des compétences et définir les compétences et les programmes éducatifs connexes à financer au moyen de bons.</w:t>
      </w:r>
    </w:p>
    <w:p w14:paraId="47BE5FD0" w14:textId="77777777" w:rsidR="00553430" w:rsidRDefault="00212577">
      <w:pPr>
        <w:pStyle w:val="P68B1DB1-Normal83"/>
        <w:numPr>
          <w:ilvl w:val="0"/>
          <w:numId w:val="70"/>
        </w:numPr>
        <w:tabs>
          <w:tab w:val="left" w:pos="426"/>
        </w:tabs>
        <w:spacing w:before="120" w:after="120" w:line="276" w:lineRule="auto"/>
        <w:ind w:left="714" w:hanging="357"/>
        <w:jc w:val="both"/>
        <w:rPr>
          <w:noProof/>
        </w:rPr>
      </w:pPr>
      <w:r>
        <w:rPr>
          <w:noProof/>
        </w:rPr>
        <w:t>Développement d’un outil informatique pour une évaluation complète des compétences des bénéficiaires potentiels.</w:t>
      </w:r>
    </w:p>
    <w:p w14:paraId="6D6E8301" w14:textId="77777777" w:rsidR="00553430" w:rsidRDefault="00212577">
      <w:pPr>
        <w:pStyle w:val="P68B1DB1-Normal83"/>
        <w:numPr>
          <w:ilvl w:val="0"/>
          <w:numId w:val="70"/>
        </w:numPr>
        <w:tabs>
          <w:tab w:val="left" w:pos="426"/>
        </w:tabs>
        <w:spacing w:before="120" w:after="120" w:line="276" w:lineRule="auto"/>
        <w:ind w:left="714" w:hanging="357"/>
        <w:jc w:val="both"/>
        <w:rPr>
          <w:noProof/>
        </w:rPr>
      </w:pPr>
      <w:r>
        <w:rPr>
          <w:noProof/>
        </w:rPr>
        <w:t>Sensibilisation des groupe</w:t>
      </w:r>
      <w:r>
        <w:rPr>
          <w:noProof/>
        </w:rPr>
        <w:t xml:space="preserve">s vulnérables à l’aide d’orientations et de conseils afin d’accroître leur participation à des initiatives de renforcement des compétences, y compris des bons. </w:t>
      </w:r>
    </w:p>
    <w:p w14:paraId="43A4B267" w14:textId="77777777" w:rsidR="00553430" w:rsidRDefault="00212577">
      <w:pPr>
        <w:pStyle w:val="P68B1DB1-Normal83"/>
        <w:numPr>
          <w:ilvl w:val="0"/>
          <w:numId w:val="70"/>
        </w:numPr>
        <w:tabs>
          <w:tab w:val="left" w:pos="426"/>
        </w:tabs>
        <w:spacing w:before="120" w:after="120" w:line="276" w:lineRule="auto"/>
        <w:ind w:left="714" w:hanging="357"/>
        <w:jc w:val="both"/>
        <w:rPr>
          <w:noProof/>
        </w:rPr>
      </w:pPr>
      <w:r>
        <w:rPr>
          <w:noProof/>
        </w:rPr>
        <w:t>Mise en œuvre de la demande d’utilisation de bons par les bénéficiaires, les prestataires d’ens</w:t>
      </w:r>
      <w:r>
        <w:rPr>
          <w:noProof/>
        </w:rPr>
        <w:t>eignement, les conseillers et les employeurs.</w:t>
      </w:r>
    </w:p>
    <w:p w14:paraId="205CE8C5" w14:textId="77777777" w:rsidR="00553430" w:rsidRDefault="00212577">
      <w:pPr>
        <w:pStyle w:val="P68B1DB1-Normal33"/>
        <w:spacing w:line="240" w:lineRule="auto"/>
        <w:jc w:val="both"/>
        <w:rPr>
          <w:noProof/>
        </w:rPr>
      </w:pPr>
      <w:r>
        <w:rPr>
          <w:noProof/>
        </w:rPr>
        <w:t>La réforme est mise en œuvre au plus tard le 30 juin 2025.</w:t>
      </w:r>
    </w:p>
    <w:p w14:paraId="275A8EC1" w14:textId="77777777" w:rsidR="00553430" w:rsidRDefault="00212577">
      <w:pPr>
        <w:pStyle w:val="P68B1DB1-Normal96"/>
        <w:keepNext/>
        <w:numPr>
          <w:ilvl w:val="2"/>
          <w:numId w:val="0"/>
        </w:numPr>
        <w:spacing w:before="240" w:after="0"/>
        <w:ind w:left="851"/>
        <w:jc w:val="both"/>
        <w:outlineLvl w:val="2"/>
        <w:rPr>
          <w:bCs/>
          <w:noProof/>
        </w:rPr>
      </w:pPr>
      <w:r>
        <w:rPr>
          <w:noProof/>
        </w:rPr>
        <w:t>Investissement C4.1 R3-I1 – Mise en œuvre de bons pour l’éducation, la formation et le perfectionnement des adultes</w:t>
      </w:r>
    </w:p>
    <w:p w14:paraId="58235D00" w14:textId="2CCB2DAD" w:rsidR="00553430" w:rsidRDefault="00212577">
      <w:pPr>
        <w:pStyle w:val="P68B1DB1-Normal46"/>
        <w:spacing w:before="120" w:line="240" w:lineRule="auto"/>
        <w:jc w:val="both"/>
        <w:rPr>
          <w:rFonts w:eastAsia="Calibri"/>
          <w:noProof/>
        </w:rPr>
      </w:pPr>
      <w:r>
        <w:rPr>
          <w:noProof/>
        </w:rPr>
        <w:t xml:space="preserve">L’objectif de l’investissement est </w:t>
      </w:r>
      <w:r>
        <w:rPr>
          <w:noProof/>
        </w:rPr>
        <w:t xml:space="preserve">de financer des programmes accrédités d’éducation, de formation et de perfectionnement des adultes afin d’acquérir les compétences nécessaires sur le marché du travail, et en particulier dans le cadre de la transition vers une économie verte et numérique. </w:t>
      </w:r>
      <w:r>
        <w:rPr>
          <w:noProof/>
        </w:rPr>
        <w:t xml:space="preserve">Cette mesure consiste à attribuer des bons pour l’éducation des adultes, en mettant l’accent sur les groupes vulnérables. </w:t>
      </w:r>
    </w:p>
    <w:p w14:paraId="5FB3AF80" w14:textId="77777777" w:rsidR="00553430" w:rsidRDefault="00212577">
      <w:pPr>
        <w:pStyle w:val="P68B1DB1-Normal96"/>
        <w:keepNext/>
        <w:numPr>
          <w:ilvl w:val="2"/>
          <w:numId w:val="0"/>
        </w:numPr>
        <w:spacing w:before="240" w:after="0"/>
        <w:ind w:left="851"/>
        <w:jc w:val="both"/>
        <w:outlineLvl w:val="2"/>
        <w:rPr>
          <w:bCs/>
          <w:noProof/>
        </w:rPr>
      </w:pPr>
      <w:r>
        <w:rPr>
          <w:noProof/>
        </w:rPr>
        <w:t>Réforme C4.1 R4 – Amélioration de la législation du travail</w:t>
      </w:r>
    </w:p>
    <w:p w14:paraId="0B60ADED" w14:textId="77777777" w:rsidR="00553430" w:rsidRDefault="00212577">
      <w:pPr>
        <w:pStyle w:val="P68B1DB1-Normal33"/>
        <w:spacing w:before="120" w:line="240" w:lineRule="auto"/>
        <w:jc w:val="both"/>
        <w:rPr>
          <w:rFonts w:eastAsia="Times New Roman"/>
          <w:noProof/>
        </w:rPr>
      </w:pPr>
      <w:r>
        <w:rPr>
          <w:noProof/>
        </w:rPr>
        <w:t>L’objectif de cette réforme est de créer un cadre législatif clair et mod</w:t>
      </w:r>
      <w:r>
        <w:rPr>
          <w:noProof/>
        </w:rPr>
        <w:t>erne visant à améliorer les conditions de travail et l’équilibre entre vie professionnelle et vie privée, à mieux réglementer les nouvelles formes de travail et à encourager les transitions du contrat à durée déterminée au contrat à durée indéterminée et d</w:t>
      </w:r>
      <w:r>
        <w:rPr>
          <w:noProof/>
        </w:rPr>
        <w:t>u travail non déclaré au travail déclaré.</w:t>
      </w:r>
    </w:p>
    <w:p w14:paraId="16FD0A35" w14:textId="77777777" w:rsidR="00553430" w:rsidRDefault="00212577">
      <w:pPr>
        <w:pStyle w:val="P68B1DB1-Normal33"/>
        <w:spacing w:line="240" w:lineRule="auto"/>
        <w:jc w:val="both"/>
        <w:rPr>
          <w:noProof/>
        </w:rPr>
      </w:pPr>
      <w:r>
        <w:rPr>
          <w:noProof/>
        </w:rPr>
        <w:t>La réforme comprend des modifications de la loi sur le travail, à savoir:</w:t>
      </w:r>
    </w:p>
    <w:p w14:paraId="047D5412" w14:textId="77777777" w:rsidR="00553430" w:rsidRDefault="00212577">
      <w:pPr>
        <w:pStyle w:val="P68B1DB1-Normal83"/>
        <w:numPr>
          <w:ilvl w:val="0"/>
          <w:numId w:val="72"/>
        </w:numPr>
        <w:tabs>
          <w:tab w:val="left" w:pos="426"/>
        </w:tabs>
        <w:spacing w:before="120" w:after="120" w:line="276" w:lineRule="auto"/>
        <w:ind w:left="851" w:hanging="567"/>
        <w:jc w:val="both"/>
        <w:rPr>
          <w:noProof/>
        </w:rPr>
      </w:pPr>
      <w:r>
        <w:rPr>
          <w:noProof/>
        </w:rPr>
        <w:t>Réglementer le travail effectué à domicile afin d’assurer la sécurité juridique des parties à la relation</w:t>
      </w:r>
      <w:r>
        <w:rPr>
          <w:noProof/>
        </w:rPr>
        <w:t xml:space="preserve"> de travail dans des circonstances exceptionnelles et régulières.</w:t>
      </w:r>
    </w:p>
    <w:p w14:paraId="570EEE96" w14:textId="77777777" w:rsidR="00553430" w:rsidRDefault="00212577">
      <w:pPr>
        <w:pStyle w:val="P68B1DB1-Normal83"/>
        <w:numPr>
          <w:ilvl w:val="0"/>
          <w:numId w:val="72"/>
        </w:numPr>
        <w:tabs>
          <w:tab w:val="left" w:pos="426"/>
        </w:tabs>
        <w:spacing w:before="120" w:after="120" w:line="276" w:lineRule="auto"/>
        <w:ind w:left="851" w:hanging="567"/>
        <w:jc w:val="both"/>
        <w:rPr>
          <w:noProof/>
        </w:rPr>
      </w:pPr>
      <w:r>
        <w:rPr>
          <w:noProof/>
        </w:rPr>
        <w:t>Dissuasion du recours à des contrats de travail à durée déterminée injustifiés, en particulier ceux de très courte durée et limitation du nombre d’éventuels contrats temporaires successifs e</w:t>
      </w:r>
      <w:r>
        <w:rPr>
          <w:noProof/>
        </w:rPr>
        <w:t xml:space="preserve">t prévention de l’utilisation abusive de ces contrats, notamment en ce qui concerne le recrutement par des employeurs liés, et meilleure définition de la notion de «succès». </w:t>
      </w:r>
    </w:p>
    <w:p w14:paraId="72E3C53C" w14:textId="77777777" w:rsidR="00553430" w:rsidRDefault="00212577">
      <w:pPr>
        <w:pStyle w:val="P68B1DB1-Normal83"/>
        <w:numPr>
          <w:ilvl w:val="0"/>
          <w:numId w:val="72"/>
        </w:numPr>
        <w:tabs>
          <w:tab w:val="left" w:pos="426"/>
        </w:tabs>
        <w:spacing w:before="120" w:after="120" w:line="276" w:lineRule="auto"/>
        <w:ind w:left="851" w:hanging="567"/>
        <w:jc w:val="both"/>
        <w:rPr>
          <w:noProof/>
        </w:rPr>
      </w:pPr>
      <w:r>
        <w:rPr>
          <w:noProof/>
        </w:rPr>
        <w:t>Renforcer le droit à un travail supplémentaire pour les autres employeurs.</w:t>
      </w:r>
    </w:p>
    <w:p w14:paraId="27127959" w14:textId="77777777" w:rsidR="00553430" w:rsidRDefault="00212577">
      <w:pPr>
        <w:pStyle w:val="P68B1DB1-Normal83"/>
        <w:numPr>
          <w:ilvl w:val="0"/>
          <w:numId w:val="72"/>
        </w:numPr>
        <w:tabs>
          <w:tab w:val="left" w:pos="426"/>
        </w:tabs>
        <w:spacing w:before="120" w:after="120" w:line="276" w:lineRule="auto"/>
        <w:ind w:left="851" w:hanging="567"/>
        <w:jc w:val="both"/>
        <w:rPr>
          <w:noProof/>
        </w:rPr>
      </w:pPr>
      <w:r>
        <w:rPr>
          <w:noProof/>
        </w:rPr>
        <w:t xml:space="preserve">Créer </w:t>
      </w:r>
      <w:r>
        <w:rPr>
          <w:noProof/>
        </w:rPr>
        <w:t>un cadre juridique qui réglemente le travail par l’intermédiaire des plateformes en ligne en tant que forme de travail spécifique, en fixant les droits et obligations subjectifs découlant de cette relation juridique spécifique – droits et obligations fonda</w:t>
      </w:r>
      <w:r>
        <w:rPr>
          <w:noProof/>
        </w:rPr>
        <w:t xml:space="preserve">mentaux sur la base du travail, assurance obligatoire, sécurité et sûreté, temps de repos, résiliation de contrats, codécision et association et droits dans les relations de travail collectives. </w:t>
      </w:r>
    </w:p>
    <w:p w14:paraId="0AC60A33" w14:textId="77777777" w:rsidR="00553430" w:rsidRDefault="00212577">
      <w:pPr>
        <w:pStyle w:val="P68B1DB1-Normal83"/>
        <w:numPr>
          <w:ilvl w:val="0"/>
          <w:numId w:val="72"/>
        </w:numPr>
        <w:tabs>
          <w:tab w:val="left" w:pos="426"/>
        </w:tabs>
        <w:spacing w:before="120" w:after="120" w:line="276" w:lineRule="auto"/>
        <w:ind w:left="851" w:hanging="567"/>
        <w:jc w:val="both"/>
        <w:rPr>
          <w:noProof/>
        </w:rPr>
      </w:pPr>
      <w:r>
        <w:rPr>
          <w:noProof/>
        </w:rPr>
        <w:t>Révision de la disposition juridique relative à la cessation</w:t>
      </w:r>
      <w:r>
        <w:rPr>
          <w:noProof/>
        </w:rPr>
        <w:t xml:space="preserve"> automatique de l’emploi au début de l’âge de la retraite et révision de la disposition relative à l’indemnité de départ obligatoire dans les cas où les travailleurs atteignent l’âge de la retraite, dans le but d’inciter les travailleurs à rester actifs, t</w:t>
      </w:r>
      <w:r>
        <w:rPr>
          <w:noProof/>
        </w:rPr>
        <w:t>out en évitant une charge excessive pour les employeurs.</w:t>
      </w:r>
    </w:p>
    <w:p w14:paraId="6A820936" w14:textId="77777777" w:rsidR="00553430" w:rsidRDefault="00212577">
      <w:pPr>
        <w:pStyle w:val="P68B1DB1-Normal83"/>
        <w:numPr>
          <w:ilvl w:val="0"/>
          <w:numId w:val="72"/>
        </w:numPr>
        <w:tabs>
          <w:tab w:val="left" w:pos="426"/>
        </w:tabs>
        <w:spacing w:before="120" w:after="120" w:line="276" w:lineRule="auto"/>
        <w:ind w:left="851" w:hanging="567"/>
        <w:jc w:val="both"/>
        <w:rPr>
          <w:noProof/>
        </w:rPr>
      </w:pPr>
      <w:r>
        <w:rPr>
          <w:noProof/>
        </w:rPr>
        <w:t>Définir de manière adéquate la notion de rémunération et toutes ses composantes, afin de mieux la lier au salaire minimum et de faciliter l'application de la réglementation du travail et des règles e</w:t>
      </w:r>
      <w:r>
        <w:rPr>
          <w:noProof/>
        </w:rPr>
        <w:t xml:space="preserve">n matière d'imposition des revenus du travail. </w:t>
      </w:r>
    </w:p>
    <w:p w14:paraId="19A84FC9" w14:textId="77777777" w:rsidR="00553430" w:rsidRDefault="00212577">
      <w:pPr>
        <w:pStyle w:val="P68B1DB1-Normal83"/>
        <w:numPr>
          <w:ilvl w:val="0"/>
          <w:numId w:val="72"/>
        </w:numPr>
        <w:tabs>
          <w:tab w:val="left" w:pos="426"/>
        </w:tabs>
        <w:spacing w:before="120" w:after="120" w:line="276" w:lineRule="auto"/>
        <w:ind w:left="851" w:hanging="567"/>
        <w:jc w:val="both"/>
        <w:rPr>
          <w:noProof/>
        </w:rPr>
      </w:pPr>
      <w:r>
        <w:rPr>
          <w:noProof/>
        </w:rPr>
        <w:t>Définir la couverture des droits des conventions collectives en la liant mieux à l’adhésion, afin d’accroître la faible participation des travailleurs aux syndicats et à la négociation collective et de renfor</w:t>
      </w:r>
      <w:r>
        <w:rPr>
          <w:noProof/>
        </w:rPr>
        <w:t>cer ainsi le dialogue social.</w:t>
      </w:r>
    </w:p>
    <w:p w14:paraId="69098C76" w14:textId="77777777" w:rsidR="00553430" w:rsidRDefault="00212577">
      <w:pPr>
        <w:pStyle w:val="P68B1DB1-Normal33"/>
        <w:spacing w:line="240" w:lineRule="auto"/>
        <w:jc w:val="both"/>
        <w:rPr>
          <w:noProof/>
        </w:rPr>
      </w:pPr>
      <w:r>
        <w:rPr>
          <w:noProof/>
        </w:rPr>
        <w:t>La réforme modifiera la loi sur l'assurance maladie obligatoire en transférant le coût des congés de maladie pour les travailleurs actifs admissibles à la retraite à l'Institut croate d'assurance maladie.</w:t>
      </w:r>
    </w:p>
    <w:p w14:paraId="2E5E7EC8" w14:textId="77777777" w:rsidR="00553430" w:rsidRDefault="00212577">
      <w:pPr>
        <w:pStyle w:val="P68B1DB1-Normal33"/>
        <w:spacing w:line="240" w:lineRule="auto"/>
        <w:jc w:val="both"/>
        <w:rPr>
          <w:noProof/>
        </w:rPr>
      </w:pPr>
      <w:r>
        <w:rPr>
          <w:noProof/>
        </w:rPr>
        <w:t>La réforme comprend d</w:t>
      </w:r>
      <w:r>
        <w:rPr>
          <w:noProof/>
        </w:rPr>
        <w:t>es modifications des lois existantes régissant les relations de travail et l’adoption d’une nouvelle loi sur la lutte contre le travail non déclaré, ainsi que des actions non législatives visant à lutter contre le travail non déclaré, à savoir:</w:t>
      </w:r>
    </w:p>
    <w:p w14:paraId="7A32986B" w14:textId="77777777" w:rsidR="00553430" w:rsidRDefault="00212577">
      <w:pPr>
        <w:pStyle w:val="P68B1DB1-Normal83"/>
        <w:numPr>
          <w:ilvl w:val="0"/>
          <w:numId w:val="73"/>
        </w:numPr>
        <w:tabs>
          <w:tab w:val="left" w:pos="426"/>
        </w:tabs>
        <w:spacing w:before="120" w:after="120" w:line="276" w:lineRule="auto"/>
        <w:ind w:left="851" w:hanging="567"/>
        <w:jc w:val="both"/>
        <w:rPr>
          <w:noProof/>
        </w:rPr>
      </w:pPr>
      <w:r>
        <w:rPr>
          <w:noProof/>
        </w:rPr>
        <w:t>Renforcer l</w:t>
      </w:r>
      <w:r>
        <w:rPr>
          <w:noProof/>
        </w:rPr>
        <w:t>es connaissances et les compétences des parties prenantes et des institutions qui les supervisent</w:t>
      </w:r>
    </w:p>
    <w:p w14:paraId="020E31F1" w14:textId="77777777" w:rsidR="00553430" w:rsidRDefault="00212577">
      <w:pPr>
        <w:pStyle w:val="P68B1DB1-Normal83"/>
        <w:numPr>
          <w:ilvl w:val="0"/>
          <w:numId w:val="73"/>
        </w:numPr>
        <w:tabs>
          <w:tab w:val="left" w:pos="426"/>
        </w:tabs>
        <w:spacing w:before="120" w:after="120" w:line="276" w:lineRule="auto"/>
        <w:ind w:left="851" w:hanging="567"/>
        <w:jc w:val="both"/>
        <w:rPr>
          <w:noProof/>
        </w:rPr>
      </w:pPr>
      <w:r>
        <w:rPr>
          <w:noProof/>
        </w:rPr>
        <w:t>Créer des bases de données communes pour un suivi efficace de l’application de la législation</w:t>
      </w:r>
    </w:p>
    <w:p w14:paraId="759EA1C5" w14:textId="77777777" w:rsidR="00553430" w:rsidRDefault="00212577">
      <w:pPr>
        <w:pStyle w:val="P68B1DB1-Normal83"/>
        <w:numPr>
          <w:ilvl w:val="0"/>
          <w:numId w:val="73"/>
        </w:numPr>
        <w:tabs>
          <w:tab w:val="left" w:pos="426"/>
        </w:tabs>
        <w:spacing w:before="120" w:after="120" w:line="276" w:lineRule="auto"/>
        <w:ind w:left="851" w:hanging="567"/>
        <w:jc w:val="both"/>
        <w:rPr>
          <w:noProof/>
        </w:rPr>
      </w:pPr>
      <w:r>
        <w:rPr>
          <w:noProof/>
        </w:rPr>
        <w:t>Redéfinir et mieux harmoniser les sanctions imposées pour le tra</w:t>
      </w:r>
      <w:r>
        <w:rPr>
          <w:noProof/>
        </w:rPr>
        <w:t>vail non déclaré</w:t>
      </w:r>
    </w:p>
    <w:p w14:paraId="61B0FDC0" w14:textId="77777777" w:rsidR="00553430" w:rsidRDefault="00212577">
      <w:pPr>
        <w:pStyle w:val="P68B1DB1-Normal83"/>
        <w:numPr>
          <w:ilvl w:val="0"/>
          <w:numId w:val="73"/>
        </w:numPr>
        <w:tabs>
          <w:tab w:val="left" w:pos="426"/>
        </w:tabs>
        <w:spacing w:before="120" w:after="120" w:line="276" w:lineRule="auto"/>
        <w:ind w:left="851" w:hanging="567"/>
        <w:jc w:val="both"/>
        <w:rPr>
          <w:noProof/>
        </w:rPr>
      </w:pPr>
      <w:r>
        <w:rPr>
          <w:noProof/>
        </w:rPr>
        <w:t>Sensibiliser davantage le public aux avantages du travail légal et aux inconvénients du travail non déclaré, notamment au moyen de campagnes qui feront également connaître les possibilités d’utiliser des mesures actives du marché du travai</w:t>
      </w:r>
      <w:r>
        <w:rPr>
          <w:noProof/>
        </w:rPr>
        <w:t xml:space="preserve">l liées au travail indépendant, ainsi que de formations sur les différentes manières d’enregistrer un artisanat d’entreprise pour lequel des prestations publiques sont versées en montants forfaitaires conformément aux règles fiscales. </w:t>
      </w:r>
    </w:p>
    <w:p w14:paraId="5E0390FB" w14:textId="77777777" w:rsidR="00553430" w:rsidRDefault="00212577">
      <w:pPr>
        <w:pStyle w:val="P68B1DB1-Normal83"/>
        <w:numPr>
          <w:ilvl w:val="0"/>
          <w:numId w:val="73"/>
        </w:numPr>
        <w:tabs>
          <w:tab w:val="left" w:pos="426"/>
        </w:tabs>
        <w:spacing w:before="120" w:after="120" w:line="276" w:lineRule="auto"/>
        <w:ind w:left="851" w:hanging="567"/>
        <w:jc w:val="both"/>
        <w:rPr>
          <w:noProof/>
        </w:rPr>
      </w:pPr>
      <w:r>
        <w:rPr>
          <w:noProof/>
        </w:rPr>
        <w:t>Établir des registre</w:t>
      </w:r>
      <w:r>
        <w:rPr>
          <w:noProof/>
        </w:rPr>
        <w:t>s électroniques des travailleurs et du temps de travail dans le secteur de la construction, puis progressivement dans d'autres activités.</w:t>
      </w:r>
    </w:p>
    <w:p w14:paraId="49DDCC0B" w14:textId="77777777" w:rsidR="00553430" w:rsidRDefault="00212577">
      <w:pPr>
        <w:pStyle w:val="P68B1DB1-Normal83"/>
        <w:numPr>
          <w:ilvl w:val="0"/>
          <w:numId w:val="73"/>
        </w:numPr>
        <w:tabs>
          <w:tab w:val="left" w:pos="426"/>
        </w:tabs>
        <w:spacing w:before="120" w:after="120" w:line="276" w:lineRule="auto"/>
        <w:ind w:left="851" w:hanging="567"/>
        <w:jc w:val="both"/>
        <w:rPr>
          <w:noProof/>
        </w:rPr>
      </w:pPr>
      <w:r>
        <w:rPr>
          <w:noProof/>
        </w:rPr>
        <w:t>Une réglementation plus large de la responsabilité en cas de non-paiement des salaires dans la chaîne contractuelle en</w:t>
      </w:r>
      <w:r>
        <w:rPr>
          <w:noProof/>
        </w:rPr>
        <w:t xml:space="preserve"> cas de sous-traitance. </w:t>
      </w:r>
    </w:p>
    <w:p w14:paraId="5CE99A2F" w14:textId="77777777" w:rsidR="00553430" w:rsidRDefault="00212577">
      <w:pPr>
        <w:pStyle w:val="P68B1DB1-Normal83"/>
        <w:numPr>
          <w:ilvl w:val="0"/>
          <w:numId w:val="73"/>
        </w:numPr>
        <w:tabs>
          <w:tab w:val="left" w:pos="426"/>
        </w:tabs>
        <w:spacing w:before="120" w:after="120" w:line="276" w:lineRule="auto"/>
        <w:ind w:left="851" w:hanging="567"/>
        <w:jc w:val="both"/>
        <w:rPr>
          <w:noProof/>
        </w:rPr>
      </w:pPr>
      <w:r>
        <w:rPr>
          <w:noProof/>
        </w:rPr>
        <w:t>Définir le travail non déclaré dans toutes ses manifestations, renforcer les contrôles et les sanctions applicables aux infractions aux dispositions et réglementer les actions des autorités impliquées dans la lutte contre le travai</w:t>
      </w:r>
      <w:r>
        <w:rPr>
          <w:noProof/>
        </w:rPr>
        <w:t>l non déclaré.</w:t>
      </w:r>
    </w:p>
    <w:p w14:paraId="08CCF543" w14:textId="77777777" w:rsidR="00553430" w:rsidRDefault="00212577">
      <w:pPr>
        <w:pStyle w:val="P68B1DB1-Normal83"/>
        <w:numPr>
          <w:ilvl w:val="0"/>
          <w:numId w:val="73"/>
        </w:numPr>
        <w:tabs>
          <w:tab w:val="left" w:pos="426"/>
        </w:tabs>
        <w:spacing w:before="120" w:after="120" w:line="276" w:lineRule="auto"/>
        <w:ind w:left="851" w:hanging="567"/>
        <w:jc w:val="both"/>
        <w:rPr>
          <w:noProof/>
        </w:rPr>
      </w:pPr>
      <w:r>
        <w:rPr>
          <w:noProof/>
        </w:rPr>
        <w:t>Définir le processus de transition du travail non déclaré au travail déclaré, en obligeant les employeurs à enregistrer un salarié rétroactivement à partir de son premier jour de travail (et un minimum de trois mois) dans les trois jours sui</w:t>
      </w:r>
      <w:r>
        <w:rPr>
          <w:noProof/>
        </w:rPr>
        <w:t xml:space="preserve">vant la détection du travail non déclaré par l’inspection. En outre, l’infraction entraînera une sanction du montant prescrit par travailleur non déclaré et une obligation de payer le salaire, les cotisations et les prestations du travailleur. </w:t>
      </w:r>
    </w:p>
    <w:p w14:paraId="39E9CC4E" w14:textId="77777777" w:rsidR="00553430" w:rsidRDefault="00212577">
      <w:pPr>
        <w:pStyle w:val="P68B1DB1-Normal33"/>
        <w:spacing w:line="240" w:lineRule="auto"/>
        <w:jc w:val="both"/>
        <w:rPr>
          <w:noProof/>
        </w:rPr>
      </w:pPr>
      <w:r>
        <w:rPr>
          <w:noProof/>
        </w:rPr>
        <w:t xml:space="preserve">La réforme </w:t>
      </w:r>
      <w:r>
        <w:rPr>
          <w:noProof/>
        </w:rPr>
        <w:t>comprend des modifications de la loi sur le salaire minimum, à savoir:</w:t>
      </w:r>
    </w:p>
    <w:p w14:paraId="594F9251" w14:textId="77777777" w:rsidR="00553430" w:rsidRDefault="00212577">
      <w:pPr>
        <w:pStyle w:val="P68B1DB1-Normal83"/>
        <w:numPr>
          <w:ilvl w:val="0"/>
          <w:numId w:val="74"/>
        </w:numPr>
        <w:tabs>
          <w:tab w:val="left" w:pos="426"/>
        </w:tabs>
        <w:spacing w:before="120" w:after="120" w:line="276" w:lineRule="auto"/>
        <w:ind w:left="851" w:hanging="567"/>
        <w:jc w:val="both"/>
        <w:rPr>
          <w:noProof/>
        </w:rPr>
      </w:pPr>
      <w:r>
        <w:rPr>
          <w:noProof/>
        </w:rPr>
        <w:t>Exclusion de la majorité des suppléments de salaire du montant du salaire minimum et imposition d'augmentations minimales pour les heures supplémentaires, le travail de nuit et le trava</w:t>
      </w:r>
      <w:r>
        <w:rPr>
          <w:noProof/>
        </w:rPr>
        <w:t>il le dimanche et les jours fériés.</w:t>
      </w:r>
    </w:p>
    <w:p w14:paraId="5CAD204A" w14:textId="77777777" w:rsidR="00553430" w:rsidRDefault="00212577">
      <w:pPr>
        <w:pStyle w:val="P68B1DB1-Normal83"/>
        <w:numPr>
          <w:ilvl w:val="0"/>
          <w:numId w:val="74"/>
        </w:numPr>
        <w:tabs>
          <w:tab w:val="left" w:pos="426"/>
        </w:tabs>
        <w:spacing w:before="120" w:after="120" w:line="276" w:lineRule="auto"/>
        <w:ind w:left="851" w:hanging="567"/>
        <w:jc w:val="both"/>
        <w:rPr>
          <w:noProof/>
        </w:rPr>
      </w:pPr>
      <w:r>
        <w:rPr>
          <w:noProof/>
        </w:rPr>
        <w:t>Éliminer la possibilité de renoncer au salaire minimum afin d'éviter d'éventuels abus de la part des employeurs.</w:t>
      </w:r>
    </w:p>
    <w:p w14:paraId="78BCA22D" w14:textId="77777777" w:rsidR="00553430" w:rsidRDefault="00212577">
      <w:pPr>
        <w:pStyle w:val="P68B1DB1-Normal83"/>
        <w:numPr>
          <w:ilvl w:val="0"/>
          <w:numId w:val="74"/>
        </w:numPr>
        <w:tabs>
          <w:tab w:val="left" w:pos="426"/>
        </w:tabs>
        <w:spacing w:before="120" w:after="120" w:line="276" w:lineRule="auto"/>
        <w:ind w:left="851" w:hanging="567"/>
        <w:jc w:val="both"/>
        <w:rPr>
          <w:noProof/>
        </w:rPr>
      </w:pPr>
      <w:r>
        <w:rPr>
          <w:noProof/>
        </w:rPr>
        <w:t>Renforcer les contrôles par les autorités d’inspection et redéfinir les sanctions en cas de non-paiement du</w:t>
      </w:r>
      <w:r>
        <w:rPr>
          <w:noProof/>
        </w:rPr>
        <w:t xml:space="preserve"> salaire minimum.</w:t>
      </w:r>
    </w:p>
    <w:p w14:paraId="77A69CBE" w14:textId="77777777" w:rsidR="00553430" w:rsidRDefault="00212577">
      <w:pPr>
        <w:pStyle w:val="P68B1DB1-Normal83"/>
        <w:numPr>
          <w:ilvl w:val="0"/>
          <w:numId w:val="74"/>
        </w:numPr>
        <w:tabs>
          <w:tab w:val="left" w:pos="426"/>
        </w:tabs>
        <w:spacing w:before="120" w:after="120" w:line="276" w:lineRule="auto"/>
        <w:ind w:left="851" w:hanging="567"/>
        <w:jc w:val="both"/>
        <w:rPr>
          <w:noProof/>
        </w:rPr>
      </w:pPr>
      <w:r>
        <w:rPr>
          <w:noProof/>
        </w:rPr>
        <w:t>Renforcer le rôle de la Commission d'experts pour le suivi et l'analyse de l'évolution du salaire minimum en lui confiant des analyses de l'impact potentiel des augmentations du salaire minimum sur l'économie, l'emploi, le niveau de vie e</w:t>
      </w:r>
      <w:r>
        <w:rPr>
          <w:noProof/>
        </w:rPr>
        <w:t xml:space="preserve">t d'autres segments de la vie et du travail, et, en conséquence, recommander des lignes directrices. </w:t>
      </w:r>
    </w:p>
    <w:p w14:paraId="4DD823BA" w14:textId="77777777" w:rsidR="00553430" w:rsidRDefault="00212577">
      <w:pPr>
        <w:pStyle w:val="P68B1DB1-Normal33"/>
        <w:spacing w:line="240" w:lineRule="auto"/>
        <w:jc w:val="both"/>
        <w:rPr>
          <w:noProof/>
        </w:rPr>
      </w:pPr>
      <w:r>
        <w:rPr>
          <w:noProof/>
        </w:rPr>
        <w:t>La réforme est achevée au plus tard le 31 décembre 2024.</w:t>
      </w:r>
    </w:p>
    <w:p w14:paraId="77DF7667" w14:textId="77777777" w:rsidR="00553430" w:rsidRDefault="00553430">
      <w:pPr>
        <w:rPr>
          <w:noProof/>
        </w:rPr>
        <w:sectPr w:rsidR="00553430" w:rsidSect="00FA29B2">
          <w:headerReference w:type="even" r:id="rId315"/>
          <w:headerReference w:type="default" r:id="rId316"/>
          <w:footerReference w:type="even" r:id="rId317"/>
          <w:footerReference w:type="default" r:id="rId318"/>
          <w:headerReference w:type="first" r:id="rId319"/>
          <w:footerReference w:type="first" r:id="rId320"/>
          <w:pgSz w:w="11906" w:h="16838"/>
          <w:pgMar w:top="1134" w:right="1134" w:bottom="1134" w:left="1134" w:header="567" w:footer="567" w:gutter="0"/>
          <w:cols w:space="708"/>
          <w:docGrid w:linePitch="360"/>
        </w:sectPr>
      </w:pPr>
    </w:p>
    <w:p w14:paraId="52CE3378" w14:textId="77777777" w:rsidR="00553430" w:rsidRDefault="00212577">
      <w:pPr>
        <w:pStyle w:val="P68B1DB1-Normal57"/>
        <w:keepNext/>
        <w:tabs>
          <w:tab w:val="num" w:pos="850"/>
        </w:tabs>
        <w:spacing w:after="0" w:line="240" w:lineRule="auto"/>
        <w:ind w:left="851"/>
        <w:jc w:val="both"/>
        <w:outlineLvl w:val="1"/>
        <w:rPr>
          <w:noProof/>
        </w:rPr>
      </w:pPr>
      <w:r>
        <w:rPr>
          <w:noProof/>
        </w:rPr>
        <w:t xml:space="preserve">R.2. </w:t>
      </w:r>
      <w:r>
        <w:rPr>
          <w:noProof/>
        </w:rPr>
        <w:tab/>
        <w:t>Étapes, cibles, indicateurs e</w:t>
      </w:r>
      <w:r>
        <w:rPr>
          <w:noProof/>
        </w:rPr>
        <w:t>t calendrier pour le suivi et la mise en œuvre du soutien financier non remboursable</w:t>
      </w:r>
    </w:p>
    <w:p w14:paraId="4B996BB8" w14:textId="77777777" w:rsidR="00553430" w:rsidRDefault="00553430">
      <w:pPr>
        <w:keepNext/>
        <w:tabs>
          <w:tab w:val="num" w:pos="850"/>
        </w:tabs>
        <w:spacing w:after="0" w:line="240" w:lineRule="auto"/>
        <w:ind w:left="851"/>
        <w:jc w:val="both"/>
        <w:outlineLvl w:val="1"/>
        <w:rPr>
          <w:rFonts w:ascii="Times New Roman" w:eastAsia="SimSun" w:hAnsi="Times New Roman" w:cs="Times New Roman"/>
          <w:b/>
          <w:noProof/>
          <w:sz w:val="24"/>
          <w:szCs w:val="24"/>
          <w:u w:val="single"/>
        </w:rPr>
      </w:pPr>
    </w:p>
    <w:tbl>
      <w:tblPr>
        <w:tblW w:w="15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68"/>
        <w:gridCol w:w="1203"/>
        <w:gridCol w:w="1024"/>
        <w:gridCol w:w="2076"/>
        <w:gridCol w:w="1843"/>
        <w:gridCol w:w="1167"/>
        <w:gridCol w:w="852"/>
        <w:gridCol w:w="850"/>
        <w:gridCol w:w="893"/>
        <w:gridCol w:w="846"/>
        <w:gridCol w:w="4498"/>
      </w:tblGrid>
      <w:tr w:rsidR="00553430" w14:paraId="7B7F4C4A" w14:textId="77777777">
        <w:trPr>
          <w:trHeight w:val="636"/>
          <w:tblHeader/>
          <w:jc w:val="center"/>
        </w:trPr>
        <w:tc>
          <w:tcPr>
            <w:tcW w:w="768" w:type="dxa"/>
            <w:vMerge w:val="restart"/>
            <w:shd w:val="clear" w:color="auto" w:fill="BDD7EE"/>
            <w:vAlign w:val="center"/>
            <w:hideMark/>
          </w:tcPr>
          <w:p w14:paraId="57C6459D" w14:textId="77777777" w:rsidR="00553430" w:rsidRDefault="00212577">
            <w:pPr>
              <w:pStyle w:val="P68B1DB1-Normal58"/>
              <w:spacing w:after="0" w:line="276" w:lineRule="auto"/>
              <w:jc w:val="center"/>
              <w:rPr>
                <w:bCs/>
                <w:noProof/>
              </w:rPr>
            </w:pPr>
            <w:r>
              <w:rPr>
                <w:noProof/>
              </w:rPr>
              <w:t>Numéro</w:t>
            </w:r>
          </w:p>
        </w:tc>
        <w:tc>
          <w:tcPr>
            <w:tcW w:w="1203" w:type="dxa"/>
            <w:vMerge w:val="restart"/>
            <w:shd w:val="clear" w:color="auto" w:fill="BDD7EE"/>
            <w:vAlign w:val="center"/>
            <w:hideMark/>
          </w:tcPr>
          <w:p w14:paraId="6C6974B8" w14:textId="77777777" w:rsidR="00553430" w:rsidRDefault="00212577">
            <w:pPr>
              <w:pStyle w:val="P68B1DB1-Normal58"/>
              <w:spacing w:after="0" w:line="276" w:lineRule="auto"/>
              <w:jc w:val="center"/>
              <w:rPr>
                <w:bCs/>
                <w:noProof/>
              </w:rPr>
            </w:pPr>
            <w:r>
              <w:rPr>
                <w:noProof/>
              </w:rPr>
              <w:t>Mesure</w:t>
            </w:r>
          </w:p>
        </w:tc>
        <w:tc>
          <w:tcPr>
            <w:tcW w:w="1024" w:type="dxa"/>
            <w:vMerge w:val="restart"/>
            <w:shd w:val="clear" w:color="auto" w:fill="BDD7EE"/>
            <w:vAlign w:val="center"/>
            <w:hideMark/>
          </w:tcPr>
          <w:p w14:paraId="24AFAB22" w14:textId="77777777" w:rsidR="00553430" w:rsidRDefault="00212577">
            <w:pPr>
              <w:pStyle w:val="P68B1DB1-Normal58"/>
              <w:spacing w:after="0" w:line="276" w:lineRule="auto"/>
              <w:jc w:val="center"/>
              <w:rPr>
                <w:bCs/>
                <w:noProof/>
              </w:rPr>
            </w:pPr>
            <w:r>
              <w:rPr>
                <w:noProof/>
              </w:rPr>
              <w:t>Étape/cible</w:t>
            </w:r>
          </w:p>
        </w:tc>
        <w:tc>
          <w:tcPr>
            <w:tcW w:w="2076" w:type="dxa"/>
            <w:vMerge w:val="restart"/>
            <w:shd w:val="clear" w:color="auto" w:fill="BDD7EE"/>
            <w:vAlign w:val="center"/>
            <w:hideMark/>
          </w:tcPr>
          <w:p w14:paraId="02450D99" w14:textId="77777777" w:rsidR="00553430" w:rsidRDefault="00212577">
            <w:pPr>
              <w:pStyle w:val="P68B1DB1-Normal58"/>
              <w:spacing w:after="0" w:line="276" w:lineRule="auto"/>
              <w:jc w:val="center"/>
              <w:rPr>
                <w:bCs/>
                <w:noProof/>
              </w:rPr>
            </w:pPr>
            <w:r>
              <w:rPr>
                <w:noProof/>
              </w:rPr>
              <w:t>Nom</w:t>
            </w:r>
          </w:p>
        </w:tc>
        <w:tc>
          <w:tcPr>
            <w:tcW w:w="1843" w:type="dxa"/>
            <w:vMerge w:val="restart"/>
            <w:shd w:val="clear" w:color="auto" w:fill="BDD7EE"/>
            <w:vAlign w:val="center"/>
            <w:hideMark/>
          </w:tcPr>
          <w:p w14:paraId="2E275CAF"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qualitatifs</w:t>
            </w:r>
            <w:r>
              <w:rPr>
                <w:rFonts w:ascii="Times New Roman" w:eastAsia="Calibri" w:hAnsi="Times New Roman" w:cs="Times New Roman"/>
                <w:noProof/>
              </w:rPr>
              <w:br/>
            </w:r>
            <w:r>
              <w:rPr>
                <w:rFonts w:ascii="Times New Roman" w:eastAsia="Times New Roman" w:hAnsi="Times New Roman" w:cs="Times New Roman"/>
                <w:b/>
                <w:noProof/>
              </w:rPr>
              <w:t>(pour les jalons)</w:t>
            </w:r>
          </w:p>
        </w:tc>
        <w:tc>
          <w:tcPr>
            <w:tcW w:w="2748" w:type="dxa"/>
            <w:gridSpan w:val="3"/>
            <w:shd w:val="clear" w:color="auto" w:fill="BDD7EE"/>
            <w:vAlign w:val="center"/>
            <w:hideMark/>
          </w:tcPr>
          <w:p w14:paraId="371B5E99"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eastAsia="Calibri" w:hAnsi="Times New Roman" w:cs="Times New Roman"/>
                <w:noProof/>
              </w:rPr>
              <w:br/>
            </w:r>
            <w:r>
              <w:rPr>
                <w:rFonts w:ascii="Times New Roman" w:eastAsia="Times New Roman" w:hAnsi="Times New Roman" w:cs="Times New Roman"/>
                <w:b/>
                <w:noProof/>
              </w:rPr>
              <w:t>(pour les objectifs)</w:t>
            </w:r>
          </w:p>
        </w:tc>
        <w:tc>
          <w:tcPr>
            <w:tcW w:w="1602" w:type="dxa"/>
            <w:gridSpan w:val="2"/>
            <w:shd w:val="clear" w:color="auto" w:fill="BDD7EE"/>
            <w:vAlign w:val="center"/>
            <w:hideMark/>
          </w:tcPr>
          <w:p w14:paraId="3008E6D4" w14:textId="77777777" w:rsidR="00553430" w:rsidRDefault="00212577">
            <w:pPr>
              <w:pStyle w:val="P68B1DB1-Normal58"/>
              <w:spacing w:after="0" w:line="276" w:lineRule="auto"/>
              <w:jc w:val="center"/>
              <w:rPr>
                <w:bCs/>
                <w:noProof/>
              </w:rPr>
            </w:pPr>
            <w:r>
              <w:rPr>
                <w:noProof/>
              </w:rPr>
              <w:t>Temps</w:t>
            </w:r>
          </w:p>
        </w:tc>
        <w:tc>
          <w:tcPr>
            <w:tcW w:w="4498" w:type="dxa"/>
            <w:vMerge w:val="restart"/>
            <w:shd w:val="clear" w:color="auto" w:fill="BDD7EE"/>
            <w:vAlign w:val="center"/>
            <w:hideMark/>
          </w:tcPr>
          <w:p w14:paraId="608C2549" w14:textId="77777777" w:rsidR="00553430" w:rsidRDefault="00212577">
            <w:pPr>
              <w:pStyle w:val="P68B1DB1-Normal58"/>
              <w:spacing w:after="0" w:line="276" w:lineRule="auto"/>
              <w:jc w:val="center"/>
              <w:rPr>
                <w:bCs/>
                <w:noProof/>
              </w:rPr>
            </w:pPr>
            <w:r>
              <w:rPr>
                <w:noProof/>
              </w:rPr>
              <w:t>Description de chaque jalon et cible</w:t>
            </w:r>
          </w:p>
        </w:tc>
      </w:tr>
      <w:tr w:rsidR="00553430" w14:paraId="14462A67" w14:textId="77777777">
        <w:trPr>
          <w:trHeight w:val="503"/>
          <w:tblHeader/>
          <w:jc w:val="center"/>
        </w:trPr>
        <w:tc>
          <w:tcPr>
            <w:tcW w:w="768" w:type="dxa"/>
            <w:vMerge/>
            <w:hideMark/>
          </w:tcPr>
          <w:p w14:paraId="5D9EACDD"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203" w:type="dxa"/>
            <w:vMerge/>
            <w:hideMark/>
          </w:tcPr>
          <w:p w14:paraId="2B5A8F66"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24" w:type="dxa"/>
            <w:vMerge/>
            <w:hideMark/>
          </w:tcPr>
          <w:p w14:paraId="4C3C1239"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2076" w:type="dxa"/>
            <w:vMerge/>
            <w:hideMark/>
          </w:tcPr>
          <w:p w14:paraId="3793EA33" w14:textId="77777777" w:rsidR="00553430" w:rsidRDefault="00553430">
            <w:pPr>
              <w:spacing w:after="0" w:line="276" w:lineRule="auto"/>
              <w:rPr>
                <w:rFonts w:ascii="Times New Roman" w:eastAsia="Times New Roman" w:hAnsi="Times New Roman" w:cs="Times New Roman"/>
                <w:b/>
                <w:noProof/>
                <w:sz w:val="20"/>
                <w:szCs w:val="20"/>
              </w:rPr>
            </w:pPr>
          </w:p>
        </w:tc>
        <w:tc>
          <w:tcPr>
            <w:tcW w:w="1843" w:type="dxa"/>
            <w:vMerge/>
            <w:hideMark/>
          </w:tcPr>
          <w:p w14:paraId="408C8A08" w14:textId="77777777" w:rsidR="00553430" w:rsidRDefault="00553430">
            <w:pPr>
              <w:spacing w:after="0" w:line="276" w:lineRule="auto"/>
              <w:rPr>
                <w:rFonts w:ascii="Times New Roman" w:eastAsia="Times New Roman" w:hAnsi="Times New Roman" w:cs="Times New Roman"/>
                <w:b/>
                <w:noProof/>
                <w:sz w:val="20"/>
                <w:szCs w:val="20"/>
              </w:rPr>
            </w:pPr>
          </w:p>
        </w:tc>
        <w:tc>
          <w:tcPr>
            <w:tcW w:w="1072" w:type="dxa"/>
            <w:shd w:val="clear" w:color="auto" w:fill="BDD7EE"/>
            <w:vAlign w:val="center"/>
            <w:hideMark/>
          </w:tcPr>
          <w:p w14:paraId="6A983723" w14:textId="77777777" w:rsidR="00553430" w:rsidRDefault="00212577">
            <w:pPr>
              <w:pStyle w:val="P68B1DB1-Normal58"/>
              <w:spacing w:after="0" w:line="276" w:lineRule="auto"/>
              <w:jc w:val="center"/>
              <w:rPr>
                <w:bCs/>
                <w:noProof/>
              </w:rPr>
            </w:pPr>
            <w:r>
              <w:rPr>
                <w:noProof/>
              </w:rPr>
              <w:t>Unité</w:t>
            </w:r>
          </w:p>
        </w:tc>
        <w:tc>
          <w:tcPr>
            <w:tcW w:w="826" w:type="dxa"/>
            <w:shd w:val="clear" w:color="auto" w:fill="BDD7EE"/>
            <w:vAlign w:val="center"/>
            <w:hideMark/>
          </w:tcPr>
          <w:p w14:paraId="6C881892" w14:textId="77777777" w:rsidR="00553430" w:rsidRDefault="00212577">
            <w:pPr>
              <w:pStyle w:val="P68B1DB1-Normal58"/>
              <w:spacing w:after="0" w:line="276" w:lineRule="auto"/>
              <w:jc w:val="center"/>
              <w:rPr>
                <w:bCs/>
                <w:noProof/>
              </w:rPr>
            </w:pPr>
            <w:r>
              <w:rPr>
                <w:noProof/>
              </w:rPr>
              <w:t>Données de référence</w:t>
            </w:r>
          </w:p>
        </w:tc>
        <w:tc>
          <w:tcPr>
            <w:tcW w:w="850" w:type="dxa"/>
            <w:shd w:val="clear" w:color="auto" w:fill="BDD7EE"/>
            <w:vAlign w:val="center"/>
            <w:hideMark/>
          </w:tcPr>
          <w:p w14:paraId="3C239798" w14:textId="77777777" w:rsidR="00553430" w:rsidRDefault="00212577">
            <w:pPr>
              <w:pStyle w:val="P68B1DB1-Normal58"/>
              <w:spacing w:after="0" w:line="276" w:lineRule="auto"/>
              <w:jc w:val="center"/>
              <w:rPr>
                <w:bCs/>
                <w:noProof/>
              </w:rPr>
            </w:pPr>
            <w:r>
              <w:rPr>
                <w:noProof/>
              </w:rPr>
              <w:t>Objectif</w:t>
            </w:r>
          </w:p>
        </w:tc>
        <w:tc>
          <w:tcPr>
            <w:tcW w:w="756" w:type="dxa"/>
            <w:shd w:val="clear" w:color="auto" w:fill="BDD7EE"/>
            <w:vAlign w:val="center"/>
            <w:hideMark/>
          </w:tcPr>
          <w:p w14:paraId="3C7B741E" w14:textId="77777777" w:rsidR="00553430" w:rsidRDefault="00212577">
            <w:pPr>
              <w:pStyle w:val="P68B1DB1-Normal58"/>
              <w:spacing w:after="0" w:line="276" w:lineRule="auto"/>
              <w:jc w:val="center"/>
              <w:rPr>
                <w:bCs/>
                <w:noProof/>
              </w:rPr>
            </w:pPr>
            <w:r>
              <w:rPr>
                <w:noProof/>
              </w:rPr>
              <w:t>Trimestre</w:t>
            </w:r>
          </w:p>
        </w:tc>
        <w:tc>
          <w:tcPr>
            <w:tcW w:w="846" w:type="dxa"/>
            <w:shd w:val="clear" w:color="auto" w:fill="BDD7EE"/>
            <w:vAlign w:val="center"/>
            <w:hideMark/>
          </w:tcPr>
          <w:p w14:paraId="67226AD4" w14:textId="77777777" w:rsidR="00553430" w:rsidRDefault="00212577">
            <w:pPr>
              <w:pStyle w:val="P68B1DB1-Normal58"/>
              <w:spacing w:after="0" w:line="276" w:lineRule="auto"/>
              <w:jc w:val="center"/>
              <w:rPr>
                <w:bCs/>
                <w:noProof/>
              </w:rPr>
            </w:pPr>
            <w:r>
              <w:rPr>
                <w:noProof/>
              </w:rPr>
              <w:t>Année</w:t>
            </w:r>
          </w:p>
        </w:tc>
        <w:tc>
          <w:tcPr>
            <w:tcW w:w="4498" w:type="dxa"/>
            <w:vMerge/>
            <w:hideMark/>
          </w:tcPr>
          <w:p w14:paraId="2E692F3E"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14FD165B" w14:textId="77777777">
        <w:trPr>
          <w:trHeight w:val="283"/>
          <w:jc w:val="center"/>
        </w:trPr>
        <w:tc>
          <w:tcPr>
            <w:tcW w:w="768" w:type="dxa"/>
            <w:shd w:val="clear" w:color="auto" w:fill="C6EFCE"/>
            <w:noWrap/>
          </w:tcPr>
          <w:p w14:paraId="62D572D4" w14:textId="77777777" w:rsidR="00553430" w:rsidRDefault="00212577">
            <w:pPr>
              <w:pStyle w:val="P68B1DB1-Normal66"/>
              <w:spacing w:after="0" w:line="276" w:lineRule="auto"/>
              <w:jc w:val="center"/>
              <w:rPr>
                <w:noProof/>
              </w:rPr>
            </w:pPr>
            <w:r>
              <w:rPr>
                <w:noProof/>
              </w:rPr>
              <w:t>286</w:t>
            </w:r>
          </w:p>
        </w:tc>
        <w:tc>
          <w:tcPr>
            <w:tcW w:w="1203" w:type="dxa"/>
            <w:shd w:val="clear" w:color="auto" w:fill="C6EFCE"/>
            <w:noWrap/>
          </w:tcPr>
          <w:p w14:paraId="31A31ECF" w14:textId="77777777" w:rsidR="00553430" w:rsidRDefault="00212577">
            <w:pPr>
              <w:pStyle w:val="P68B1DB1-Normal66"/>
              <w:spacing w:after="200" w:line="276" w:lineRule="auto"/>
              <w:jc w:val="center"/>
              <w:rPr>
                <w:noProof/>
              </w:rPr>
            </w:pPr>
            <w:r>
              <w:rPr>
                <w:noProof/>
              </w:rPr>
              <w:t>C4.1. R1</w:t>
            </w:r>
          </w:p>
        </w:tc>
        <w:tc>
          <w:tcPr>
            <w:tcW w:w="1024" w:type="dxa"/>
            <w:shd w:val="clear" w:color="auto" w:fill="C6EFCE"/>
            <w:noWrap/>
          </w:tcPr>
          <w:p w14:paraId="59E1C556" w14:textId="77777777" w:rsidR="00553430" w:rsidRDefault="00212577">
            <w:pPr>
              <w:pStyle w:val="P68B1DB1-Normal66"/>
              <w:spacing w:after="200" w:line="276" w:lineRule="auto"/>
              <w:jc w:val="center"/>
              <w:rPr>
                <w:noProof/>
              </w:rPr>
            </w:pPr>
            <w:r>
              <w:rPr>
                <w:noProof/>
              </w:rPr>
              <w:t>M</w:t>
            </w:r>
          </w:p>
        </w:tc>
        <w:tc>
          <w:tcPr>
            <w:tcW w:w="2076" w:type="dxa"/>
            <w:shd w:val="clear" w:color="auto" w:fill="C6EFCE"/>
            <w:noWrap/>
          </w:tcPr>
          <w:p w14:paraId="455C61CA" w14:textId="77777777" w:rsidR="00553430" w:rsidRDefault="00212577">
            <w:pPr>
              <w:pStyle w:val="P68B1DB1-Normal66"/>
              <w:spacing w:after="200" w:line="276" w:lineRule="auto"/>
              <w:rPr>
                <w:noProof/>
              </w:rPr>
            </w:pPr>
            <w:r>
              <w:rPr>
                <w:noProof/>
              </w:rPr>
              <w:t>Compléter les politiques actives du marché du travail</w:t>
            </w:r>
          </w:p>
        </w:tc>
        <w:tc>
          <w:tcPr>
            <w:tcW w:w="1843" w:type="dxa"/>
            <w:shd w:val="clear" w:color="auto" w:fill="C6EFCE"/>
            <w:noWrap/>
          </w:tcPr>
          <w:p w14:paraId="04204B4B" w14:textId="77777777" w:rsidR="00553430" w:rsidRDefault="00212577">
            <w:pPr>
              <w:pStyle w:val="P68B1DB1-Normal66"/>
              <w:spacing w:after="200" w:line="276" w:lineRule="auto"/>
              <w:rPr>
                <w:noProof/>
              </w:rPr>
            </w:pPr>
            <w:r>
              <w:rPr>
                <w:noProof/>
              </w:rPr>
              <w:t>Adoption de trois nouvelles mesures de politique active du marché du travail</w:t>
            </w:r>
          </w:p>
        </w:tc>
        <w:tc>
          <w:tcPr>
            <w:tcW w:w="1072" w:type="dxa"/>
            <w:shd w:val="clear" w:color="auto" w:fill="C6EFCE"/>
            <w:noWrap/>
          </w:tcPr>
          <w:p w14:paraId="65F5259B" w14:textId="77777777" w:rsidR="00553430" w:rsidRDefault="00212577">
            <w:pPr>
              <w:pStyle w:val="P68B1DB1-Normal66"/>
              <w:spacing w:after="200" w:line="276" w:lineRule="auto"/>
              <w:jc w:val="center"/>
              <w:rPr>
                <w:noProof/>
              </w:rPr>
            </w:pPr>
            <w:r>
              <w:rPr>
                <w:noProof/>
              </w:rPr>
              <w:t> </w:t>
            </w:r>
          </w:p>
        </w:tc>
        <w:tc>
          <w:tcPr>
            <w:tcW w:w="826" w:type="dxa"/>
            <w:shd w:val="clear" w:color="auto" w:fill="C6EFCE"/>
            <w:noWrap/>
          </w:tcPr>
          <w:p w14:paraId="08B08F57" w14:textId="77777777" w:rsidR="00553430" w:rsidRDefault="00212577">
            <w:pPr>
              <w:pStyle w:val="P68B1DB1-Normal66"/>
              <w:spacing w:after="200" w:line="276" w:lineRule="auto"/>
              <w:jc w:val="center"/>
              <w:rPr>
                <w:noProof/>
              </w:rPr>
            </w:pPr>
            <w:r>
              <w:rPr>
                <w:noProof/>
              </w:rPr>
              <w:t> </w:t>
            </w:r>
          </w:p>
        </w:tc>
        <w:tc>
          <w:tcPr>
            <w:tcW w:w="850" w:type="dxa"/>
            <w:shd w:val="clear" w:color="auto" w:fill="C6EFCE"/>
            <w:noWrap/>
          </w:tcPr>
          <w:p w14:paraId="7877C2E3" w14:textId="77777777" w:rsidR="00553430" w:rsidRDefault="00212577">
            <w:pPr>
              <w:pStyle w:val="P68B1DB1-Normal66"/>
              <w:spacing w:after="200" w:line="276" w:lineRule="auto"/>
              <w:jc w:val="center"/>
              <w:rPr>
                <w:noProof/>
              </w:rPr>
            </w:pPr>
            <w:r>
              <w:rPr>
                <w:noProof/>
              </w:rPr>
              <w:t> </w:t>
            </w:r>
          </w:p>
        </w:tc>
        <w:tc>
          <w:tcPr>
            <w:tcW w:w="756" w:type="dxa"/>
            <w:shd w:val="clear" w:color="auto" w:fill="C6EFCE"/>
            <w:noWrap/>
          </w:tcPr>
          <w:p w14:paraId="257C66D8" w14:textId="77777777" w:rsidR="00553430" w:rsidRDefault="00212577">
            <w:pPr>
              <w:pStyle w:val="P68B1DB1-Normal66"/>
              <w:spacing w:after="200" w:line="276" w:lineRule="auto"/>
              <w:jc w:val="center"/>
              <w:rPr>
                <w:noProof/>
              </w:rPr>
            </w:pPr>
            <w:r>
              <w:rPr>
                <w:noProof/>
              </w:rPr>
              <w:t>T1</w:t>
            </w:r>
          </w:p>
        </w:tc>
        <w:tc>
          <w:tcPr>
            <w:tcW w:w="846" w:type="dxa"/>
            <w:shd w:val="clear" w:color="auto" w:fill="C6EFCE"/>
            <w:noWrap/>
          </w:tcPr>
          <w:p w14:paraId="308220FF" w14:textId="77777777" w:rsidR="00553430" w:rsidRDefault="00212577">
            <w:pPr>
              <w:pStyle w:val="P68B1DB1-Normal66"/>
              <w:spacing w:after="200" w:line="276" w:lineRule="auto"/>
              <w:jc w:val="center"/>
              <w:rPr>
                <w:noProof/>
              </w:rPr>
            </w:pPr>
            <w:r>
              <w:rPr>
                <w:noProof/>
              </w:rPr>
              <w:t>2022</w:t>
            </w:r>
          </w:p>
        </w:tc>
        <w:tc>
          <w:tcPr>
            <w:tcW w:w="4498" w:type="dxa"/>
            <w:shd w:val="clear" w:color="auto" w:fill="C6EFCE"/>
            <w:noWrap/>
          </w:tcPr>
          <w:p w14:paraId="0B3896C7" w14:textId="77777777" w:rsidR="00553430" w:rsidRDefault="00212577">
            <w:pPr>
              <w:pStyle w:val="P68B1DB1-Normal66"/>
              <w:spacing w:after="200" w:line="276" w:lineRule="auto"/>
              <w:rPr>
                <w:noProof/>
              </w:rPr>
            </w:pPr>
            <w:r>
              <w:rPr>
                <w:noProof/>
              </w:rPr>
              <w:t>Le service croate de l’emploi adopte trois</w:t>
            </w:r>
            <w:r>
              <w:rPr>
                <w:noProof/>
              </w:rPr>
              <w:t xml:space="preserve"> nouvelles mesures pour soutenir la création d’emplois dans le cadre des transitions écologique et numérique. Les conditions et critères d’utilisation des fonds au titre de ces mesures, ainsi que les activités du service public croate de l’emploi, sont con</w:t>
            </w:r>
            <w:r>
              <w:rPr>
                <w:noProof/>
              </w:rPr>
              <w:t>çus de manière à donner la priorité à la réactivation et à l’emploi (autonome) des chômeurs de longue durée inactifs et des jeunes ne travaillant pas, ne suivant pas d’études ou de formation (NEET).</w:t>
            </w:r>
          </w:p>
        </w:tc>
      </w:tr>
      <w:tr w:rsidR="00553430" w14:paraId="33227841" w14:textId="77777777">
        <w:trPr>
          <w:trHeight w:val="3440"/>
          <w:jc w:val="center"/>
        </w:trPr>
        <w:tc>
          <w:tcPr>
            <w:tcW w:w="768" w:type="dxa"/>
            <w:shd w:val="clear" w:color="auto" w:fill="C6EFCE"/>
            <w:noWrap/>
          </w:tcPr>
          <w:p w14:paraId="4C4F4E2A" w14:textId="77777777" w:rsidR="00553430" w:rsidRDefault="00212577">
            <w:pPr>
              <w:pStyle w:val="P68B1DB1-Normal66"/>
              <w:spacing w:after="200" w:line="276" w:lineRule="auto"/>
              <w:jc w:val="center"/>
              <w:rPr>
                <w:noProof/>
              </w:rPr>
            </w:pPr>
            <w:r>
              <w:rPr>
                <w:noProof/>
              </w:rPr>
              <w:t>287</w:t>
            </w:r>
          </w:p>
        </w:tc>
        <w:tc>
          <w:tcPr>
            <w:tcW w:w="1203" w:type="dxa"/>
            <w:shd w:val="clear" w:color="auto" w:fill="C6EFCE"/>
            <w:noWrap/>
          </w:tcPr>
          <w:p w14:paraId="19768870" w14:textId="77777777" w:rsidR="00553430" w:rsidRDefault="00212577">
            <w:pPr>
              <w:pStyle w:val="P68B1DB1-Normal66"/>
              <w:spacing w:after="200" w:line="276" w:lineRule="auto"/>
              <w:jc w:val="center"/>
              <w:rPr>
                <w:noProof/>
              </w:rPr>
            </w:pPr>
            <w:r>
              <w:rPr>
                <w:noProof/>
              </w:rPr>
              <w:t>C4.1. R1</w:t>
            </w:r>
          </w:p>
        </w:tc>
        <w:tc>
          <w:tcPr>
            <w:tcW w:w="1024" w:type="dxa"/>
            <w:shd w:val="clear" w:color="auto" w:fill="C6EFCE"/>
            <w:noWrap/>
          </w:tcPr>
          <w:p w14:paraId="735CE8BB" w14:textId="77777777" w:rsidR="00553430" w:rsidRDefault="00212577">
            <w:pPr>
              <w:pStyle w:val="P68B1DB1-Normal66"/>
              <w:spacing w:after="200" w:line="276" w:lineRule="auto"/>
              <w:jc w:val="center"/>
              <w:rPr>
                <w:noProof/>
              </w:rPr>
            </w:pPr>
            <w:r>
              <w:rPr>
                <w:noProof/>
              </w:rPr>
              <w:t>T</w:t>
            </w:r>
          </w:p>
        </w:tc>
        <w:tc>
          <w:tcPr>
            <w:tcW w:w="2076" w:type="dxa"/>
            <w:shd w:val="clear" w:color="auto" w:fill="C6EFCE"/>
            <w:noWrap/>
          </w:tcPr>
          <w:p w14:paraId="4E59490A" w14:textId="77777777" w:rsidR="00553430" w:rsidRDefault="00212577">
            <w:pPr>
              <w:pStyle w:val="P68B1DB1-Normal66"/>
              <w:spacing w:after="200" w:line="276" w:lineRule="auto"/>
              <w:rPr>
                <w:noProof/>
              </w:rPr>
            </w:pPr>
            <w:r>
              <w:rPr>
                <w:noProof/>
              </w:rPr>
              <w:t xml:space="preserve">Nombre de bénéficiaires des nouvelles </w:t>
            </w:r>
            <w:r>
              <w:rPr>
                <w:noProof/>
              </w:rPr>
              <w:t>mesures actives du marché du travail</w:t>
            </w:r>
          </w:p>
        </w:tc>
        <w:tc>
          <w:tcPr>
            <w:tcW w:w="1843" w:type="dxa"/>
            <w:shd w:val="clear" w:color="auto" w:fill="C6EFCE"/>
            <w:noWrap/>
          </w:tcPr>
          <w:p w14:paraId="5253EF41" w14:textId="77777777" w:rsidR="00553430" w:rsidRDefault="00212577">
            <w:pPr>
              <w:pStyle w:val="P68B1DB1-Normal66"/>
              <w:spacing w:after="200" w:line="276" w:lineRule="auto"/>
              <w:rPr>
                <w:noProof/>
              </w:rPr>
            </w:pPr>
            <w:r>
              <w:rPr>
                <w:noProof/>
              </w:rPr>
              <w:t xml:space="preserve"> </w:t>
            </w:r>
          </w:p>
        </w:tc>
        <w:tc>
          <w:tcPr>
            <w:tcW w:w="1072" w:type="dxa"/>
            <w:shd w:val="clear" w:color="auto" w:fill="C6EFCE"/>
            <w:noWrap/>
          </w:tcPr>
          <w:p w14:paraId="790E7CA8" w14:textId="77777777" w:rsidR="00553430" w:rsidRDefault="00212577">
            <w:pPr>
              <w:pStyle w:val="P68B1DB1-Normal66"/>
              <w:spacing w:after="200" w:line="276" w:lineRule="auto"/>
              <w:jc w:val="center"/>
              <w:rPr>
                <w:noProof/>
              </w:rPr>
            </w:pPr>
            <w:r>
              <w:rPr>
                <w:noProof/>
              </w:rPr>
              <w:t>Numéro</w:t>
            </w:r>
          </w:p>
        </w:tc>
        <w:tc>
          <w:tcPr>
            <w:tcW w:w="826" w:type="dxa"/>
            <w:shd w:val="clear" w:color="auto" w:fill="C6EFCE"/>
            <w:noWrap/>
          </w:tcPr>
          <w:p w14:paraId="3BD13663" w14:textId="77777777" w:rsidR="00553430" w:rsidRDefault="00212577">
            <w:pPr>
              <w:pStyle w:val="P68B1DB1-Normal66"/>
              <w:spacing w:after="200" w:line="276" w:lineRule="auto"/>
              <w:jc w:val="center"/>
              <w:rPr>
                <w:noProof/>
              </w:rPr>
            </w:pPr>
            <w:r>
              <w:rPr>
                <w:noProof/>
              </w:rPr>
              <w:t>0</w:t>
            </w:r>
          </w:p>
          <w:p w14:paraId="219372B5" w14:textId="77777777" w:rsidR="00553430" w:rsidRDefault="00553430">
            <w:pPr>
              <w:rPr>
                <w:rFonts w:ascii="Times New Roman" w:eastAsia="Calibri" w:hAnsi="Times New Roman" w:cs="Times New Roman"/>
                <w:noProof/>
                <w:sz w:val="20"/>
                <w:szCs w:val="20"/>
              </w:rPr>
            </w:pPr>
          </w:p>
        </w:tc>
        <w:tc>
          <w:tcPr>
            <w:tcW w:w="850" w:type="dxa"/>
            <w:shd w:val="clear" w:color="auto" w:fill="C6EFCE"/>
            <w:noWrap/>
          </w:tcPr>
          <w:p w14:paraId="30A44EC4" w14:textId="5B15F68D" w:rsidR="00553430" w:rsidRDefault="00212577">
            <w:pPr>
              <w:pStyle w:val="P68B1DB1-Normal66"/>
              <w:spacing w:after="200" w:line="276" w:lineRule="auto"/>
              <w:jc w:val="center"/>
              <w:rPr>
                <w:noProof/>
              </w:rPr>
            </w:pPr>
            <w:r>
              <w:rPr>
                <w:noProof/>
              </w:rPr>
              <w:t>5 000</w:t>
            </w:r>
          </w:p>
        </w:tc>
        <w:tc>
          <w:tcPr>
            <w:tcW w:w="756" w:type="dxa"/>
            <w:shd w:val="clear" w:color="auto" w:fill="C6EFCE"/>
            <w:noWrap/>
          </w:tcPr>
          <w:p w14:paraId="2A6E73D8" w14:textId="77777777" w:rsidR="00553430" w:rsidRDefault="00212577">
            <w:pPr>
              <w:pStyle w:val="P68B1DB1-Normal66"/>
              <w:spacing w:after="200" w:line="276" w:lineRule="auto"/>
              <w:jc w:val="center"/>
              <w:rPr>
                <w:noProof/>
              </w:rPr>
            </w:pPr>
            <w:r>
              <w:rPr>
                <w:noProof/>
              </w:rPr>
              <w:t>T4</w:t>
            </w:r>
          </w:p>
        </w:tc>
        <w:tc>
          <w:tcPr>
            <w:tcW w:w="846" w:type="dxa"/>
            <w:shd w:val="clear" w:color="auto" w:fill="C6EFCE"/>
            <w:noWrap/>
          </w:tcPr>
          <w:p w14:paraId="6A5EF99C" w14:textId="77777777" w:rsidR="00553430" w:rsidRDefault="00212577">
            <w:pPr>
              <w:pStyle w:val="P68B1DB1-Normal66"/>
              <w:spacing w:after="200" w:line="276" w:lineRule="auto"/>
              <w:jc w:val="center"/>
              <w:rPr>
                <w:noProof/>
              </w:rPr>
            </w:pPr>
            <w:r>
              <w:rPr>
                <w:noProof/>
              </w:rPr>
              <w:t>2025</w:t>
            </w:r>
          </w:p>
        </w:tc>
        <w:tc>
          <w:tcPr>
            <w:tcW w:w="4498" w:type="dxa"/>
            <w:shd w:val="clear" w:color="auto" w:fill="C6EFCE"/>
            <w:noWrap/>
          </w:tcPr>
          <w:p w14:paraId="589AD533" w14:textId="4ADDFA6F" w:rsidR="00553430" w:rsidRDefault="00212577">
            <w:pPr>
              <w:pStyle w:val="P68B1DB1-Normal66"/>
              <w:spacing w:line="276" w:lineRule="auto"/>
              <w:rPr>
                <w:noProof/>
                <w:color w:val="000000" w:themeColor="text1"/>
              </w:rPr>
            </w:pPr>
            <w:r>
              <w:rPr>
                <w:noProof/>
              </w:rPr>
              <w:t xml:space="preserve">Au moins 5 000 personnes bénéficient des nouvelles politiques actives du marché du travail, dont au moins 3 200 appartiennent à des groupes vulnérables. Ces nouvelles mesures de politique </w:t>
            </w:r>
            <w:r>
              <w:rPr>
                <w:noProof/>
              </w:rPr>
              <w:t>active du marché du travail consistent à:</w:t>
            </w:r>
          </w:p>
          <w:p w14:paraId="46F1E536" w14:textId="77777777" w:rsidR="00553430" w:rsidRDefault="00212577">
            <w:pPr>
              <w:pStyle w:val="P68B1DB1-Normal66"/>
              <w:spacing w:line="276" w:lineRule="auto"/>
              <w:rPr>
                <w:noProof/>
                <w:color w:val="000000" w:themeColor="text1"/>
              </w:rPr>
            </w:pPr>
            <w:r>
              <w:rPr>
                <w:noProof/>
              </w:rPr>
              <w:t>- subventions en faveur de l’emploi dans les emplois liés aux transitions écologique et numérique,</w:t>
            </w:r>
          </w:p>
          <w:p w14:paraId="48F320BC" w14:textId="77777777" w:rsidR="00553430" w:rsidRDefault="00212577">
            <w:pPr>
              <w:pStyle w:val="P68B1DB1-Normal66"/>
              <w:spacing w:line="276" w:lineRule="auto"/>
              <w:rPr>
                <w:noProof/>
                <w:color w:val="000000" w:themeColor="text1"/>
              </w:rPr>
            </w:pPr>
            <w:r>
              <w:rPr>
                <w:noProof/>
              </w:rPr>
              <w:t>- soutien sous forme de subventions aux stages liés aux transitions écologique et numérique,</w:t>
            </w:r>
          </w:p>
          <w:p w14:paraId="323B9727" w14:textId="6B70E07D" w:rsidR="00553430" w:rsidRDefault="00212577">
            <w:pPr>
              <w:pStyle w:val="P68B1DB1-Normal66"/>
              <w:spacing w:after="0" w:line="276" w:lineRule="auto"/>
              <w:rPr>
                <w:noProof/>
              </w:rPr>
            </w:pPr>
            <w:r>
              <w:rPr>
                <w:noProof/>
              </w:rPr>
              <w:t>- Aide sous forme de s</w:t>
            </w:r>
            <w:r>
              <w:rPr>
                <w:noProof/>
              </w:rPr>
              <w:t xml:space="preserve">ubventions en faveur de l’emploi indépendant lié aux transitions écologique et numérique.  </w:t>
            </w:r>
          </w:p>
        </w:tc>
      </w:tr>
      <w:tr w:rsidR="00553430" w14:paraId="0FB9879D" w14:textId="77777777">
        <w:trPr>
          <w:trHeight w:val="283"/>
          <w:jc w:val="center"/>
        </w:trPr>
        <w:tc>
          <w:tcPr>
            <w:tcW w:w="768" w:type="dxa"/>
            <w:shd w:val="clear" w:color="auto" w:fill="C6EFCE"/>
            <w:noWrap/>
          </w:tcPr>
          <w:p w14:paraId="4C6C1B39" w14:textId="77777777" w:rsidR="00553430" w:rsidRDefault="00212577">
            <w:pPr>
              <w:pStyle w:val="P68B1DB1-Normal66"/>
              <w:spacing w:after="200" w:line="276" w:lineRule="auto"/>
              <w:jc w:val="center"/>
              <w:rPr>
                <w:noProof/>
              </w:rPr>
            </w:pPr>
            <w:r>
              <w:rPr>
                <w:noProof/>
              </w:rPr>
              <w:t>288</w:t>
            </w:r>
          </w:p>
        </w:tc>
        <w:tc>
          <w:tcPr>
            <w:tcW w:w="1203" w:type="dxa"/>
            <w:shd w:val="clear" w:color="auto" w:fill="C6EFCE"/>
            <w:noWrap/>
          </w:tcPr>
          <w:p w14:paraId="6A5D29BA" w14:textId="77777777" w:rsidR="00553430" w:rsidRDefault="00212577">
            <w:pPr>
              <w:pStyle w:val="P68B1DB1-Normal66"/>
              <w:spacing w:after="200" w:line="276" w:lineRule="auto"/>
              <w:jc w:val="center"/>
              <w:rPr>
                <w:noProof/>
              </w:rPr>
            </w:pPr>
            <w:r>
              <w:rPr>
                <w:noProof/>
              </w:rPr>
              <w:t>C4.1. R2</w:t>
            </w:r>
          </w:p>
        </w:tc>
        <w:tc>
          <w:tcPr>
            <w:tcW w:w="1024" w:type="dxa"/>
            <w:shd w:val="clear" w:color="auto" w:fill="C6EFCE"/>
            <w:noWrap/>
          </w:tcPr>
          <w:p w14:paraId="1316C47A" w14:textId="77777777" w:rsidR="00553430" w:rsidRDefault="00212577">
            <w:pPr>
              <w:pStyle w:val="P68B1DB1-Normal66"/>
              <w:spacing w:after="200" w:line="276" w:lineRule="auto"/>
              <w:jc w:val="center"/>
              <w:rPr>
                <w:noProof/>
              </w:rPr>
            </w:pPr>
            <w:r>
              <w:rPr>
                <w:noProof/>
              </w:rPr>
              <w:t>M</w:t>
            </w:r>
          </w:p>
        </w:tc>
        <w:tc>
          <w:tcPr>
            <w:tcW w:w="2076" w:type="dxa"/>
            <w:shd w:val="clear" w:color="auto" w:fill="C6EFCE"/>
            <w:noWrap/>
          </w:tcPr>
          <w:p w14:paraId="6B7C321E" w14:textId="77777777" w:rsidR="00553430" w:rsidRDefault="00212577">
            <w:pPr>
              <w:pStyle w:val="P68B1DB1-Normal66"/>
              <w:spacing w:after="200" w:line="276" w:lineRule="auto"/>
              <w:rPr>
                <w:noProof/>
              </w:rPr>
            </w:pPr>
            <w:r>
              <w:rPr>
                <w:noProof/>
              </w:rPr>
              <w:t>Entrée en vigueur des modifications de la loi sur le marché du travail</w:t>
            </w:r>
          </w:p>
        </w:tc>
        <w:tc>
          <w:tcPr>
            <w:tcW w:w="1843" w:type="dxa"/>
            <w:shd w:val="clear" w:color="auto" w:fill="C6EFCE"/>
            <w:noWrap/>
          </w:tcPr>
          <w:p w14:paraId="169B92C6" w14:textId="77777777" w:rsidR="00553430" w:rsidRDefault="00212577">
            <w:pPr>
              <w:pStyle w:val="P68B1DB1-Normal66"/>
              <w:spacing w:after="200" w:line="276" w:lineRule="auto"/>
              <w:rPr>
                <w:noProof/>
              </w:rPr>
            </w:pPr>
            <w:r>
              <w:rPr>
                <w:noProof/>
              </w:rPr>
              <w:t>Entrée en vigueur de la loi modifiant la loi sur le marché du travail</w:t>
            </w:r>
          </w:p>
        </w:tc>
        <w:tc>
          <w:tcPr>
            <w:tcW w:w="1072" w:type="dxa"/>
            <w:shd w:val="clear" w:color="auto" w:fill="C6EFCE"/>
            <w:noWrap/>
          </w:tcPr>
          <w:p w14:paraId="695A82BB" w14:textId="77777777" w:rsidR="00553430" w:rsidRDefault="00212577">
            <w:pPr>
              <w:pStyle w:val="P68B1DB1-Normal66"/>
              <w:spacing w:after="200" w:line="276" w:lineRule="auto"/>
              <w:jc w:val="center"/>
              <w:rPr>
                <w:noProof/>
              </w:rPr>
            </w:pPr>
            <w:r>
              <w:rPr>
                <w:noProof/>
              </w:rPr>
              <w:t> </w:t>
            </w:r>
          </w:p>
        </w:tc>
        <w:tc>
          <w:tcPr>
            <w:tcW w:w="826" w:type="dxa"/>
            <w:shd w:val="clear" w:color="auto" w:fill="C6EFCE"/>
            <w:noWrap/>
          </w:tcPr>
          <w:p w14:paraId="505620BE" w14:textId="77777777" w:rsidR="00553430" w:rsidRDefault="00212577">
            <w:pPr>
              <w:pStyle w:val="P68B1DB1-Normal66"/>
              <w:spacing w:after="200" w:line="276" w:lineRule="auto"/>
              <w:jc w:val="center"/>
              <w:rPr>
                <w:noProof/>
              </w:rPr>
            </w:pPr>
            <w:r>
              <w:rPr>
                <w:noProof/>
              </w:rPr>
              <w:t> </w:t>
            </w:r>
          </w:p>
        </w:tc>
        <w:tc>
          <w:tcPr>
            <w:tcW w:w="850" w:type="dxa"/>
            <w:shd w:val="clear" w:color="auto" w:fill="C6EFCE"/>
            <w:noWrap/>
          </w:tcPr>
          <w:p w14:paraId="1332E694" w14:textId="77777777" w:rsidR="00553430" w:rsidRDefault="00212577">
            <w:pPr>
              <w:pStyle w:val="P68B1DB1-Normal66"/>
              <w:spacing w:after="200" w:line="276" w:lineRule="auto"/>
              <w:jc w:val="center"/>
              <w:rPr>
                <w:noProof/>
              </w:rPr>
            </w:pPr>
            <w:r>
              <w:rPr>
                <w:noProof/>
              </w:rPr>
              <w:t> </w:t>
            </w:r>
          </w:p>
        </w:tc>
        <w:tc>
          <w:tcPr>
            <w:tcW w:w="756" w:type="dxa"/>
            <w:shd w:val="clear" w:color="auto" w:fill="C6EFCE"/>
            <w:noWrap/>
          </w:tcPr>
          <w:p w14:paraId="22C46F2B" w14:textId="77777777" w:rsidR="00553430" w:rsidRDefault="00212577">
            <w:pPr>
              <w:pStyle w:val="P68B1DB1-Normal66"/>
              <w:spacing w:after="200" w:line="276" w:lineRule="auto"/>
              <w:jc w:val="center"/>
              <w:rPr>
                <w:noProof/>
              </w:rPr>
            </w:pPr>
            <w:r>
              <w:rPr>
                <w:noProof/>
              </w:rPr>
              <w:t>T3</w:t>
            </w:r>
          </w:p>
        </w:tc>
        <w:tc>
          <w:tcPr>
            <w:tcW w:w="846" w:type="dxa"/>
            <w:shd w:val="clear" w:color="auto" w:fill="C6EFCE"/>
            <w:noWrap/>
          </w:tcPr>
          <w:p w14:paraId="64E98F53" w14:textId="77777777" w:rsidR="00553430" w:rsidRDefault="00212577">
            <w:pPr>
              <w:pStyle w:val="P68B1DB1-Normal66"/>
              <w:spacing w:after="200" w:line="276" w:lineRule="auto"/>
              <w:jc w:val="center"/>
              <w:rPr>
                <w:noProof/>
              </w:rPr>
            </w:pPr>
            <w:r>
              <w:rPr>
                <w:noProof/>
              </w:rPr>
              <w:t>2024</w:t>
            </w:r>
          </w:p>
        </w:tc>
        <w:tc>
          <w:tcPr>
            <w:tcW w:w="4498" w:type="dxa"/>
            <w:shd w:val="clear" w:color="auto" w:fill="C6EFCE"/>
            <w:noWrap/>
          </w:tcPr>
          <w:p w14:paraId="6F2C40A9" w14:textId="77777777" w:rsidR="00553430" w:rsidRDefault="00212577">
            <w:pPr>
              <w:pStyle w:val="P68B1DB1-Normal66"/>
              <w:spacing w:after="200" w:line="276" w:lineRule="auto"/>
              <w:rPr>
                <w:noProof/>
              </w:rPr>
            </w:pPr>
            <w:r>
              <w:rPr>
                <w:noProof/>
              </w:rPr>
              <w:t xml:space="preserve">Entrée en vigueur d’une loi modifiée ou nouvelle sur le marché du travail qui augmente le montant et prolonge la durée des prestations de chômage, assouplit les exigences applicables aux travailleurs vulnérables et numérise la procédure de demande </w:t>
            </w:r>
            <w:r>
              <w:rPr>
                <w:noProof/>
              </w:rPr>
              <w:t>de prestations de chômage conformément à l’analyse effectuée.</w:t>
            </w:r>
          </w:p>
        </w:tc>
      </w:tr>
      <w:tr w:rsidR="00553430" w14:paraId="0C4DB59D" w14:textId="77777777">
        <w:trPr>
          <w:trHeight w:val="283"/>
          <w:jc w:val="center"/>
        </w:trPr>
        <w:tc>
          <w:tcPr>
            <w:tcW w:w="768" w:type="dxa"/>
            <w:shd w:val="clear" w:color="auto" w:fill="C6EFCE"/>
            <w:noWrap/>
          </w:tcPr>
          <w:p w14:paraId="5B943B05" w14:textId="77777777" w:rsidR="00553430" w:rsidRDefault="00212577">
            <w:pPr>
              <w:pStyle w:val="P68B1DB1-Normal66"/>
              <w:spacing w:after="200" w:line="276" w:lineRule="auto"/>
              <w:jc w:val="center"/>
              <w:rPr>
                <w:noProof/>
              </w:rPr>
            </w:pPr>
            <w:r>
              <w:rPr>
                <w:noProof/>
              </w:rPr>
              <w:t>289</w:t>
            </w:r>
          </w:p>
        </w:tc>
        <w:tc>
          <w:tcPr>
            <w:tcW w:w="1203" w:type="dxa"/>
            <w:shd w:val="clear" w:color="auto" w:fill="C6EFCE"/>
            <w:noWrap/>
          </w:tcPr>
          <w:p w14:paraId="60A9165E" w14:textId="77777777" w:rsidR="00553430" w:rsidRDefault="00212577">
            <w:pPr>
              <w:pStyle w:val="P68B1DB1-Normal66"/>
              <w:spacing w:after="200" w:line="276" w:lineRule="auto"/>
              <w:jc w:val="center"/>
              <w:rPr>
                <w:noProof/>
              </w:rPr>
            </w:pPr>
            <w:r>
              <w:rPr>
                <w:noProof/>
              </w:rPr>
              <w:t>C4.1. R2</w:t>
            </w:r>
          </w:p>
        </w:tc>
        <w:tc>
          <w:tcPr>
            <w:tcW w:w="1024" w:type="dxa"/>
            <w:shd w:val="clear" w:color="auto" w:fill="C6EFCE"/>
            <w:noWrap/>
          </w:tcPr>
          <w:p w14:paraId="51CBEF09" w14:textId="77777777" w:rsidR="00553430" w:rsidRDefault="00212577">
            <w:pPr>
              <w:pStyle w:val="P68B1DB1-Normal66"/>
              <w:spacing w:after="200" w:line="276" w:lineRule="auto"/>
              <w:jc w:val="center"/>
              <w:rPr>
                <w:noProof/>
              </w:rPr>
            </w:pPr>
            <w:r>
              <w:rPr>
                <w:noProof/>
              </w:rPr>
              <w:t>M</w:t>
            </w:r>
          </w:p>
        </w:tc>
        <w:tc>
          <w:tcPr>
            <w:tcW w:w="2076" w:type="dxa"/>
            <w:shd w:val="clear" w:color="auto" w:fill="C6EFCE"/>
            <w:noWrap/>
          </w:tcPr>
          <w:p w14:paraId="179E12C6" w14:textId="77777777" w:rsidR="00553430" w:rsidRDefault="00212577">
            <w:pPr>
              <w:pStyle w:val="P68B1DB1-Normal66"/>
              <w:spacing w:after="200" w:line="276" w:lineRule="auto"/>
              <w:rPr>
                <w:noProof/>
              </w:rPr>
            </w:pPr>
            <w:r>
              <w:rPr>
                <w:noProof/>
              </w:rPr>
              <w:t xml:space="preserve">Amélioration de la qualité du soutien aux groupes vulnérables </w:t>
            </w:r>
          </w:p>
        </w:tc>
        <w:tc>
          <w:tcPr>
            <w:tcW w:w="1843" w:type="dxa"/>
            <w:shd w:val="clear" w:color="auto" w:fill="C6EFCE"/>
            <w:noWrap/>
          </w:tcPr>
          <w:p w14:paraId="2642FBFD" w14:textId="78E97055" w:rsidR="00553430" w:rsidRDefault="00212577">
            <w:pPr>
              <w:pStyle w:val="P68B1DB1-Normal66"/>
              <w:spacing w:after="200" w:line="276" w:lineRule="auto"/>
              <w:rPr>
                <w:noProof/>
              </w:rPr>
            </w:pPr>
            <w:r>
              <w:rPr>
                <w:noProof/>
              </w:rPr>
              <w:t xml:space="preserve">Entrée en vigueur d’un acte délégué ou adoption d’un corpus réglementaire interne sur les processus renforcés pour </w:t>
            </w:r>
            <w:r>
              <w:rPr>
                <w:noProof/>
              </w:rPr>
              <w:t>les travaux de la Conférence des statisticiens européens en matière de profilage, de segmentation, d’intégration et d’activation des groupes vulnérables</w:t>
            </w:r>
          </w:p>
        </w:tc>
        <w:tc>
          <w:tcPr>
            <w:tcW w:w="1072" w:type="dxa"/>
            <w:shd w:val="clear" w:color="auto" w:fill="C6EFCE"/>
            <w:noWrap/>
          </w:tcPr>
          <w:p w14:paraId="72C9EC61" w14:textId="77777777" w:rsidR="00553430" w:rsidRDefault="00212577">
            <w:pPr>
              <w:pStyle w:val="P68B1DB1-Normal66"/>
              <w:spacing w:after="200" w:line="276" w:lineRule="auto"/>
              <w:jc w:val="center"/>
              <w:rPr>
                <w:noProof/>
              </w:rPr>
            </w:pPr>
            <w:r>
              <w:rPr>
                <w:noProof/>
              </w:rPr>
              <w:t> </w:t>
            </w:r>
          </w:p>
        </w:tc>
        <w:tc>
          <w:tcPr>
            <w:tcW w:w="826" w:type="dxa"/>
            <w:shd w:val="clear" w:color="auto" w:fill="C6EFCE"/>
            <w:noWrap/>
          </w:tcPr>
          <w:p w14:paraId="3D44C73C" w14:textId="77777777" w:rsidR="00553430" w:rsidRDefault="00553430">
            <w:pPr>
              <w:spacing w:after="200" w:line="276" w:lineRule="auto"/>
              <w:rPr>
                <w:rFonts w:ascii="Times New Roman" w:eastAsia="Calibri" w:hAnsi="Times New Roman" w:cs="Times New Roman"/>
                <w:noProof/>
                <w:sz w:val="20"/>
                <w:szCs w:val="20"/>
              </w:rPr>
            </w:pPr>
          </w:p>
        </w:tc>
        <w:tc>
          <w:tcPr>
            <w:tcW w:w="850" w:type="dxa"/>
            <w:shd w:val="clear" w:color="auto" w:fill="C6EFCE"/>
            <w:noWrap/>
          </w:tcPr>
          <w:p w14:paraId="129C2F9A" w14:textId="77777777" w:rsidR="00553430" w:rsidRDefault="00212577">
            <w:pPr>
              <w:pStyle w:val="P68B1DB1-Normal66"/>
              <w:spacing w:after="200" w:line="276" w:lineRule="auto"/>
              <w:jc w:val="center"/>
              <w:rPr>
                <w:noProof/>
              </w:rPr>
            </w:pPr>
            <w:r>
              <w:rPr>
                <w:noProof/>
              </w:rPr>
              <w:t> </w:t>
            </w:r>
          </w:p>
        </w:tc>
        <w:tc>
          <w:tcPr>
            <w:tcW w:w="756" w:type="dxa"/>
            <w:shd w:val="clear" w:color="auto" w:fill="C6EFCE"/>
            <w:noWrap/>
          </w:tcPr>
          <w:p w14:paraId="0CDAE284" w14:textId="77777777" w:rsidR="00553430" w:rsidRDefault="00212577">
            <w:pPr>
              <w:pStyle w:val="P68B1DB1-Normal66"/>
              <w:spacing w:after="200" w:line="276" w:lineRule="auto"/>
              <w:jc w:val="center"/>
              <w:rPr>
                <w:noProof/>
              </w:rPr>
            </w:pPr>
            <w:r>
              <w:rPr>
                <w:noProof/>
              </w:rPr>
              <w:t>T4</w:t>
            </w:r>
          </w:p>
        </w:tc>
        <w:tc>
          <w:tcPr>
            <w:tcW w:w="846" w:type="dxa"/>
            <w:shd w:val="clear" w:color="auto" w:fill="C6EFCE"/>
            <w:noWrap/>
          </w:tcPr>
          <w:p w14:paraId="4430A4F0" w14:textId="77777777" w:rsidR="00553430" w:rsidRDefault="00212577">
            <w:pPr>
              <w:pStyle w:val="P68B1DB1-Normal66"/>
              <w:spacing w:after="200" w:line="276" w:lineRule="auto"/>
              <w:jc w:val="center"/>
              <w:rPr>
                <w:noProof/>
              </w:rPr>
            </w:pPr>
            <w:r>
              <w:rPr>
                <w:noProof/>
              </w:rPr>
              <w:t>2024</w:t>
            </w:r>
          </w:p>
        </w:tc>
        <w:tc>
          <w:tcPr>
            <w:tcW w:w="4498" w:type="dxa"/>
            <w:shd w:val="clear" w:color="auto" w:fill="C6EFCE"/>
            <w:noWrap/>
          </w:tcPr>
          <w:p w14:paraId="193473DD" w14:textId="77777777" w:rsidR="00553430" w:rsidRDefault="00212577">
            <w:pPr>
              <w:pStyle w:val="P68B1DB1-Normal66"/>
              <w:spacing w:after="200" w:line="276" w:lineRule="auto"/>
              <w:rPr>
                <w:noProof/>
              </w:rPr>
            </w:pPr>
            <w:r>
              <w:rPr>
                <w:noProof/>
              </w:rPr>
              <w:t>Les nouveaux processus du service public croate de l’emploi sont opérationnels pour le pro</w:t>
            </w:r>
            <w:r>
              <w:rPr>
                <w:noProof/>
              </w:rPr>
              <w:t>filage, la segmentation, l’intégration et l’activation des groupes vulnérables, le développement d’outils permettant de mettre en correspondance les chômeurs et les offres d’emploi et la mise en œuvre du système de suivi et d’évaluation des PAMT.</w:t>
            </w:r>
          </w:p>
        </w:tc>
      </w:tr>
      <w:tr w:rsidR="00553430" w14:paraId="34A5ADA2" w14:textId="77777777">
        <w:trPr>
          <w:trHeight w:val="283"/>
          <w:jc w:val="center"/>
        </w:trPr>
        <w:tc>
          <w:tcPr>
            <w:tcW w:w="768" w:type="dxa"/>
            <w:shd w:val="clear" w:color="auto" w:fill="C6EFCE"/>
            <w:noWrap/>
          </w:tcPr>
          <w:p w14:paraId="1C3CF0B9" w14:textId="77777777" w:rsidR="00553430" w:rsidRDefault="00212577">
            <w:pPr>
              <w:pStyle w:val="P68B1DB1-Normal66"/>
              <w:spacing w:after="200" w:line="276" w:lineRule="auto"/>
              <w:jc w:val="center"/>
              <w:rPr>
                <w:noProof/>
              </w:rPr>
            </w:pPr>
            <w:r>
              <w:rPr>
                <w:noProof/>
              </w:rPr>
              <w:t>290</w:t>
            </w:r>
          </w:p>
        </w:tc>
        <w:tc>
          <w:tcPr>
            <w:tcW w:w="1203" w:type="dxa"/>
            <w:shd w:val="clear" w:color="auto" w:fill="C6EFCE"/>
            <w:noWrap/>
          </w:tcPr>
          <w:p w14:paraId="68EBB4E2" w14:textId="77777777" w:rsidR="00553430" w:rsidRDefault="00212577">
            <w:pPr>
              <w:pStyle w:val="P68B1DB1-Normal66"/>
              <w:spacing w:after="200" w:line="276" w:lineRule="auto"/>
              <w:jc w:val="center"/>
              <w:rPr>
                <w:noProof/>
              </w:rPr>
            </w:pPr>
            <w:r>
              <w:rPr>
                <w:noProof/>
              </w:rPr>
              <w:t>C4.1. R2</w:t>
            </w:r>
          </w:p>
        </w:tc>
        <w:tc>
          <w:tcPr>
            <w:tcW w:w="1024" w:type="dxa"/>
            <w:shd w:val="clear" w:color="auto" w:fill="C6EFCE"/>
            <w:noWrap/>
          </w:tcPr>
          <w:p w14:paraId="35872D7A" w14:textId="77777777" w:rsidR="00553430" w:rsidRDefault="00212577">
            <w:pPr>
              <w:pStyle w:val="P68B1DB1-Normal66"/>
              <w:spacing w:after="200" w:line="276" w:lineRule="auto"/>
              <w:jc w:val="center"/>
              <w:rPr>
                <w:noProof/>
                <w:color w:val="000000" w:themeColor="text1"/>
              </w:rPr>
            </w:pPr>
            <w:r>
              <w:rPr>
                <w:noProof/>
              </w:rPr>
              <w:t>T</w:t>
            </w:r>
          </w:p>
        </w:tc>
        <w:tc>
          <w:tcPr>
            <w:tcW w:w="2076" w:type="dxa"/>
            <w:shd w:val="clear" w:color="auto" w:fill="C6EFCE"/>
            <w:noWrap/>
          </w:tcPr>
          <w:p w14:paraId="1DE85FF6" w14:textId="77777777" w:rsidR="00553430" w:rsidRDefault="00212577">
            <w:pPr>
              <w:pStyle w:val="P68B1DB1-Normal66"/>
              <w:spacing w:after="200" w:line="276" w:lineRule="auto"/>
              <w:rPr>
                <w:noProof/>
              </w:rPr>
            </w:pPr>
            <w:r>
              <w:rPr>
                <w:noProof/>
              </w:rPr>
              <w:t>Amélioration de la qualité du soutien apporté à au moins 5 000 personnes appartenant à des groupes vulnérables</w:t>
            </w:r>
          </w:p>
        </w:tc>
        <w:tc>
          <w:tcPr>
            <w:tcW w:w="1843" w:type="dxa"/>
            <w:shd w:val="clear" w:color="auto" w:fill="C6EFCE"/>
            <w:noWrap/>
          </w:tcPr>
          <w:p w14:paraId="76B63482" w14:textId="77777777" w:rsidR="00553430" w:rsidRDefault="00212577">
            <w:pPr>
              <w:pStyle w:val="P68B1DB1-Normal66"/>
              <w:spacing w:after="200" w:line="276" w:lineRule="auto"/>
              <w:rPr>
                <w:noProof/>
              </w:rPr>
            </w:pPr>
            <w:r>
              <w:rPr>
                <w:noProof/>
              </w:rPr>
              <w:t xml:space="preserve"> </w:t>
            </w:r>
          </w:p>
        </w:tc>
        <w:tc>
          <w:tcPr>
            <w:tcW w:w="1072" w:type="dxa"/>
            <w:shd w:val="clear" w:color="auto" w:fill="C6EFCE"/>
            <w:noWrap/>
          </w:tcPr>
          <w:p w14:paraId="47095EC1" w14:textId="77777777" w:rsidR="00553430" w:rsidRDefault="00212577">
            <w:pPr>
              <w:pStyle w:val="P68B1DB1-Normal66"/>
              <w:spacing w:after="200" w:line="276" w:lineRule="auto"/>
              <w:jc w:val="center"/>
              <w:rPr>
                <w:noProof/>
              </w:rPr>
            </w:pPr>
            <w:r>
              <w:rPr>
                <w:noProof/>
              </w:rPr>
              <w:t>Numéro</w:t>
            </w:r>
          </w:p>
        </w:tc>
        <w:tc>
          <w:tcPr>
            <w:tcW w:w="826" w:type="dxa"/>
            <w:shd w:val="clear" w:color="auto" w:fill="C6EFCE"/>
            <w:noWrap/>
          </w:tcPr>
          <w:p w14:paraId="4D84F1F2" w14:textId="77777777" w:rsidR="00553430" w:rsidRDefault="00212577">
            <w:pPr>
              <w:pStyle w:val="P68B1DB1-Normal66"/>
              <w:spacing w:after="200" w:line="276" w:lineRule="auto"/>
              <w:jc w:val="center"/>
              <w:rPr>
                <w:noProof/>
              </w:rPr>
            </w:pPr>
            <w:r>
              <w:rPr>
                <w:noProof/>
              </w:rPr>
              <w:t>0</w:t>
            </w:r>
          </w:p>
        </w:tc>
        <w:tc>
          <w:tcPr>
            <w:tcW w:w="850" w:type="dxa"/>
            <w:shd w:val="clear" w:color="auto" w:fill="C6EFCE"/>
            <w:noWrap/>
          </w:tcPr>
          <w:p w14:paraId="0042B6F8" w14:textId="77777777" w:rsidR="00553430" w:rsidRDefault="00212577">
            <w:pPr>
              <w:pStyle w:val="P68B1DB1-Normal66"/>
              <w:spacing w:after="200" w:line="276" w:lineRule="auto"/>
              <w:jc w:val="center"/>
              <w:rPr>
                <w:noProof/>
              </w:rPr>
            </w:pPr>
            <w:r>
              <w:rPr>
                <w:noProof/>
              </w:rPr>
              <w:t>5 000</w:t>
            </w:r>
          </w:p>
        </w:tc>
        <w:tc>
          <w:tcPr>
            <w:tcW w:w="756" w:type="dxa"/>
            <w:shd w:val="clear" w:color="auto" w:fill="C6EFCE"/>
            <w:noWrap/>
          </w:tcPr>
          <w:p w14:paraId="1A720AB5" w14:textId="77777777" w:rsidR="00553430" w:rsidRDefault="00212577">
            <w:pPr>
              <w:pStyle w:val="P68B1DB1-Normal66"/>
              <w:spacing w:after="200" w:line="276" w:lineRule="auto"/>
              <w:jc w:val="center"/>
              <w:rPr>
                <w:noProof/>
              </w:rPr>
            </w:pPr>
            <w:r>
              <w:rPr>
                <w:noProof/>
              </w:rPr>
              <w:t>T2</w:t>
            </w:r>
          </w:p>
        </w:tc>
        <w:tc>
          <w:tcPr>
            <w:tcW w:w="846" w:type="dxa"/>
            <w:shd w:val="clear" w:color="auto" w:fill="C6EFCE"/>
            <w:noWrap/>
          </w:tcPr>
          <w:p w14:paraId="24118797" w14:textId="77777777" w:rsidR="00553430" w:rsidRDefault="00212577">
            <w:pPr>
              <w:pStyle w:val="P68B1DB1-Normal66"/>
              <w:spacing w:after="200" w:line="276" w:lineRule="auto"/>
              <w:jc w:val="center"/>
              <w:rPr>
                <w:noProof/>
              </w:rPr>
            </w:pPr>
            <w:r>
              <w:rPr>
                <w:noProof/>
              </w:rPr>
              <w:t>2025</w:t>
            </w:r>
          </w:p>
        </w:tc>
        <w:tc>
          <w:tcPr>
            <w:tcW w:w="4498" w:type="dxa"/>
            <w:shd w:val="clear" w:color="auto" w:fill="C6EFCE"/>
            <w:noWrap/>
          </w:tcPr>
          <w:p w14:paraId="4F8B78CA" w14:textId="07739742" w:rsidR="00553430" w:rsidRDefault="00212577">
            <w:pPr>
              <w:pStyle w:val="P68B1DB1-Normal66"/>
              <w:spacing w:after="200" w:line="276" w:lineRule="auto"/>
              <w:rPr>
                <w:noProof/>
              </w:rPr>
            </w:pPr>
            <w:r>
              <w:rPr>
                <w:noProof/>
              </w:rPr>
              <w:t xml:space="preserve">Les activités de sensibilisation à l’égard des groupes vulnérables permettent l’inclusion de 5 000 nouveaux </w:t>
            </w:r>
            <w:r>
              <w:rPr>
                <w:noProof/>
              </w:rPr>
              <w:t>utilisateurs.</w:t>
            </w:r>
          </w:p>
        </w:tc>
      </w:tr>
      <w:tr w:rsidR="00553430" w14:paraId="31C874BE" w14:textId="77777777">
        <w:trPr>
          <w:trHeight w:val="283"/>
          <w:jc w:val="center"/>
        </w:trPr>
        <w:tc>
          <w:tcPr>
            <w:tcW w:w="768" w:type="dxa"/>
            <w:shd w:val="clear" w:color="auto" w:fill="C6EFCE"/>
            <w:noWrap/>
          </w:tcPr>
          <w:p w14:paraId="5302E7EF" w14:textId="77777777" w:rsidR="00553430" w:rsidRDefault="00212577">
            <w:pPr>
              <w:pStyle w:val="P68B1DB1-Normal66"/>
              <w:spacing w:after="200" w:line="276" w:lineRule="auto"/>
              <w:jc w:val="center"/>
              <w:rPr>
                <w:noProof/>
              </w:rPr>
            </w:pPr>
            <w:r>
              <w:rPr>
                <w:noProof/>
              </w:rPr>
              <w:t>291</w:t>
            </w:r>
          </w:p>
        </w:tc>
        <w:tc>
          <w:tcPr>
            <w:tcW w:w="1203" w:type="dxa"/>
            <w:shd w:val="clear" w:color="auto" w:fill="C6EFCE"/>
            <w:noWrap/>
          </w:tcPr>
          <w:p w14:paraId="31888BA0" w14:textId="77777777" w:rsidR="00553430" w:rsidRDefault="00212577">
            <w:pPr>
              <w:pStyle w:val="P68B1DB1-Normal66"/>
              <w:spacing w:after="200" w:line="276" w:lineRule="auto"/>
              <w:jc w:val="center"/>
              <w:rPr>
                <w:noProof/>
              </w:rPr>
            </w:pPr>
            <w:r>
              <w:rPr>
                <w:noProof/>
              </w:rPr>
              <w:t>C4.1. R3</w:t>
            </w:r>
          </w:p>
        </w:tc>
        <w:tc>
          <w:tcPr>
            <w:tcW w:w="1024" w:type="dxa"/>
            <w:shd w:val="clear" w:color="auto" w:fill="C6EFCE"/>
            <w:noWrap/>
          </w:tcPr>
          <w:p w14:paraId="5E613DC2" w14:textId="77777777" w:rsidR="00553430" w:rsidRDefault="00212577">
            <w:pPr>
              <w:pStyle w:val="P68B1DB1-Normal66"/>
              <w:spacing w:after="200" w:line="276" w:lineRule="auto"/>
              <w:jc w:val="center"/>
              <w:rPr>
                <w:noProof/>
              </w:rPr>
            </w:pPr>
            <w:r>
              <w:rPr>
                <w:noProof/>
              </w:rPr>
              <w:t>M</w:t>
            </w:r>
          </w:p>
        </w:tc>
        <w:tc>
          <w:tcPr>
            <w:tcW w:w="2076" w:type="dxa"/>
            <w:shd w:val="clear" w:color="auto" w:fill="C6EFCE"/>
            <w:noWrap/>
          </w:tcPr>
          <w:p w14:paraId="538B2400" w14:textId="77777777" w:rsidR="00553430" w:rsidRDefault="00212577">
            <w:pPr>
              <w:pStyle w:val="P68B1DB1-Normal66"/>
              <w:spacing w:after="200" w:line="276" w:lineRule="auto"/>
              <w:rPr>
                <w:noProof/>
              </w:rPr>
            </w:pPr>
            <w:r>
              <w:rPr>
                <w:noProof/>
              </w:rPr>
              <w:t>Développer les compétences en fonction des besoins du marché</w:t>
            </w:r>
          </w:p>
        </w:tc>
        <w:tc>
          <w:tcPr>
            <w:tcW w:w="1843" w:type="dxa"/>
            <w:shd w:val="clear" w:color="auto" w:fill="C6EFCE"/>
            <w:noWrap/>
          </w:tcPr>
          <w:p w14:paraId="1BF0FCC1" w14:textId="77777777" w:rsidR="00553430" w:rsidRDefault="00212577">
            <w:pPr>
              <w:pStyle w:val="P68B1DB1-Normal66"/>
              <w:spacing w:after="200" w:line="276" w:lineRule="auto"/>
              <w:rPr>
                <w:noProof/>
              </w:rPr>
            </w:pPr>
            <w:r>
              <w:rPr>
                <w:noProof/>
              </w:rPr>
              <w:t>Système de bons d'achat en cours d'utilisation</w:t>
            </w:r>
          </w:p>
        </w:tc>
        <w:tc>
          <w:tcPr>
            <w:tcW w:w="1072" w:type="dxa"/>
            <w:shd w:val="clear" w:color="auto" w:fill="C6EFCE"/>
            <w:noWrap/>
          </w:tcPr>
          <w:p w14:paraId="071D290C" w14:textId="77777777" w:rsidR="00553430" w:rsidRDefault="00212577">
            <w:pPr>
              <w:pStyle w:val="P68B1DB1-Normal66"/>
              <w:spacing w:after="200" w:line="276" w:lineRule="auto"/>
              <w:jc w:val="center"/>
              <w:rPr>
                <w:noProof/>
              </w:rPr>
            </w:pPr>
            <w:r>
              <w:rPr>
                <w:noProof/>
              </w:rPr>
              <w:t> </w:t>
            </w:r>
          </w:p>
        </w:tc>
        <w:tc>
          <w:tcPr>
            <w:tcW w:w="826" w:type="dxa"/>
            <w:shd w:val="clear" w:color="auto" w:fill="C6EFCE"/>
            <w:noWrap/>
          </w:tcPr>
          <w:p w14:paraId="04BC55EE" w14:textId="77777777" w:rsidR="00553430" w:rsidRDefault="00212577">
            <w:pPr>
              <w:pStyle w:val="P68B1DB1-Normal66"/>
              <w:spacing w:after="200" w:line="276" w:lineRule="auto"/>
              <w:jc w:val="center"/>
              <w:rPr>
                <w:noProof/>
              </w:rPr>
            </w:pPr>
            <w:r>
              <w:rPr>
                <w:noProof/>
              </w:rPr>
              <w:t> </w:t>
            </w:r>
          </w:p>
        </w:tc>
        <w:tc>
          <w:tcPr>
            <w:tcW w:w="850" w:type="dxa"/>
            <w:shd w:val="clear" w:color="auto" w:fill="C6EFCE"/>
            <w:noWrap/>
          </w:tcPr>
          <w:p w14:paraId="48393126" w14:textId="77777777" w:rsidR="00553430" w:rsidRDefault="00212577">
            <w:pPr>
              <w:pStyle w:val="P68B1DB1-Normal66"/>
              <w:spacing w:after="200" w:line="276" w:lineRule="auto"/>
              <w:jc w:val="center"/>
              <w:rPr>
                <w:noProof/>
              </w:rPr>
            </w:pPr>
            <w:r>
              <w:rPr>
                <w:noProof/>
              </w:rPr>
              <w:t> </w:t>
            </w:r>
          </w:p>
        </w:tc>
        <w:tc>
          <w:tcPr>
            <w:tcW w:w="756" w:type="dxa"/>
            <w:shd w:val="clear" w:color="auto" w:fill="C6EFCE"/>
            <w:noWrap/>
          </w:tcPr>
          <w:p w14:paraId="551F66A8" w14:textId="77777777" w:rsidR="00553430" w:rsidRDefault="00212577">
            <w:pPr>
              <w:pStyle w:val="P68B1DB1-Normal66"/>
              <w:spacing w:after="200" w:line="276" w:lineRule="auto"/>
              <w:jc w:val="center"/>
              <w:rPr>
                <w:noProof/>
              </w:rPr>
            </w:pPr>
            <w:r>
              <w:rPr>
                <w:noProof/>
              </w:rPr>
              <w:t>T1</w:t>
            </w:r>
          </w:p>
        </w:tc>
        <w:tc>
          <w:tcPr>
            <w:tcW w:w="846" w:type="dxa"/>
            <w:shd w:val="clear" w:color="auto" w:fill="C6EFCE"/>
            <w:noWrap/>
          </w:tcPr>
          <w:p w14:paraId="30B20B6E" w14:textId="77777777" w:rsidR="00553430" w:rsidRDefault="00212577">
            <w:pPr>
              <w:pStyle w:val="P68B1DB1-Normal66"/>
              <w:spacing w:after="200" w:line="276" w:lineRule="auto"/>
              <w:jc w:val="center"/>
              <w:rPr>
                <w:noProof/>
              </w:rPr>
            </w:pPr>
            <w:r>
              <w:rPr>
                <w:noProof/>
              </w:rPr>
              <w:t>2022</w:t>
            </w:r>
          </w:p>
        </w:tc>
        <w:tc>
          <w:tcPr>
            <w:tcW w:w="4498" w:type="dxa"/>
            <w:shd w:val="clear" w:color="auto" w:fill="C6EFCE"/>
            <w:noWrap/>
          </w:tcPr>
          <w:p w14:paraId="396D50FB" w14:textId="77777777" w:rsidR="00553430" w:rsidRDefault="00212577">
            <w:pPr>
              <w:pStyle w:val="P68B1DB1-Normal66"/>
              <w:spacing w:after="200" w:line="276" w:lineRule="auto"/>
              <w:rPr>
                <w:noProof/>
              </w:rPr>
            </w:pPr>
            <w:r>
              <w:rPr>
                <w:noProof/>
              </w:rPr>
              <w:t xml:space="preserve">Le système de chèques est opérationnel et utilisé pour financer la participation exclusivement à des programmes éducatifs élaborés sur la base du cadre croate des certifications et mis en œuvre par l’intermédiaire d’institutions accréditées conformément à </w:t>
            </w:r>
            <w:r>
              <w:rPr>
                <w:noProof/>
              </w:rPr>
              <w:t xml:space="preserve">la nouvelle loi sur l’éducation des adultes adoptée. Au moins 25 programmes éducatifs sont concernés. Le système contient un catalogue des compétences qui recense les compétences existantes et nécessaires sur le marché du travail, ainsi qu’une application </w:t>
            </w:r>
            <w:r>
              <w:rPr>
                <w:noProof/>
              </w:rPr>
              <w:t>informatique pour la gestion et l’attribution des bons. Le système de chèques bénéficie aux personnes occupées et aux chômeurs, en mettant particulièrement l’accent sur les groupes vulnérables (chômeurs de longue durée, inactifs ou jeunes NEET).</w:t>
            </w:r>
          </w:p>
        </w:tc>
      </w:tr>
      <w:tr w:rsidR="00553430" w14:paraId="7B59F2F6" w14:textId="77777777">
        <w:trPr>
          <w:trHeight w:val="283"/>
          <w:jc w:val="center"/>
        </w:trPr>
        <w:tc>
          <w:tcPr>
            <w:tcW w:w="768" w:type="dxa"/>
            <w:shd w:val="clear" w:color="auto" w:fill="C6EFCE"/>
            <w:noWrap/>
          </w:tcPr>
          <w:p w14:paraId="72336268" w14:textId="77777777" w:rsidR="00553430" w:rsidRDefault="00212577">
            <w:pPr>
              <w:pStyle w:val="P68B1DB1-Normal66"/>
              <w:spacing w:after="200" w:line="276" w:lineRule="auto"/>
              <w:jc w:val="center"/>
              <w:rPr>
                <w:noProof/>
              </w:rPr>
            </w:pPr>
            <w:r>
              <w:rPr>
                <w:noProof/>
              </w:rPr>
              <w:t>292</w:t>
            </w:r>
          </w:p>
        </w:tc>
        <w:tc>
          <w:tcPr>
            <w:tcW w:w="1203" w:type="dxa"/>
            <w:shd w:val="clear" w:color="auto" w:fill="C6EFCE"/>
            <w:noWrap/>
          </w:tcPr>
          <w:p w14:paraId="38531144" w14:textId="77777777" w:rsidR="00553430" w:rsidRDefault="00212577">
            <w:pPr>
              <w:pStyle w:val="P68B1DB1-Normal66"/>
              <w:spacing w:after="200" w:line="276" w:lineRule="auto"/>
              <w:jc w:val="center"/>
              <w:rPr>
                <w:noProof/>
              </w:rPr>
            </w:pPr>
            <w:r>
              <w:rPr>
                <w:noProof/>
              </w:rPr>
              <w:t>C4.1.</w:t>
            </w:r>
            <w:r>
              <w:rPr>
                <w:noProof/>
              </w:rPr>
              <w:t xml:space="preserve"> R3-I1</w:t>
            </w:r>
          </w:p>
        </w:tc>
        <w:tc>
          <w:tcPr>
            <w:tcW w:w="1024" w:type="dxa"/>
            <w:shd w:val="clear" w:color="auto" w:fill="C6EFCE"/>
            <w:noWrap/>
          </w:tcPr>
          <w:p w14:paraId="65CA1D51" w14:textId="77777777" w:rsidR="00553430" w:rsidRDefault="00212577">
            <w:pPr>
              <w:pStyle w:val="P68B1DB1-Normal66"/>
              <w:spacing w:after="200" w:line="276" w:lineRule="auto"/>
              <w:jc w:val="center"/>
              <w:rPr>
                <w:noProof/>
              </w:rPr>
            </w:pPr>
            <w:r>
              <w:rPr>
                <w:noProof/>
              </w:rPr>
              <w:t>T</w:t>
            </w:r>
          </w:p>
        </w:tc>
        <w:tc>
          <w:tcPr>
            <w:tcW w:w="2076" w:type="dxa"/>
            <w:shd w:val="clear" w:color="auto" w:fill="C6EFCE"/>
            <w:noWrap/>
          </w:tcPr>
          <w:p w14:paraId="15D38E6F" w14:textId="77777777" w:rsidR="00553430" w:rsidRDefault="00212577">
            <w:pPr>
              <w:pStyle w:val="P68B1DB1-Normal66"/>
              <w:spacing w:after="200" w:line="276" w:lineRule="auto"/>
              <w:rPr>
                <w:noProof/>
              </w:rPr>
            </w:pPr>
            <w:r>
              <w:rPr>
                <w:noProof/>
              </w:rPr>
              <w:t>Utilisation des chèques-études</w:t>
            </w:r>
          </w:p>
        </w:tc>
        <w:tc>
          <w:tcPr>
            <w:tcW w:w="1843" w:type="dxa"/>
            <w:shd w:val="clear" w:color="auto" w:fill="C6EFCE"/>
            <w:noWrap/>
          </w:tcPr>
          <w:p w14:paraId="700C0247" w14:textId="77777777" w:rsidR="00553430" w:rsidRDefault="00212577">
            <w:pPr>
              <w:pStyle w:val="P68B1DB1-Normal66"/>
              <w:spacing w:after="200" w:line="276" w:lineRule="auto"/>
              <w:rPr>
                <w:noProof/>
              </w:rPr>
            </w:pPr>
            <w:r>
              <w:rPr>
                <w:noProof/>
              </w:rPr>
              <w:t xml:space="preserve"> </w:t>
            </w:r>
          </w:p>
        </w:tc>
        <w:tc>
          <w:tcPr>
            <w:tcW w:w="1072" w:type="dxa"/>
            <w:shd w:val="clear" w:color="auto" w:fill="C6EFCE"/>
            <w:noWrap/>
          </w:tcPr>
          <w:p w14:paraId="17C04259" w14:textId="77777777" w:rsidR="00553430" w:rsidRDefault="00212577">
            <w:pPr>
              <w:pStyle w:val="P68B1DB1-Normal66"/>
              <w:spacing w:after="200" w:line="276" w:lineRule="auto"/>
              <w:jc w:val="center"/>
              <w:rPr>
                <w:noProof/>
              </w:rPr>
            </w:pPr>
            <w:r>
              <w:rPr>
                <w:noProof/>
              </w:rPr>
              <w:t>Numéro</w:t>
            </w:r>
          </w:p>
        </w:tc>
        <w:tc>
          <w:tcPr>
            <w:tcW w:w="826" w:type="dxa"/>
            <w:shd w:val="clear" w:color="auto" w:fill="C6EFCE"/>
            <w:noWrap/>
          </w:tcPr>
          <w:p w14:paraId="45BE212E" w14:textId="77777777" w:rsidR="00553430" w:rsidRDefault="00212577">
            <w:pPr>
              <w:pStyle w:val="P68B1DB1-Normal66"/>
              <w:spacing w:after="200" w:line="276" w:lineRule="auto"/>
              <w:jc w:val="center"/>
              <w:rPr>
                <w:noProof/>
              </w:rPr>
            </w:pPr>
            <w:r>
              <w:rPr>
                <w:noProof/>
              </w:rPr>
              <w:t>0</w:t>
            </w:r>
          </w:p>
        </w:tc>
        <w:tc>
          <w:tcPr>
            <w:tcW w:w="850" w:type="dxa"/>
            <w:shd w:val="clear" w:color="auto" w:fill="C6EFCE"/>
            <w:noWrap/>
          </w:tcPr>
          <w:p w14:paraId="2A0BBB2D" w14:textId="0960E686" w:rsidR="00553430" w:rsidRDefault="00212577">
            <w:pPr>
              <w:pStyle w:val="P68B1DB1-Normal66"/>
              <w:spacing w:after="200" w:line="276" w:lineRule="auto"/>
              <w:jc w:val="center"/>
              <w:rPr>
                <w:noProof/>
              </w:rPr>
            </w:pPr>
            <w:r>
              <w:rPr>
                <w:noProof/>
              </w:rPr>
              <w:t>40 389</w:t>
            </w:r>
          </w:p>
        </w:tc>
        <w:tc>
          <w:tcPr>
            <w:tcW w:w="756" w:type="dxa"/>
            <w:shd w:val="clear" w:color="auto" w:fill="C6EFCE"/>
            <w:noWrap/>
          </w:tcPr>
          <w:p w14:paraId="1F18828B" w14:textId="77777777" w:rsidR="00553430" w:rsidRDefault="00212577">
            <w:pPr>
              <w:pStyle w:val="P68B1DB1-Normal66"/>
              <w:spacing w:after="200" w:line="276" w:lineRule="auto"/>
              <w:jc w:val="center"/>
              <w:rPr>
                <w:noProof/>
              </w:rPr>
            </w:pPr>
            <w:r>
              <w:rPr>
                <w:noProof/>
              </w:rPr>
              <w:t>T2</w:t>
            </w:r>
          </w:p>
        </w:tc>
        <w:tc>
          <w:tcPr>
            <w:tcW w:w="846" w:type="dxa"/>
            <w:shd w:val="clear" w:color="auto" w:fill="C6EFCE"/>
            <w:noWrap/>
          </w:tcPr>
          <w:p w14:paraId="0A54D622" w14:textId="77777777" w:rsidR="00553430" w:rsidRDefault="00212577">
            <w:pPr>
              <w:pStyle w:val="P68B1DB1-Normal66"/>
              <w:spacing w:after="200" w:line="276" w:lineRule="auto"/>
              <w:jc w:val="center"/>
              <w:rPr>
                <w:noProof/>
              </w:rPr>
            </w:pPr>
            <w:r>
              <w:rPr>
                <w:noProof/>
              </w:rPr>
              <w:t>2026</w:t>
            </w:r>
          </w:p>
        </w:tc>
        <w:tc>
          <w:tcPr>
            <w:tcW w:w="4498" w:type="dxa"/>
            <w:shd w:val="clear" w:color="auto" w:fill="C6EFCE"/>
            <w:noWrap/>
          </w:tcPr>
          <w:p w14:paraId="73A77C56" w14:textId="65785DDF" w:rsidR="00553430" w:rsidRDefault="00212577">
            <w:pPr>
              <w:pStyle w:val="P68B1DB1-Normal66"/>
              <w:spacing w:after="200" w:line="240" w:lineRule="auto"/>
              <w:jc w:val="both"/>
              <w:rPr>
                <w:noProof/>
              </w:rPr>
            </w:pPr>
            <w:r>
              <w:rPr>
                <w:noProof/>
              </w:rPr>
              <w:t>Bons attribués à au moins 40 389 bénéficiaires uniques, dont au moins 12 000 issus de groupes vulnérables.</w:t>
            </w:r>
          </w:p>
        </w:tc>
      </w:tr>
      <w:tr w:rsidR="00553430" w14:paraId="593F17C2" w14:textId="77777777">
        <w:trPr>
          <w:trHeight w:val="283"/>
          <w:jc w:val="center"/>
        </w:trPr>
        <w:tc>
          <w:tcPr>
            <w:tcW w:w="768" w:type="dxa"/>
            <w:shd w:val="clear" w:color="auto" w:fill="C6EFCE"/>
            <w:noWrap/>
          </w:tcPr>
          <w:p w14:paraId="44CAD428" w14:textId="77777777" w:rsidR="00553430" w:rsidRDefault="00212577">
            <w:pPr>
              <w:pStyle w:val="P68B1DB1-Normal66"/>
              <w:spacing w:after="200" w:line="276" w:lineRule="auto"/>
              <w:jc w:val="center"/>
              <w:rPr>
                <w:noProof/>
              </w:rPr>
            </w:pPr>
            <w:r>
              <w:rPr>
                <w:noProof/>
              </w:rPr>
              <w:t>293</w:t>
            </w:r>
          </w:p>
        </w:tc>
        <w:tc>
          <w:tcPr>
            <w:tcW w:w="1203" w:type="dxa"/>
            <w:shd w:val="clear" w:color="auto" w:fill="C6EFCE"/>
            <w:noWrap/>
          </w:tcPr>
          <w:p w14:paraId="3439E80F" w14:textId="77777777" w:rsidR="00553430" w:rsidRDefault="00212577">
            <w:pPr>
              <w:pStyle w:val="P68B1DB1-Normal66"/>
              <w:spacing w:after="200" w:line="276" w:lineRule="auto"/>
              <w:jc w:val="center"/>
              <w:rPr>
                <w:noProof/>
              </w:rPr>
            </w:pPr>
            <w:r>
              <w:rPr>
                <w:noProof/>
              </w:rPr>
              <w:t>C4.1. R4</w:t>
            </w:r>
          </w:p>
        </w:tc>
        <w:tc>
          <w:tcPr>
            <w:tcW w:w="1024" w:type="dxa"/>
            <w:shd w:val="clear" w:color="auto" w:fill="C6EFCE"/>
            <w:noWrap/>
          </w:tcPr>
          <w:p w14:paraId="2C886603" w14:textId="77777777" w:rsidR="00553430" w:rsidRDefault="00212577">
            <w:pPr>
              <w:pStyle w:val="P68B1DB1-Normal66"/>
              <w:spacing w:after="200" w:line="276" w:lineRule="auto"/>
              <w:jc w:val="center"/>
              <w:rPr>
                <w:noProof/>
              </w:rPr>
            </w:pPr>
            <w:r>
              <w:rPr>
                <w:noProof/>
              </w:rPr>
              <w:t>M</w:t>
            </w:r>
          </w:p>
        </w:tc>
        <w:tc>
          <w:tcPr>
            <w:tcW w:w="2076" w:type="dxa"/>
            <w:shd w:val="clear" w:color="auto" w:fill="C6EFCE"/>
            <w:noWrap/>
          </w:tcPr>
          <w:p w14:paraId="07BE3D69" w14:textId="77777777" w:rsidR="00553430" w:rsidRDefault="00212577">
            <w:pPr>
              <w:pStyle w:val="P68B1DB1-Normal66"/>
              <w:spacing w:after="200" w:line="276" w:lineRule="auto"/>
              <w:rPr>
                <w:noProof/>
              </w:rPr>
            </w:pPr>
            <w:r>
              <w:rPr>
                <w:noProof/>
              </w:rPr>
              <w:t>Entrée en vigueur des amendements à la loi sur le salaire minimum</w:t>
            </w:r>
          </w:p>
        </w:tc>
        <w:tc>
          <w:tcPr>
            <w:tcW w:w="1843" w:type="dxa"/>
            <w:shd w:val="clear" w:color="auto" w:fill="C6EFCE"/>
            <w:noWrap/>
          </w:tcPr>
          <w:p w14:paraId="2846A117" w14:textId="77777777" w:rsidR="00553430" w:rsidRDefault="00212577">
            <w:pPr>
              <w:pStyle w:val="P68B1DB1-Normal66"/>
              <w:spacing w:after="200" w:line="276" w:lineRule="auto"/>
              <w:rPr>
                <w:noProof/>
              </w:rPr>
            </w:pPr>
            <w:r>
              <w:rPr>
                <w:noProof/>
              </w:rPr>
              <w:t>Entrée en vigueur de la loi modifiant la loi sur le salaire minimum</w:t>
            </w:r>
          </w:p>
        </w:tc>
        <w:tc>
          <w:tcPr>
            <w:tcW w:w="1072" w:type="dxa"/>
            <w:shd w:val="clear" w:color="auto" w:fill="C6EFCE"/>
            <w:noWrap/>
          </w:tcPr>
          <w:p w14:paraId="389EAED2" w14:textId="77777777" w:rsidR="00553430" w:rsidRDefault="00212577">
            <w:pPr>
              <w:pStyle w:val="P68B1DB1-Normal66"/>
              <w:spacing w:after="200" w:line="276" w:lineRule="auto"/>
              <w:jc w:val="center"/>
              <w:rPr>
                <w:noProof/>
              </w:rPr>
            </w:pPr>
            <w:r>
              <w:rPr>
                <w:noProof/>
              </w:rPr>
              <w:t> </w:t>
            </w:r>
          </w:p>
        </w:tc>
        <w:tc>
          <w:tcPr>
            <w:tcW w:w="826" w:type="dxa"/>
            <w:shd w:val="clear" w:color="auto" w:fill="C6EFCE"/>
            <w:noWrap/>
          </w:tcPr>
          <w:p w14:paraId="3AA5825C" w14:textId="77777777" w:rsidR="00553430" w:rsidRDefault="00212577">
            <w:pPr>
              <w:pStyle w:val="P68B1DB1-Normal66"/>
              <w:spacing w:after="200" w:line="276" w:lineRule="auto"/>
              <w:jc w:val="center"/>
              <w:rPr>
                <w:noProof/>
              </w:rPr>
            </w:pPr>
            <w:r>
              <w:rPr>
                <w:noProof/>
              </w:rPr>
              <w:t> </w:t>
            </w:r>
          </w:p>
        </w:tc>
        <w:tc>
          <w:tcPr>
            <w:tcW w:w="850" w:type="dxa"/>
            <w:shd w:val="clear" w:color="auto" w:fill="C6EFCE"/>
            <w:noWrap/>
          </w:tcPr>
          <w:p w14:paraId="7A86D59D" w14:textId="77777777" w:rsidR="00553430" w:rsidRDefault="00212577">
            <w:pPr>
              <w:pStyle w:val="P68B1DB1-Normal66"/>
              <w:spacing w:after="200" w:line="276" w:lineRule="auto"/>
              <w:jc w:val="center"/>
              <w:rPr>
                <w:noProof/>
              </w:rPr>
            </w:pPr>
            <w:r>
              <w:rPr>
                <w:noProof/>
              </w:rPr>
              <w:t> </w:t>
            </w:r>
          </w:p>
        </w:tc>
        <w:tc>
          <w:tcPr>
            <w:tcW w:w="756" w:type="dxa"/>
            <w:shd w:val="clear" w:color="auto" w:fill="C6EFCE"/>
            <w:noWrap/>
          </w:tcPr>
          <w:p w14:paraId="21BDF235" w14:textId="77777777" w:rsidR="00553430" w:rsidRDefault="00212577">
            <w:pPr>
              <w:pStyle w:val="P68B1DB1-Normal66"/>
              <w:spacing w:after="200" w:line="276" w:lineRule="auto"/>
              <w:jc w:val="center"/>
              <w:rPr>
                <w:noProof/>
              </w:rPr>
            </w:pPr>
            <w:r>
              <w:rPr>
                <w:noProof/>
              </w:rPr>
              <w:t>T4</w:t>
            </w:r>
          </w:p>
        </w:tc>
        <w:tc>
          <w:tcPr>
            <w:tcW w:w="846" w:type="dxa"/>
            <w:shd w:val="clear" w:color="auto" w:fill="C6EFCE"/>
            <w:noWrap/>
          </w:tcPr>
          <w:p w14:paraId="0F018CA3" w14:textId="77777777" w:rsidR="00553430" w:rsidRDefault="00212577">
            <w:pPr>
              <w:pStyle w:val="P68B1DB1-Normal66"/>
              <w:spacing w:after="200" w:line="276" w:lineRule="auto"/>
              <w:jc w:val="center"/>
              <w:rPr>
                <w:noProof/>
              </w:rPr>
            </w:pPr>
            <w:r>
              <w:rPr>
                <w:noProof/>
              </w:rPr>
              <w:t>2021</w:t>
            </w:r>
          </w:p>
        </w:tc>
        <w:tc>
          <w:tcPr>
            <w:tcW w:w="4498" w:type="dxa"/>
            <w:shd w:val="clear" w:color="auto" w:fill="C6EFCE"/>
            <w:noWrap/>
          </w:tcPr>
          <w:p w14:paraId="497CF13A" w14:textId="77777777" w:rsidR="00553430" w:rsidRDefault="00212577">
            <w:pPr>
              <w:pStyle w:val="P68B1DB1-Normal66"/>
              <w:spacing w:after="200" w:line="276" w:lineRule="auto"/>
              <w:rPr>
                <w:noProof/>
              </w:rPr>
            </w:pPr>
            <w:r>
              <w:rPr>
                <w:noProof/>
              </w:rPr>
              <w:t xml:space="preserve">La nouvelle loi sur le salaire minimum exclut les différents suppléments de salaire du salaire minimum et impose des augmentations minimales pour les heures supplémentaires, </w:t>
            </w:r>
            <w:r>
              <w:rPr>
                <w:noProof/>
              </w:rPr>
              <w:t>le travail de nuit, les dimanches et les jours fériés. Elle interdit également la possibilité de renoncer au salaire minimum afin de prévenir les abus, de renforcer le contrôle des organismes de contrôle et de redéfinir les sanctions applicables aux contre</w:t>
            </w:r>
            <w:r>
              <w:rPr>
                <w:noProof/>
              </w:rPr>
              <w:t>venants.</w:t>
            </w:r>
          </w:p>
        </w:tc>
      </w:tr>
      <w:tr w:rsidR="00553430" w14:paraId="62E7EFD4" w14:textId="77777777">
        <w:trPr>
          <w:trHeight w:val="283"/>
          <w:jc w:val="center"/>
        </w:trPr>
        <w:tc>
          <w:tcPr>
            <w:tcW w:w="768" w:type="dxa"/>
            <w:shd w:val="clear" w:color="auto" w:fill="C6EFCE"/>
            <w:noWrap/>
          </w:tcPr>
          <w:p w14:paraId="647F5793" w14:textId="77777777" w:rsidR="00553430" w:rsidRDefault="00212577">
            <w:pPr>
              <w:pStyle w:val="P68B1DB1-Normal66"/>
              <w:spacing w:after="200" w:line="276" w:lineRule="auto"/>
              <w:jc w:val="center"/>
              <w:rPr>
                <w:noProof/>
              </w:rPr>
            </w:pPr>
            <w:r>
              <w:rPr>
                <w:noProof/>
              </w:rPr>
              <w:t>294</w:t>
            </w:r>
          </w:p>
        </w:tc>
        <w:tc>
          <w:tcPr>
            <w:tcW w:w="1203" w:type="dxa"/>
            <w:shd w:val="clear" w:color="auto" w:fill="C6EFCE"/>
            <w:noWrap/>
          </w:tcPr>
          <w:p w14:paraId="044F840A" w14:textId="77777777" w:rsidR="00553430" w:rsidRDefault="00212577">
            <w:pPr>
              <w:pStyle w:val="P68B1DB1-Normal66"/>
              <w:spacing w:after="200" w:line="276" w:lineRule="auto"/>
              <w:jc w:val="center"/>
              <w:rPr>
                <w:noProof/>
              </w:rPr>
            </w:pPr>
            <w:r>
              <w:rPr>
                <w:noProof/>
              </w:rPr>
              <w:t>C4.1. R4</w:t>
            </w:r>
          </w:p>
        </w:tc>
        <w:tc>
          <w:tcPr>
            <w:tcW w:w="1024" w:type="dxa"/>
            <w:shd w:val="clear" w:color="auto" w:fill="C6EFCE"/>
            <w:noWrap/>
          </w:tcPr>
          <w:p w14:paraId="79891ABE" w14:textId="77777777" w:rsidR="00553430" w:rsidRDefault="00212577">
            <w:pPr>
              <w:pStyle w:val="P68B1DB1-Normal66"/>
              <w:spacing w:after="200" w:line="276" w:lineRule="auto"/>
              <w:jc w:val="center"/>
              <w:rPr>
                <w:noProof/>
              </w:rPr>
            </w:pPr>
            <w:r>
              <w:rPr>
                <w:noProof/>
              </w:rPr>
              <w:t>M</w:t>
            </w:r>
          </w:p>
        </w:tc>
        <w:tc>
          <w:tcPr>
            <w:tcW w:w="2076" w:type="dxa"/>
            <w:shd w:val="clear" w:color="auto" w:fill="C6EFCE"/>
            <w:noWrap/>
          </w:tcPr>
          <w:p w14:paraId="1BD3E42F" w14:textId="77777777" w:rsidR="00553430" w:rsidRDefault="00212577">
            <w:pPr>
              <w:pStyle w:val="P68B1DB1-Normal66"/>
              <w:spacing w:after="200" w:line="276" w:lineRule="auto"/>
              <w:rPr>
                <w:noProof/>
              </w:rPr>
            </w:pPr>
            <w:r>
              <w:rPr>
                <w:noProof/>
              </w:rPr>
              <w:t>Adoption de la loi sur la lutte contre le travail non déclaré et de la nouvelle loi sur le travail</w:t>
            </w:r>
          </w:p>
        </w:tc>
        <w:tc>
          <w:tcPr>
            <w:tcW w:w="1843" w:type="dxa"/>
            <w:shd w:val="clear" w:color="auto" w:fill="C6EFCE"/>
            <w:noWrap/>
          </w:tcPr>
          <w:p w14:paraId="2AE5ADFA" w14:textId="77777777" w:rsidR="00553430" w:rsidRDefault="00212577">
            <w:pPr>
              <w:pStyle w:val="P68B1DB1-Normal66"/>
              <w:spacing w:after="200" w:line="276" w:lineRule="auto"/>
              <w:rPr>
                <w:noProof/>
              </w:rPr>
            </w:pPr>
            <w:r>
              <w:rPr>
                <w:noProof/>
              </w:rPr>
              <w:t>Entrée en vigueur de la loi sur la lutte contre le travail non déclaré et de la loi modifiant le droit du travail</w:t>
            </w:r>
          </w:p>
        </w:tc>
        <w:tc>
          <w:tcPr>
            <w:tcW w:w="1072" w:type="dxa"/>
            <w:shd w:val="clear" w:color="auto" w:fill="C6EFCE"/>
            <w:noWrap/>
          </w:tcPr>
          <w:p w14:paraId="48500D90" w14:textId="77777777" w:rsidR="00553430" w:rsidRDefault="00212577">
            <w:pPr>
              <w:pStyle w:val="P68B1DB1-Normal66"/>
              <w:spacing w:after="200" w:line="276" w:lineRule="auto"/>
              <w:jc w:val="center"/>
              <w:rPr>
                <w:noProof/>
              </w:rPr>
            </w:pPr>
            <w:r>
              <w:rPr>
                <w:noProof/>
              </w:rPr>
              <w:t> </w:t>
            </w:r>
          </w:p>
        </w:tc>
        <w:tc>
          <w:tcPr>
            <w:tcW w:w="826" w:type="dxa"/>
            <w:shd w:val="clear" w:color="auto" w:fill="C6EFCE"/>
            <w:noWrap/>
          </w:tcPr>
          <w:p w14:paraId="42251A90" w14:textId="77777777" w:rsidR="00553430" w:rsidRDefault="00212577">
            <w:pPr>
              <w:pStyle w:val="P68B1DB1-Normal66"/>
              <w:spacing w:after="200" w:line="276" w:lineRule="auto"/>
              <w:jc w:val="center"/>
              <w:rPr>
                <w:noProof/>
              </w:rPr>
            </w:pPr>
            <w:r>
              <w:rPr>
                <w:noProof/>
              </w:rPr>
              <w:t> </w:t>
            </w:r>
          </w:p>
        </w:tc>
        <w:tc>
          <w:tcPr>
            <w:tcW w:w="850" w:type="dxa"/>
            <w:shd w:val="clear" w:color="auto" w:fill="C6EFCE"/>
            <w:noWrap/>
          </w:tcPr>
          <w:p w14:paraId="2478EA92" w14:textId="77777777" w:rsidR="00553430" w:rsidRDefault="00212577">
            <w:pPr>
              <w:pStyle w:val="P68B1DB1-Normal66"/>
              <w:spacing w:after="200" w:line="276" w:lineRule="auto"/>
              <w:jc w:val="center"/>
              <w:rPr>
                <w:noProof/>
              </w:rPr>
            </w:pPr>
            <w:r>
              <w:rPr>
                <w:noProof/>
              </w:rPr>
              <w:t> </w:t>
            </w:r>
          </w:p>
        </w:tc>
        <w:tc>
          <w:tcPr>
            <w:tcW w:w="756" w:type="dxa"/>
            <w:shd w:val="clear" w:color="auto" w:fill="C6EFCE"/>
            <w:noWrap/>
          </w:tcPr>
          <w:p w14:paraId="4DCB97DD" w14:textId="77777777" w:rsidR="00553430" w:rsidRDefault="00212577">
            <w:pPr>
              <w:pStyle w:val="P68B1DB1-Normal66"/>
              <w:spacing w:after="200" w:line="276" w:lineRule="auto"/>
              <w:jc w:val="center"/>
              <w:rPr>
                <w:noProof/>
              </w:rPr>
            </w:pPr>
            <w:r>
              <w:rPr>
                <w:noProof/>
              </w:rPr>
              <w:t>T4</w:t>
            </w:r>
          </w:p>
        </w:tc>
        <w:tc>
          <w:tcPr>
            <w:tcW w:w="846" w:type="dxa"/>
            <w:shd w:val="clear" w:color="auto" w:fill="C6EFCE"/>
            <w:noWrap/>
          </w:tcPr>
          <w:p w14:paraId="168DD54D" w14:textId="77777777" w:rsidR="00553430" w:rsidRDefault="00212577">
            <w:pPr>
              <w:pStyle w:val="P68B1DB1-Normal66"/>
              <w:spacing w:after="200" w:line="276" w:lineRule="auto"/>
              <w:jc w:val="center"/>
              <w:rPr>
                <w:noProof/>
              </w:rPr>
            </w:pPr>
            <w:r>
              <w:rPr>
                <w:noProof/>
              </w:rPr>
              <w:t>2022</w:t>
            </w:r>
          </w:p>
        </w:tc>
        <w:tc>
          <w:tcPr>
            <w:tcW w:w="4498" w:type="dxa"/>
            <w:shd w:val="clear" w:color="auto" w:fill="C6EFCE"/>
            <w:noWrap/>
          </w:tcPr>
          <w:p w14:paraId="5A3CA08C" w14:textId="77777777" w:rsidR="00553430" w:rsidRDefault="00212577">
            <w:pPr>
              <w:pStyle w:val="P68B1DB1-Normal66"/>
              <w:spacing w:after="200" w:line="276" w:lineRule="auto"/>
              <w:rPr>
                <w:noProof/>
              </w:rPr>
            </w:pPr>
            <w:r>
              <w:rPr>
                <w:noProof/>
              </w:rPr>
              <w:t xml:space="preserve">La </w:t>
            </w:r>
            <w:r>
              <w:rPr>
                <w:noProof/>
              </w:rPr>
              <w:t>loi sur le travail modifiée ou nouvelle réglemente le travail en dehors du lieu de travail et le travail via une plateforme, limite le nombre de contrats temporaires successifs, renforce le droit au travail pour d’autres employeurs et révise la clause de r</w:t>
            </w:r>
            <w:r>
              <w:rPr>
                <w:noProof/>
              </w:rPr>
              <w:t xml:space="preserve">etraite de 65 ans, modifie les dispositions relatives au financement des congés de maladie et des indemnités de départ pour les travailleurs à l’âge de la retraite, encourage l’emploi supplémentaire et l’emploi à temps partiel et comprend des dispositions </w:t>
            </w:r>
            <w:r>
              <w:rPr>
                <w:noProof/>
              </w:rPr>
              <w:t>permettant une flexibilité du temps de travail et du lieu de travail et réduisant l’écart de rémunération entre les hommes et les femmes. La loi nouvelle ou modifiée sur la lutte contre le travail non déclaré définit le travail non déclaré et toutes ses ma</w:t>
            </w:r>
            <w:r>
              <w:rPr>
                <w:noProof/>
              </w:rPr>
              <w:t xml:space="preserve">nifestations, renforce les inspections et établit des dispositions relatives aux délits, réglemente le processus de transfert des travailleurs du travail non déclaré vers le travail déclaré. </w:t>
            </w:r>
          </w:p>
        </w:tc>
      </w:tr>
      <w:tr w:rsidR="00553430" w14:paraId="1C1F54FA" w14:textId="77777777">
        <w:trPr>
          <w:trHeight w:val="283"/>
          <w:jc w:val="center"/>
        </w:trPr>
        <w:tc>
          <w:tcPr>
            <w:tcW w:w="768" w:type="dxa"/>
            <w:shd w:val="clear" w:color="auto" w:fill="C6EFCE"/>
            <w:noWrap/>
          </w:tcPr>
          <w:p w14:paraId="76E8711A" w14:textId="77777777" w:rsidR="00553430" w:rsidRDefault="00212577">
            <w:pPr>
              <w:pStyle w:val="P68B1DB1-Normal66"/>
              <w:spacing w:after="200" w:line="276" w:lineRule="auto"/>
              <w:jc w:val="center"/>
              <w:rPr>
                <w:noProof/>
              </w:rPr>
            </w:pPr>
            <w:r>
              <w:rPr>
                <w:noProof/>
              </w:rPr>
              <w:t>295</w:t>
            </w:r>
          </w:p>
        </w:tc>
        <w:tc>
          <w:tcPr>
            <w:tcW w:w="1203" w:type="dxa"/>
            <w:shd w:val="clear" w:color="auto" w:fill="C6EFCE"/>
            <w:noWrap/>
          </w:tcPr>
          <w:p w14:paraId="4E47F186" w14:textId="77777777" w:rsidR="00553430" w:rsidRDefault="00212577">
            <w:pPr>
              <w:pStyle w:val="P68B1DB1-Normal66"/>
              <w:spacing w:after="200" w:line="276" w:lineRule="auto"/>
              <w:jc w:val="center"/>
              <w:rPr>
                <w:noProof/>
              </w:rPr>
            </w:pPr>
            <w:r>
              <w:rPr>
                <w:noProof/>
              </w:rPr>
              <w:t>C4.1. R4</w:t>
            </w:r>
          </w:p>
        </w:tc>
        <w:tc>
          <w:tcPr>
            <w:tcW w:w="1024" w:type="dxa"/>
            <w:shd w:val="clear" w:color="auto" w:fill="C6EFCE"/>
            <w:noWrap/>
          </w:tcPr>
          <w:p w14:paraId="39097DEB" w14:textId="77777777" w:rsidR="00553430" w:rsidRDefault="00212577">
            <w:pPr>
              <w:pStyle w:val="P68B1DB1-Normal66"/>
              <w:spacing w:after="200" w:line="276" w:lineRule="auto"/>
              <w:jc w:val="center"/>
              <w:rPr>
                <w:noProof/>
              </w:rPr>
            </w:pPr>
            <w:r>
              <w:rPr>
                <w:noProof/>
              </w:rPr>
              <w:t>T</w:t>
            </w:r>
          </w:p>
        </w:tc>
        <w:tc>
          <w:tcPr>
            <w:tcW w:w="2076" w:type="dxa"/>
            <w:shd w:val="clear" w:color="auto" w:fill="C6EFCE"/>
            <w:noWrap/>
          </w:tcPr>
          <w:p w14:paraId="3C306ADA" w14:textId="77777777" w:rsidR="00553430" w:rsidRDefault="00212577">
            <w:pPr>
              <w:pStyle w:val="P68B1DB1-Normal66"/>
              <w:spacing w:after="200" w:line="276" w:lineRule="auto"/>
              <w:rPr>
                <w:noProof/>
              </w:rPr>
            </w:pPr>
            <w:r>
              <w:rPr>
                <w:noProof/>
              </w:rPr>
              <w:t xml:space="preserve">Augmenter à 50 % le rapport entre le salaire minimum et le salaire brut moyen en 2024. </w:t>
            </w:r>
          </w:p>
        </w:tc>
        <w:tc>
          <w:tcPr>
            <w:tcW w:w="1843" w:type="dxa"/>
            <w:shd w:val="clear" w:color="auto" w:fill="C6EFCE"/>
            <w:noWrap/>
          </w:tcPr>
          <w:p w14:paraId="287FF5CD" w14:textId="77777777" w:rsidR="00553430" w:rsidRDefault="00212577">
            <w:pPr>
              <w:pStyle w:val="P68B1DB1-Normal66"/>
              <w:spacing w:after="200" w:line="276" w:lineRule="auto"/>
              <w:rPr>
                <w:noProof/>
              </w:rPr>
            </w:pPr>
            <w:r>
              <w:rPr>
                <w:noProof/>
              </w:rPr>
              <w:t xml:space="preserve"> </w:t>
            </w:r>
          </w:p>
        </w:tc>
        <w:tc>
          <w:tcPr>
            <w:tcW w:w="1072" w:type="dxa"/>
            <w:shd w:val="clear" w:color="auto" w:fill="C6EFCE"/>
            <w:noWrap/>
          </w:tcPr>
          <w:p w14:paraId="500593B0" w14:textId="77777777" w:rsidR="00553430" w:rsidRDefault="00212577">
            <w:pPr>
              <w:pStyle w:val="P68B1DB1-Normal66"/>
              <w:spacing w:after="200" w:line="276" w:lineRule="auto"/>
              <w:jc w:val="center"/>
              <w:rPr>
                <w:noProof/>
              </w:rPr>
            </w:pPr>
            <w:r>
              <w:rPr>
                <w:noProof/>
              </w:rPr>
              <w:t>% (pourcentage)</w:t>
            </w:r>
          </w:p>
        </w:tc>
        <w:tc>
          <w:tcPr>
            <w:tcW w:w="826" w:type="dxa"/>
            <w:shd w:val="clear" w:color="auto" w:fill="C6EFCE"/>
            <w:noWrap/>
          </w:tcPr>
          <w:p w14:paraId="00FF9518" w14:textId="77777777" w:rsidR="00553430" w:rsidRDefault="00212577">
            <w:pPr>
              <w:pStyle w:val="P68B1DB1-Normal66"/>
              <w:spacing w:after="200" w:line="276" w:lineRule="auto"/>
              <w:jc w:val="center"/>
              <w:rPr>
                <w:noProof/>
              </w:rPr>
            </w:pPr>
            <w:r>
              <w:rPr>
                <w:noProof/>
              </w:rPr>
              <w:t>46,29</w:t>
            </w:r>
          </w:p>
        </w:tc>
        <w:tc>
          <w:tcPr>
            <w:tcW w:w="850" w:type="dxa"/>
            <w:shd w:val="clear" w:color="auto" w:fill="C6EFCE"/>
            <w:noWrap/>
          </w:tcPr>
          <w:p w14:paraId="68075823" w14:textId="77777777" w:rsidR="00553430" w:rsidRDefault="00212577">
            <w:pPr>
              <w:pStyle w:val="P68B1DB1-Normal66"/>
              <w:spacing w:after="200" w:line="276" w:lineRule="auto"/>
              <w:jc w:val="center"/>
              <w:rPr>
                <w:noProof/>
              </w:rPr>
            </w:pPr>
            <w:r>
              <w:rPr>
                <w:noProof/>
              </w:rPr>
              <w:t>50</w:t>
            </w:r>
          </w:p>
        </w:tc>
        <w:tc>
          <w:tcPr>
            <w:tcW w:w="756" w:type="dxa"/>
            <w:shd w:val="clear" w:color="auto" w:fill="C6EFCE"/>
            <w:noWrap/>
          </w:tcPr>
          <w:p w14:paraId="7CCD2D2D" w14:textId="77777777" w:rsidR="00553430" w:rsidRDefault="00212577">
            <w:pPr>
              <w:pStyle w:val="P68B1DB1-Normal66"/>
              <w:spacing w:after="200" w:line="276" w:lineRule="auto"/>
              <w:jc w:val="center"/>
              <w:rPr>
                <w:noProof/>
              </w:rPr>
            </w:pPr>
            <w:r>
              <w:rPr>
                <w:noProof/>
              </w:rPr>
              <w:t>T4</w:t>
            </w:r>
          </w:p>
        </w:tc>
        <w:tc>
          <w:tcPr>
            <w:tcW w:w="846" w:type="dxa"/>
            <w:shd w:val="clear" w:color="auto" w:fill="C6EFCE"/>
            <w:noWrap/>
          </w:tcPr>
          <w:p w14:paraId="664B0351" w14:textId="77777777" w:rsidR="00553430" w:rsidRDefault="00212577">
            <w:pPr>
              <w:pStyle w:val="P68B1DB1-Normal66"/>
              <w:spacing w:after="200" w:line="276" w:lineRule="auto"/>
              <w:jc w:val="center"/>
              <w:rPr>
                <w:noProof/>
              </w:rPr>
            </w:pPr>
            <w:r>
              <w:rPr>
                <w:noProof/>
              </w:rPr>
              <w:t>2024</w:t>
            </w:r>
          </w:p>
        </w:tc>
        <w:tc>
          <w:tcPr>
            <w:tcW w:w="4498" w:type="dxa"/>
            <w:shd w:val="clear" w:color="auto" w:fill="C6EFCE"/>
            <w:noWrap/>
          </w:tcPr>
          <w:p w14:paraId="66CB30E3" w14:textId="77777777" w:rsidR="00553430" w:rsidRDefault="00212577">
            <w:pPr>
              <w:pStyle w:val="P68B1DB1-Normal66"/>
              <w:spacing w:after="200" w:line="276" w:lineRule="auto"/>
              <w:rPr>
                <w:noProof/>
              </w:rPr>
            </w:pPr>
            <w:r>
              <w:rPr>
                <w:noProof/>
              </w:rPr>
              <w:t>En consultation avec les partenaires sociaux et en coopération avec le groupe d’experts sur le suivi et l’analyse de l’évolution du s</w:t>
            </w:r>
            <w:r>
              <w:rPr>
                <w:noProof/>
              </w:rPr>
              <w:t>alaire minimum, le salaire minimum est porté à 50 % du salaire moyen de l’année précédente.</w:t>
            </w:r>
          </w:p>
        </w:tc>
      </w:tr>
      <w:tr w:rsidR="00553430" w14:paraId="21840FEC" w14:textId="77777777">
        <w:trPr>
          <w:trHeight w:val="283"/>
          <w:jc w:val="center"/>
        </w:trPr>
        <w:tc>
          <w:tcPr>
            <w:tcW w:w="768" w:type="dxa"/>
            <w:shd w:val="clear" w:color="auto" w:fill="C6EFCE"/>
            <w:noWrap/>
          </w:tcPr>
          <w:p w14:paraId="790BAC7F" w14:textId="77777777" w:rsidR="00553430" w:rsidRDefault="00212577">
            <w:pPr>
              <w:pStyle w:val="P68B1DB1-Normal66"/>
              <w:spacing w:after="200" w:line="276" w:lineRule="auto"/>
              <w:jc w:val="center"/>
              <w:rPr>
                <w:noProof/>
              </w:rPr>
            </w:pPr>
            <w:r>
              <w:rPr>
                <w:noProof/>
              </w:rPr>
              <w:t>296</w:t>
            </w:r>
          </w:p>
        </w:tc>
        <w:tc>
          <w:tcPr>
            <w:tcW w:w="1203" w:type="dxa"/>
            <w:shd w:val="clear" w:color="auto" w:fill="C6EFCE"/>
            <w:noWrap/>
          </w:tcPr>
          <w:p w14:paraId="4FE56E62" w14:textId="77777777" w:rsidR="00553430" w:rsidRDefault="00212577">
            <w:pPr>
              <w:pStyle w:val="P68B1DB1-Normal66"/>
              <w:spacing w:after="200" w:line="276" w:lineRule="auto"/>
              <w:jc w:val="center"/>
              <w:rPr>
                <w:noProof/>
              </w:rPr>
            </w:pPr>
            <w:r>
              <w:rPr>
                <w:noProof/>
              </w:rPr>
              <w:t>C4.1. R4</w:t>
            </w:r>
          </w:p>
        </w:tc>
        <w:tc>
          <w:tcPr>
            <w:tcW w:w="1024" w:type="dxa"/>
            <w:shd w:val="clear" w:color="auto" w:fill="C6EFCE"/>
            <w:noWrap/>
          </w:tcPr>
          <w:p w14:paraId="2FC89552" w14:textId="77777777" w:rsidR="00553430" w:rsidRDefault="00212577">
            <w:pPr>
              <w:pStyle w:val="P68B1DB1-Normal66"/>
              <w:spacing w:after="200" w:line="276" w:lineRule="auto"/>
              <w:jc w:val="center"/>
              <w:rPr>
                <w:noProof/>
              </w:rPr>
            </w:pPr>
            <w:r>
              <w:rPr>
                <w:noProof/>
              </w:rPr>
              <w:t>T</w:t>
            </w:r>
          </w:p>
        </w:tc>
        <w:tc>
          <w:tcPr>
            <w:tcW w:w="2076" w:type="dxa"/>
            <w:shd w:val="clear" w:color="auto" w:fill="C6EFCE"/>
            <w:noWrap/>
          </w:tcPr>
          <w:p w14:paraId="3D153DF6" w14:textId="77777777" w:rsidR="00553430" w:rsidRDefault="00212577">
            <w:pPr>
              <w:pStyle w:val="P68B1DB1-Normal66"/>
              <w:spacing w:after="200" w:line="276" w:lineRule="auto"/>
              <w:rPr>
                <w:noProof/>
              </w:rPr>
            </w:pPr>
            <w:r>
              <w:rPr>
                <w:noProof/>
              </w:rPr>
              <w:t>Réduire la part des contrats temporaires à 17 %</w:t>
            </w:r>
          </w:p>
        </w:tc>
        <w:tc>
          <w:tcPr>
            <w:tcW w:w="1843" w:type="dxa"/>
            <w:shd w:val="clear" w:color="auto" w:fill="C6EFCE"/>
            <w:noWrap/>
          </w:tcPr>
          <w:p w14:paraId="72F6D1AB" w14:textId="77777777" w:rsidR="00553430" w:rsidRDefault="00212577">
            <w:pPr>
              <w:pStyle w:val="P68B1DB1-Normal66"/>
              <w:spacing w:after="200" w:line="276" w:lineRule="auto"/>
              <w:rPr>
                <w:noProof/>
              </w:rPr>
            </w:pPr>
            <w:r>
              <w:rPr>
                <w:noProof/>
              </w:rPr>
              <w:t xml:space="preserve"> </w:t>
            </w:r>
          </w:p>
        </w:tc>
        <w:tc>
          <w:tcPr>
            <w:tcW w:w="1072" w:type="dxa"/>
            <w:shd w:val="clear" w:color="auto" w:fill="C6EFCE"/>
            <w:noWrap/>
          </w:tcPr>
          <w:p w14:paraId="01D67C05" w14:textId="77777777" w:rsidR="00553430" w:rsidRDefault="00212577">
            <w:pPr>
              <w:pStyle w:val="P68B1DB1-Normal66"/>
              <w:spacing w:after="200" w:line="276" w:lineRule="auto"/>
              <w:jc w:val="center"/>
              <w:rPr>
                <w:noProof/>
              </w:rPr>
            </w:pPr>
            <w:r>
              <w:rPr>
                <w:noProof/>
              </w:rPr>
              <w:t>% (pourcentage)</w:t>
            </w:r>
          </w:p>
        </w:tc>
        <w:tc>
          <w:tcPr>
            <w:tcW w:w="826" w:type="dxa"/>
            <w:shd w:val="clear" w:color="auto" w:fill="C6EFCE"/>
            <w:noWrap/>
          </w:tcPr>
          <w:p w14:paraId="1C6078B3" w14:textId="77777777" w:rsidR="00553430" w:rsidRDefault="00212577">
            <w:pPr>
              <w:pStyle w:val="P68B1DB1-Normal66"/>
              <w:spacing w:after="200" w:line="276" w:lineRule="auto"/>
              <w:jc w:val="center"/>
              <w:rPr>
                <w:noProof/>
              </w:rPr>
            </w:pPr>
            <w:r>
              <w:rPr>
                <w:noProof/>
              </w:rPr>
              <w:t>18,1</w:t>
            </w:r>
          </w:p>
        </w:tc>
        <w:tc>
          <w:tcPr>
            <w:tcW w:w="850" w:type="dxa"/>
            <w:shd w:val="clear" w:color="auto" w:fill="C6EFCE"/>
            <w:noWrap/>
          </w:tcPr>
          <w:p w14:paraId="3C033D4D" w14:textId="77777777" w:rsidR="00553430" w:rsidRDefault="00212577">
            <w:pPr>
              <w:pStyle w:val="P68B1DB1-Normal66"/>
              <w:spacing w:after="200" w:line="276" w:lineRule="auto"/>
              <w:jc w:val="center"/>
              <w:rPr>
                <w:noProof/>
              </w:rPr>
            </w:pPr>
            <w:r>
              <w:rPr>
                <w:noProof/>
              </w:rPr>
              <w:t>17</w:t>
            </w:r>
          </w:p>
        </w:tc>
        <w:tc>
          <w:tcPr>
            <w:tcW w:w="756" w:type="dxa"/>
            <w:shd w:val="clear" w:color="auto" w:fill="C6EFCE"/>
            <w:noWrap/>
          </w:tcPr>
          <w:p w14:paraId="63538E62" w14:textId="77777777" w:rsidR="00553430" w:rsidRDefault="00212577">
            <w:pPr>
              <w:pStyle w:val="P68B1DB1-Normal66"/>
              <w:spacing w:after="200" w:line="276" w:lineRule="auto"/>
              <w:jc w:val="center"/>
              <w:rPr>
                <w:noProof/>
              </w:rPr>
            </w:pPr>
            <w:r>
              <w:rPr>
                <w:noProof/>
              </w:rPr>
              <w:t>T4</w:t>
            </w:r>
          </w:p>
        </w:tc>
        <w:tc>
          <w:tcPr>
            <w:tcW w:w="846" w:type="dxa"/>
            <w:shd w:val="clear" w:color="auto" w:fill="C6EFCE"/>
            <w:noWrap/>
          </w:tcPr>
          <w:p w14:paraId="178A3685" w14:textId="77777777" w:rsidR="00553430" w:rsidRDefault="00212577">
            <w:pPr>
              <w:pStyle w:val="P68B1DB1-Normal66"/>
              <w:spacing w:after="200" w:line="276" w:lineRule="auto"/>
              <w:jc w:val="center"/>
              <w:rPr>
                <w:noProof/>
              </w:rPr>
            </w:pPr>
            <w:r>
              <w:rPr>
                <w:noProof/>
              </w:rPr>
              <w:t>2024</w:t>
            </w:r>
          </w:p>
        </w:tc>
        <w:tc>
          <w:tcPr>
            <w:tcW w:w="4498" w:type="dxa"/>
            <w:shd w:val="clear" w:color="auto" w:fill="C6EFCE"/>
            <w:noWrap/>
          </w:tcPr>
          <w:p w14:paraId="2C5A5BE4" w14:textId="77777777" w:rsidR="00553430" w:rsidRDefault="00212577">
            <w:pPr>
              <w:pStyle w:val="P68B1DB1-Normal66"/>
              <w:spacing w:after="200" w:line="276" w:lineRule="auto"/>
              <w:rPr>
                <w:noProof/>
              </w:rPr>
            </w:pPr>
            <w:r>
              <w:rPr>
                <w:noProof/>
              </w:rPr>
              <w:t xml:space="preserve">Les modifications apportées à la loi sur le travail créent les </w:t>
            </w:r>
            <w:r>
              <w:rPr>
                <w:noProof/>
              </w:rPr>
              <w:t>conditions nécessaires pour réduire le nombre de contrats temporaires, qui devrait passer de 18,1 % à 17 % au maximum.</w:t>
            </w:r>
          </w:p>
        </w:tc>
      </w:tr>
    </w:tbl>
    <w:p w14:paraId="62639F42" w14:textId="77777777" w:rsidR="00553430" w:rsidRDefault="00553430">
      <w:pPr>
        <w:spacing w:line="240" w:lineRule="auto"/>
        <w:ind w:left="709"/>
        <w:jc w:val="both"/>
        <w:rPr>
          <w:rFonts w:eastAsia="Calibri"/>
          <w:noProof/>
        </w:rPr>
      </w:pPr>
    </w:p>
    <w:p w14:paraId="22E18E9B" w14:textId="77777777" w:rsidR="00553430" w:rsidRDefault="00553430">
      <w:pPr>
        <w:spacing w:line="240" w:lineRule="auto"/>
        <w:ind w:left="709"/>
        <w:jc w:val="both"/>
        <w:rPr>
          <w:rFonts w:eastAsia="Calibri"/>
          <w:noProof/>
        </w:rPr>
      </w:pPr>
    </w:p>
    <w:p w14:paraId="42288BCD" w14:textId="77777777" w:rsidR="00553430" w:rsidRDefault="00553430">
      <w:pPr>
        <w:rPr>
          <w:noProof/>
        </w:rPr>
      </w:pPr>
    </w:p>
    <w:p w14:paraId="288819DB" w14:textId="77777777" w:rsidR="00553430" w:rsidRDefault="00553430">
      <w:pPr>
        <w:keepNext/>
        <w:tabs>
          <w:tab w:val="left" w:pos="850"/>
        </w:tabs>
        <w:spacing w:before="360" w:line="240" w:lineRule="auto"/>
        <w:jc w:val="both"/>
        <w:outlineLvl w:val="0"/>
        <w:rPr>
          <w:rFonts w:eastAsia="Calibri"/>
          <w:b/>
          <w:smallCaps/>
          <w:noProof/>
          <w:szCs w:val="24"/>
        </w:rPr>
        <w:sectPr w:rsidR="00553430" w:rsidSect="00FA29B2">
          <w:headerReference w:type="even" r:id="rId321"/>
          <w:headerReference w:type="default" r:id="rId322"/>
          <w:footerReference w:type="even" r:id="rId323"/>
          <w:footerReference w:type="default" r:id="rId324"/>
          <w:headerReference w:type="first" r:id="rId325"/>
          <w:footerReference w:type="first" r:id="rId326"/>
          <w:pgSz w:w="16838" w:h="11906" w:orient="landscape"/>
          <w:pgMar w:top="1134" w:right="1134" w:bottom="1134" w:left="1134" w:header="567" w:footer="567" w:gutter="0"/>
          <w:cols w:space="708"/>
          <w:docGrid w:linePitch="360"/>
        </w:sectPr>
      </w:pPr>
    </w:p>
    <w:p w14:paraId="0854ACFF" w14:textId="77777777" w:rsidR="00553430" w:rsidRDefault="00212577">
      <w:pPr>
        <w:pStyle w:val="P68B1DB1-Normal32"/>
        <w:keepNext/>
        <w:spacing w:before="360" w:line="240" w:lineRule="auto"/>
        <w:jc w:val="both"/>
        <w:outlineLvl w:val="0"/>
        <w:rPr>
          <w:noProof/>
        </w:rPr>
      </w:pPr>
      <w:r>
        <w:rPr>
          <w:noProof/>
        </w:rPr>
        <w:t>S. Élément 4.2: AMÉLIORATION DU SYSTÈME DE PENSION PAR UNE ADEQUACITÉ</w:t>
      </w:r>
      <w:r>
        <w:rPr>
          <w:noProof/>
        </w:rPr>
        <w:t xml:space="preserve"> DE PENSION RENFORCÉE</w:t>
      </w:r>
    </w:p>
    <w:p w14:paraId="337D5C39" w14:textId="77777777" w:rsidR="00553430" w:rsidRDefault="00212577">
      <w:pPr>
        <w:pStyle w:val="P68B1DB1-Normal33"/>
        <w:spacing w:line="240" w:lineRule="auto"/>
        <w:jc w:val="both"/>
        <w:rPr>
          <w:noProof/>
        </w:rPr>
      </w:pPr>
      <w:r>
        <w:rPr>
          <w:noProof/>
        </w:rPr>
        <w:t>Ce volet du plan croate pour la reprise et la résilience vise à renforcer encore la viabilité du système de retraite, notamment en encourageant l’allongement de la vie active, en renforçant le deuxième pilier des retraites et en augme</w:t>
      </w:r>
      <w:r>
        <w:rPr>
          <w:noProof/>
        </w:rPr>
        <w:t xml:space="preserve">ntant les retraites les plus basses. L’objectif général de la réforme de ce volet est d’améliorer l’adéquation et la viabilité des retraites. </w:t>
      </w:r>
    </w:p>
    <w:p w14:paraId="6B47C947" w14:textId="77777777" w:rsidR="00553430" w:rsidRDefault="00212577">
      <w:pPr>
        <w:pStyle w:val="P68B1DB1-Normal57"/>
        <w:keepNext/>
        <w:spacing w:before="40" w:after="0"/>
        <w:ind w:left="851"/>
        <w:jc w:val="both"/>
        <w:outlineLvl w:val="1"/>
        <w:rPr>
          <w:noProof/>
        </w:rPr>
      </w:pPr>
      <w:r>
        <w:rPr>
          <w:noProof/>
        </w:rPr>
        <w:t xml:space="preserve">S.1. </w:t>
      </w:r>
      <w:r>
        <w:rPr>
          <w:noProof/>
        </w:rPr>
        <w:tab/>
        <w:t>Description des réformes et des investissements pour le soutien financier non remboursable</w:t>
      </w:r>
    </w:p>
    <w:p w14:paraId="3C018914" w14:textId="77777777" w:rsidR="00553430" w:rsidRDefault="00212577">
      <w:pPr>
        <w:pStyle w:val="P68B1DB1-Normal96"/>
        <w:keepNext/>
        <w:spacing w:before="240" w:after="0"/>
        <w:ind w:left="850"/>
        <w:jc w:val="both"/>
        <w:outlineLvl w:val="2"/>
        <w:rPr>
          <w:noProof/>
        </w:rPr>
      </w:pPr>
      <w:r>
        <w:rPr>
          <w:noProof/>
        </w:rPr>
        <w:t xml:space="preserve">Réforme C4.2 R1 </w:t>
      </w:r>
      <w:r>
        <w:rPr>
          <w:noProof/>
        </w:rPr>
        <w:t>– Accroître l’adéquation des retraites grâce à la poursuite de la réforme des retraites</w:t>
      </w:r>
    </w:p>
    <w:p w14:paraId="21F4877A" w14:textId="77777777" w:rsidR="00553430" w:rsidRDefault="00212577">
      <w:pPr>
        <w:pStyle w:val="P68B1DB1-Normal46"/>
        <w:spacing w:before="240" w:after="240" w:line="240" w:lineRule="auto"/>
        <w:jc w:val="both"/>
        <w:rPr>
          <w:rFonts w:eastAsia="Times New Roman"/>
          <w:b/>
          <w:bCs/>
          <w:noProof/>
        </w:rPr>
      </w:pPr>
      <w:r>
        <w:rPr>
          <w:noProof/>
        </w:rPr>
        <w:t>L'objectif de cette réforme est triple: i) améliorer l’adéquation des retraites, en particulier pour les bénéficiaires ayant les revenus les plus faibles, ii) améliorer</w:t>
      </w:r>
      <w:r>
        <w:rPr>
          <w:noProof/>
        </w:rPr>
        <w:t xml:space="preserve"> la viabilité du système de retraite en renforçant le deuxième pilier des retraites et iii) relancer les efforts de réforme à plus long terme de manière inclusive sur le plan social en formant un groupe de travail auquel participeraient toutes les principa</w:t>
      </w:r>
      <w:r>
        <w:rPr>
          <w:noProof/>
        </w:rPr>
        <w:t>les parties prenantes et tous les partenaires sociaux. Cette mesure consiste à modifier la législation sur les retraites afin d’augmenter les pensions minimales et de survie, d’élargir les options d’investissement pour les fonds de pension du deuxième pili</w:t>
      </w:r>
      <w:r>
        <w:rPr>
          <w:noProof/>
        </w:rPr>
        <w:t>er et de mettre en œuvre de nouvelles réformes fondées sur les recommandations du groupe de travail.</w:t>
      </w:r>
    </w:p>
    <w:p w14:paraId="3CFE2A8A" w14:textId="77777777" w:rsidR="00553430" w:rsidRDefault="00553430">
      <w:pPr>
        <w:spacing w:line="240" w:lineRule="auto"/>
        <w:jc w:val="both"/>
        <w:rPr>
          <w:rFonts w:ascii="Times New Roman" w:eastAsia="Calibri" w:hAnsi="Times New Roman" w:cs="Times New Roman"/>
          <w:noProof/>
          <w:sz w:val="24"/>
          <w:szCs w:val="24"/>
        </w:rPr>
      </w:pPr>
    </w:p>
    <w:p w14:paraId="7DB2B417" w14:textId="77777777" w:rsidR="00553430" w:rsidRDefault="00212577">
      <w:pPr>
        <w:tabs>
          <w:tab w:val="left" w:pos="5697"/>
        </w:tabs>
        <w:rPr>
          <w:noProof/>
        </w:rPr>
        <w:sectPr w:rsidR="00553430" w:rsidSect="00FA29B2">
          <w:headerReference w:type="even" r:id="rId327"/>
          <w:headerReference w:type="default" r:id="rId328"/>
          <w:footerReference w:type="even" r:id="rId329"/>
          <w:footerReference w:type="default" r:id="rId330"/>
          <w:headerReference w:type="first" r:id="rId331"/>
          <w:footerReference w:type="first" r:id="rId332"/>
          <w:pgSz w:w="11906" w:h="16838"/>
          <w:pgMar w:top="1134" w:right="1134" w:bottom="1134" w:left="1134" w:header="567" w:footer="567" w:gutter="0"/>
          <w:cols w:space="708"/>
          <w:docGrid w:linePitch="360"/>
        </w:sectPr>
      </w:pPr>
      <w:r>
        <w:rPr>
          <w:noProof/>
        </w:rPr>
        <w:tab/>
      </w:r>
    </w:p>
    <w:p w14:paraId="4BB3CCE4" w14:textId="77777777" w:rsidR="00553430" w:rsidRDefault="00212577">
      <w:pPr>
        <w:pStyle w:val="P68B1DB1-Normal57"/>
        <w:keepNext/>
        <w:tabs>
          <w:tab w:val="num" w:pos="850"/>
        </w:tabs>
        <w:spacing w:after="0" w:line="240" w:lineRule="auto"/>
        <w:ind w:left="851"/>
        <w:jc w:val="both"/>
        <w:outlineLvl w:val="1"/>
        <w:rPr>
          <w:noProof/>
        </w:rPr>
      </w:pPr>
      <w:r>
        <w:rPr>
          <w:noProof/>
        </w:rPr>
        <w:t xml:space="preserve">S.2. </w:t>
      </w:r>
      <w:r>
        <w:rPr>
          <w:noProof/>
        </w:rPr>
        <w:tab/>
        <w:t xml:space="preserve">Étapes, cibles, indicateurs et calendrier pour le suivi et la mise en œuvre du </w:t>
      </w:r>
      <w:r>
        <w:rPr>
          <w:noProof/>
        </w:rPr>
        <w:t>soutien financier non remboursable</w:t>
      </w:r>
    </w:p>
    <w:p w14:paraId="4BC82E74" w14:textId="77777777" w:rsidR="00553430" w:rsidRDefault="00553430">
      <w:pPr>
        <w:keepNext/>
        <w:tabs>
          <w:tab w:val="num" w:pos="850"/>
        </w:tabs>
        <w:spacing w:after="0" w:line="240" w:lineRule="auto"/>
        <w:ind w:left="851"/>
        <w:jc w:val="both"/>
        <w:outlineLvl w:val="1"/>
        <w:rPr>
          <w:rFonts w:ascii="Times New Roman" w:eastAsia="SimSun" w:hAnsi="Times New Roman" w:cs="Times New Roman"/>
          <w:b/>
          <w:noProof/>
          <w:sz w:val="24"/>
          <w:szCs w:val="24"/>
          <w:u w:val="single"/>
        </w:rPr>
      </w:pPr>
    </w:p>
    <w:tbl>
      <w:tblPr>
        <w:tblW w:w="15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51"/>
        <w:gridCol w:w="993"/>
        <w:gridCol w:w="1151"/>
        <w:gridCol w:w="2393"/>
        <w:gridCol w:w="2093"/>
        <w:gridCol w:w="1167"/>
        <w:gridCol w:w="852"/>
        <w:gridCol w:w="850"/>
        <w:gridCol w:w="893"/>
        <w:gridCol w:w="884"/>
        <w:gridCol w:w="3685"/>
      </w:tblGrid>
      <w:tr w:rsidR="00553430" w14:paraId="49709F04" w14:textId="77777777">
        <w:trPr>
          <w:trHeight w:val="635"/>
          <w:tblHeader/>
          <w:jc w:val="center"/>
        </w:trPr>
        <w:tc>
          <w:tcPr>
            <w:tcW w:w="851" w:type="dxa"/>
            <w:vMerge w:val="restart"/>
            <w:shd w:val="clear" w:color="auto" w:fill="BDD7EE"/>
            <w:vAlign w:val="center"/>
            <w:hideMark/>
          </w:tcPr>
          <w:p w14:paraId="59AAF9FF" w14:textId="77777777" w:rsidR="00553430" w:rsidRDefault="00212577">
            <w:pPr>
              <w:pStyle w:val="P68B1DB1-Normal58"/>
              <w:spacing w:after="0" w:line="276" w:lineRule="auto"/>
              <w:jc w:val="center"/>
              <w:rPr>
                <w:bCs/>
                <w:noProof/>
              </w:rPr>
            </w:pPr>
            <w:r>
              <w:rPr>
                <w:noProof/>
              </w:rPr>
              <w:t>Numéro</w:t>
            </w:r>
          </w:p>
        </w:tc>
        <w:tc>
          <w:tcPr>
            <w:tcW w:w="993" w:type="dxa"/>
            <w:vMerge w:val="restart"/>
            <w:shd w:val="clear" w:color="auto" w:fill="BDD7EE"/>
            <w:vAlign w:val="center"/>
            <w:hideMark/>
          </w:tcPr>
          <w:p w14:paraId="0F458E05" w14:textId="77777777" w:rsidR="00553430" w:rsidRDefault="00212577">
            <w:pPr>
              <w:pStyle w:val="P68B1DB1-Normal58"/>
              <w:spacing w:after="0" w:line="276" w:lineRule="auto"/>
              <w:jc w:val="center"/>
              <w:rPr>
                <w:noProof/>
              </w:rPr>
            </w:pPr>
            <w:r>
              <w:rPr>
                <w:noProof/>
              </w:rPr>
              <w:t>Mesure</w:t>
            </w:r>
          </w:p>
        </w:tc>
        <w:tc>
          <w:tcPr>
            <w:tcW w:w="1151" w:type="dxa"/>
            <w:vMerge w:val="restart"/>
            <w:shd w:val="clear" w:color="auto" w:fill="BDD7EE"/>
            <w:vAlign w:val="center"/>
            <w:hideMark/>
          </w:tcPr>
          <w:p w14:paraId="7A661C3F" w14:textId="77777777" w:rsidR="00553430" w:rsidRDefault="00212577">
            <w:pPr>
              <w:pStyle w:val="P68B1DB1-Normal58"/>
              <w:spacing w:after="0" w:line="276" w:lineRule="auto"/>
              <w:jc w:val="center"/>
              <w:rPr>
                <w:noProof/>
              </w:rPr>
            </w:pPr>
            <w:r>
              <w:rPr>
                <w:noProof/>
              </w:rPr>
              <w:t>Étape/cible</w:t>
            </w:r>
          </w:p>
        </w:tc>
        <w:tc>
          <w:tcPr>
            <w:tcW w:w="2393" w:type="dxa"/>
            <w:vMerge w:val="restart"/>
            <w:shd w:val="clear" w:color="auto" w:fill="BDD7EE"/>
            <w:vAlign w:val="center"/>
            <w:hideMark/>
          </w:tcPr>
          <w:p w14:paraId="3A569333" w14:textId="77777777" w:rsidR="00553430" w:rsidRDefault="00212577">
            <w:pPr>
              <w:pStyle w:val="P68B1DB1-Normal58"/>
              <w:spacing w:after="0" w:line="276" w:lineRule="auto"/>
              <w:jc w:val="center"/>
              <w:rPr>
                <w:noProof/>
              </w:rPr>
            </w:pPr>
            <w:r>
              <w:rPr>
                <w:noProof/>
              </w:rPr>
              <w:t>Nom</w:t>
            </w:r>
          </w:p>
        </w:tc>
        <w:tc>
          <w:tcPr>
            <w:tcW w:w="2093" w:type="dxa"/>
            <w:vMerge w:val="restart"/>
            <w:shd w:val="clear" w:color="auto" w:fill="BDD7EE"/>
            <w:vAlign w:val="center"/>
            <w:hideMark/>
          </w:tcPr>
          <w:p w14:paraId="2659DE2D" w14:textId="77777777" w:rsidR="00553430" w:rsidRDefault="00212577">
            <w:pPr>
              <w:pStyle w:val="P68B1DB1-Normal58"/>
              <w:spacing w:after="0" w:line="276" w:lineRule="auto"/>
              <w:jc w:val="center"/>
              <w:rPr>
                <w:noProof/>
              </w:rPr>
            </w:pPr>
            <w:r>
              <w:rPr>
                <w:noProof/>
              </w:rPr>
              <w:t xml:space="preserve">Indicateurs qualitatifs </w:t>
            </w:r>
            <w:r>
              <w:rPr>
                <w:noProof/>
              </w:rPr>
              <w:br/>
              <w:t>(pour les jalons)</w:t>
            </w:r>
          </w:p>
        </w:tc>
        <w:tc>
          <w:tcPr>
            <w:tcW w:w="2752" w:type="dxa"/>
            <w:gridSpan w:val="3"/>
            <w:shd w:val="clear" w:color="auto" w:fill="BDD7EE"/>
            <w:vAlign w:val="center"/>
            <w:hideMark/>
          </w:tcPr>
          <w:p w14:paraId="60AD253C" w14:textId="77777777" w:rsidR="00553430" w:rsidRDefault="00212577">
            <w:pPr>
              <w:pStyle w:val="P68B1DB1-Normal58"/>
              <w:spacing w:after="0" w:line="276" w:lineRule="auto"/>
              <w:jc w:val="center"/>
              <w:rPr>
                <w:noProof/>
              </w:rPr>
            </w:pPr>
            <w:r>
              <w:rPr>
                <w:noProof/>
              </w:rPr>
              <w:t xml:space="preserve">Indicateurs quantitatifs </w:t>
            </w:r>
            <w:r>
              <w:rPr>
                <w:noProof/>
              </w:rPr>
              <w:br/>
              <w:t>(pour les objectifs)</w:t>
            </w:r>
          </w:p>
        </w:tc>
        <w:tc>
          <w:tcPr>
            <w:tcW w:w="1640" w:type="dxa"/>
            <w:gridSpan w:val="2"/>
            <w:shd w:val="clear" w:color="auto" w:fill="BDD7EE"/>
            <w:vAlign w:val="center"/>
            <w:hideMark/>
          </w:tcPr>
          <w:p w14:paraId="6D7A542C" w14:textId="77777777" w:rsidR="00553430" w:rsidRDefault="00212577">
            <w:pPr>
              <w:pStyle w:val="P68B1DB1-Normal58"/>
              <w:spacing w:after="0" w:line="276" w:lineRule="auto"/>
              <w:jc w:val="center"/>
              <w:rPr>
                <w:noProof/>
              </w:rPr>
            </w:pPr>
            <w:r>
              <w:rPr>
                <w:noProof/>
              </w:rPr>
              <w:t>Temps</w:t>
            </w:r>
          </w:p>
        </w:tc>
        <w:tc>
          <w:tcPr>
            <w:tcW w:w="3685" w:type="dxa"/>
            <w:vMerge w:val="restart"/>
            <w:shd w:val="clear" w:color="auto" w:fill="BDD7EE"/>
            <w:vAlign w:val="center"/>
            <w:hideMark/>
          </w:tcPr>
          <w:p w14:paraId="08FC12F9" w14:textId="77777777" w:rsidR="00553430" w:rsidRDefault="00212577">
            <w:pPr>
              <w:pStyle w:val="P68B1DB1-Normal58"/>
              <w:spacing w:after="0" w:line="276" w:lineRule="auto"/>
              <w:jc w:val="center"/>
              <w:rPr>
                <w:noProof/>
              </w:rPr>
            </w:pPr>
            <w:r>
              <w:rPr>
                <w:noProof/>
              </w:rPr>
              <w:t>Description de chaque jalon et cible</w:t>
            </w:r>
          </w:p>
        </w:tc>
      </w:tr>
      <w:tr w:rsidR="00553430" w14:paraId="4B6F8A30" w14:textId="77777777">
        <w:trPr>
          <w:trHeight w:val="503"/>
          <w:tblHeader/>
          <w:jc w:val="center"/>
        </w:trPr>
        <w:tc>
          <w:tcPr>
            <w:tcW w:w="851" w:type="dxa"/>
            <w:vMerge/>
            <w:hideMark/>
          </w:tcPr>
          <w:p w14:paraId="00913E04"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993" w:type="dxa"/>
            <w:vMerge/>
            <w:hideMark/>
          </w:tcPr>
          <w:p w14:paraId="5F04BF99"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151" w:type="dxa"/>
            <w:vMerge/>
            <w:hideMark/>
          </w:tcPr>
          <w:p w14:paraId="54372780"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2393" w:type="dxa"/>
            <w:vMerge/>
            <w:hideMark/>
          </w:tcPr>
          <w:p w14:paraId="62F3336A" w14:textId="77777777" w:rsidR="00553430" w:rsidRDefault="00553430">
            <w:pPr>
              <w:spacing w:after="0" w:line="276" w:lineRule="auto"/>
              <w:rPr>
                <w:rFonts w:ascii="Times New Roman" w:eastAsia="Times New Roman" w:hAnsi="Times New Roman" w:cs="Times New Roman"/>
                <w:b/>
                <w:noProof/>
                <w:sz w:val="20"/>
                <w:szCs w:val="20"/>
              </w:rPr>
            </w:pPr>
          </w:p>
        </w:tc>
        <w:tc>
          <w:tcPr>
            <w:tcW w:w="2093" w:type="dxa"/>
            <w:vMerge/>
            <w:hideMark/>
          </w:tcPr>
          <w:p w14:paraId="27084226" w14:textId="77777777" w:rsidR="00553430" w:rsidRDefault="00553430">
            <w:pPr>
              <w:spacing w:after="0" w:line="276" w:lineRule="auto"/>
              <w:rPr>
                <w:rFonts w:ascii="Times New Roman" w:eastAsia="Times New Roman" w:hAnsi="Times New Roman" w:cs="Times New Roman"/>
                <w:b/>
                <w:noProof/>
                <w:sz w:val="20"/>
                <w:szCs w:val="20"/>
              </w:rPr>
            </w:pPr>
          </w:p>
        </w:tc>
        <w:tc>
          <w:tcPr>
            <w:tcW w:w="1134" w:type="dxa"/>
            <w:shd w:val="clear" w:color="auto" w:fill="BDD7EE"/>
            <w:vAlign w:val="center"/>
            <w:hideMark/>
          </w:tcPr>
          <w:p w14:paraId="02DE8114" w14:textId="77777777" w:rsidR="00553430" w:rsidRDefault="00212577">
            <w:pPr>
              <w:pStyle w:val="P68B1DB1-Normal58"/>
              <w:spacing w:after="0" w:line="276" w:lineRule="auto"/>
              <w:jc w:val="center"/>
              <w:rPr>
                <w:noProof/>
              </w:rPr>
            </w:pPr>
            <w:r>
              <w:rPr>
                <w:noProof/>
              </w:rPr>
              <w:t>Unité</w:t>
            </w:r>
          </w:p>
        </w:tc>
        <w:tc>
          <w:tcPr>
            <w:tcW w:w="768" w:type="dxa"/>
            <w:shd w:val="clear" w:color="auto" w:fill="BDD7EE"/>
            <w:vAlign w:val="center"/>
            <w:hideMark/>
          </w:tcPr>
          <w:p w14:paraId="2D0A8481" w14:textId="77777777" w:rsidR="00553430" w:rsidRDefault="00212577">
            <w:pPr>
              <w:pStyle w:val="P68B1DB1-Normal58"/>
              <w:spacing w:after="0" w:line="276" w:lineRule="auto"/>
              <w:jc w:val="center"/>
              <w:rPr>
                <w:noProof/>
              </w:rPr>
            </w:pPr>
            <w:r>
              <w:rPr>
                <w:noProof/>
              </w:rPr>
              <w:t>Données de référence</w:t>
            </w:r>
          </w:p>
        </w:tc>
        <w:tc>
          <w:tcPr>
            <w:tcW w:w="850" w:type="dxa"/>
            <w:shd w:val="clear" w:color="auto" w:fill="BDD7EE"/>
            <w:vAlign w:val="center"/>
            <w:hideMark/>
          </w:tcPr>
          <w:p w14:paraId="078A111A" w14:textId="77777777" w:rsidR="00553430" w:rsidRDefault="00212577">
            <w:pPr>
              <w:pStyle w:val="P68B1DB1-Normal58"/>
              <w:spacing w:after="0" w:line="276" w:lineRule="auto"/>
              <w:jc w:val="center"/>
              <w:rPr>
                <w:noProof/>
              </w:rPr>
            </w:pPr>
            <w:r>
              <w:rPr>
                <w:noProof/>
              </w:rPr>
              <w:t>Objectif</w:t>
            </w:r>
          </w:p>
        </w:tc>
        <w:tc>
          <w:tcPr>
            <w:tcW w:w="756" w:type="dxa"/>
            <w:shd w:val="clear" w:color="auto" w:fill="BDD7EE"/>
            <w:vAlign w:val="center"/>
            <w:hideMark/>
          </w:tcPr>
          <w:p w14:paraId="56BEBA75" w14:textId="77777777" w:rsidR="00553430" w:rsidRDefault="00212577">
            <w:pPr>
              <w:pStyle w:val="P68B1DB1-Normal58"/>
              <w:spacing w:after="0" w:line="276" w:lineRule="auto"/>
              <w:jc w:val="center"/>
              <w:rPr>
                <w:noProof/>
              </w:rPr>
            </w:pPr>
            <w:r>
              <w:rPr>
                <w:noProof/>
              </w:rPr>
              <w:t>Trimestre</w:t>
            </w:r>
          </w:p>
        </w:tc>
        <w:tc>
          <w:tcPr>
            <w:tcW w:w="884" w:type="dxa"/>
            <w:shd w:val="clear" w:color="auto" w:fill="BDD7EE"/>
            <w:vAlign w:val="center"/>
            <w:hideMark/>
          </w:tcPr>
          <w:p w14:paraId="6E03F431" w14:textId="77777777" w:rsidR="00553430" w:rsidRDefault="00212577">
            <w:pPr>
              <w:pStyle w:val="P68B1DB1-Normal58"/>
              <w:spacing w:after="0" w:line="276" w:lineRule="auto"/>
              <w:jc w:val="center"/>
              <w:rPr>
                <w:noProof/>
              </w:rPr>
            </w:pPr>
            <w:r>
              <w:rPr>
                <w:noProof/>
              </w:rPr>
              <w:t>Année</w:t>
            </w:r>
          </w:p>
        </w:tc>
        <w:tc>
          <w:tcPr>
            <w:tcW w:w="3685" w:type="dxa"/>
            <w:vMerge/>
            <w:hideMark/>
          </w:tcPr>
          <w:p w14:paraId="28BBE5E7"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5AF7A13A" w14:textId="77777777">
        <w:trPr>
          <w:trHeight w:val="283"/>
          <w:jc w:val="center"/>
        </w:trPr>
        <w:tc>
          <w:tcPr>
            <w:tcW w:w="851" w:type="dxa"/>
            <w:shd w:val="clear" w:color="auto" w:fill="C6EFCE"/>
            <w:noWrap/>
          </w:tcPr>
          <w:p w14:paraId="111520EB" w14:textId="77777777" w:rsidR="00553430" w:rsidRDefault="00212577">
            <w:pPr>
              <w:pStyle w:val="P68B1DB1-Normal66"/>
              <w:spacing w:after="0" w:line="276" w:lineRule="auto"/>
              <w:jc w:val="center"/>
              <w:rPr>
                <w:noProof/>
              </w:rPr>
            </w:pPr>
            <w:r>
              <w:rPr>
                <w:noProof/>
              </w:rPr>
              <w:t>297</w:t>
            </w:r>
          </w:p>
        </w:tc>
        <w:tc>
          <w:tcPr>
            <w:tcW w:w="993" w:type="dxa"/>
            <w:shd w:val="clear" w:color="auto" w:fill="C6EFCE"/>
            <w:noWrap/>
          </w:tcPr>
          <w:p w14:paraId="729C83CD" w14:textId="77777777" w:rsidR="00553430" w:rsidRDefault="00212577">
            <w:pPr>
              <w:pStyle w:val="P68B1DB1-Normal66"/>
              <w:spacing w:after="200" w:line="276" w:lineRule="auto"/>
              <w:jc w:val="center"/>
              <w:rPr>
                <w:noProof/>
              </w:rPr>
            </w:pPr>
            <w:r>
              <w:rPr>
                <w:noProof/>
              </w:rPr>
              <w:t>C4.2. R1</w:t>
            </w:r>
          </w:p>
        </w:tc>
        <w:tc>
          <w:tcPr>
            <w:tcW w:w="1151" w:type="dxa"/>
            <w:shd w:val="clear" w:color="auto" w:fill="C6EFCE"/>
            <w:noWrap/>
          </w:tcPr>
          <w:p w14:paraId="797944A8" w14:textId="77777777" w:rsidR="00553430" w:rsidRDefault="00212577">
            <w:pPr>
              <w:pStyle w:val="P68B1DB1-Normal66"/>
              <w:spacing w:after="200" w:line="276" w:lineRule="auto"/>
              <w:jc w:val="center"/>
              <w:rPr>
                <w:noProof/>
              </w:rPr>
            </w:pPr>
            <w:r>
              <w:rPr>
                <w:noProof/>
              </w:rPr>
              <w:t>M</w:t>
            </w:r>
          </w:p>
        </w:tc>
        <w:tc>
          <w:tcPr>
            <w:tcW w:w="2393" w:type="dxa"/>
            <w:shd w:val="clear" w:color="auto" w:fill="C6EFCE"/>
            <w:noWrap/>
          </w:tcPr>
          <w:p w14:paraId="3C4BE488" w14:textId="77777777" w:rsidR="00553430" w:rsidRDefault="00212577">
            <w:pPr>
              <w:pStyle w:val="P68B1DB1-Normal66"/>
              <w:spacing w:after="200" w:line="276" w:lineRule="auto"/>
              <w:rPr>
                <w:noProof/>
              </w:rPr>
            </w:pPr>
            <w:r>
              <w:rPr>
                <w:noProof/>
              </w:rPr>
              <w:t>Adoption de modifications à la Loi sur l'assurance-pension</w:t>
            </w:r>
          </w:p>
        </w:tc>
        <w:tc>
          <w:tcPr>
            <w:tcW w:w="2093" w:type="dxa"/>
            <w:shd w:val="clear" w:color="auto" w:fill="C6EFCE"/>
            <w:noWrap/>
          </w:tcPr>
          <w:p w14:paraId="468B06DA" w14:textId="77777777" w:rsidR="00553430" w:rsidRDefault="00212577">
            <w:pPr>
              <w:pStyle w:val="P68B1DB1-Normal66"/>
              <w:spacing w:after="200" w:line="276" w:lineRule="auto"/>
              <w:rPr>
                <w:noProof/>
              </w:rPr>
            </w:pPr>
            <w:r>
              <w:rPr>
                <w:noProof/>
              </w:rPr>
              <w:t xml:space="preserve">Entrée en vigueur de la nouvelle loi ou de la loi modifiée sur l'assurance pension. </w:t>
            </w:r>
          </w:p>
        </w:tc>
        <w:tc>
          <w:tcPr>
            <w:tcW w:w="1134" w:type="dxa"/>
            <w:shd w:val="clear" w:color="auto" w:fill="C6EFCE"/>
            <w:noWrap/>
          </w:tcPr>
          <w:p w14:paraId="5E92C40B" w14:textId="77777777" w:rsidR="00553430" w:rsidRDefault="00212577">
            <w:pPr>
              <w:pStyle w:val="P68B1DB1-Normal66"/>
              <w:spacing w:after="200" w:line="276" w:lineRule="auto"/>
              <w:jc w:val="center"/>
              <w:rPr>
                <w:noProof/>
              </w:rPr>
            </w:pPr>
            <w:r>
              <w:rPr>
                <w:noProof/>
              </w:rPr>
              <w:t> </w:t>
            </w:r>
          </w:p>
        </w:tc>
        <w:tc>
          <w:tcPr>
            <w:tcW w:w="768" w:type="dxa"/>
            <w:shd w:val="clear" w:color="auto" w:fill="C6EFCE"/>
            <w:noWrap/>
          </w:tcPr>
          <w:p w14:paraId="3F77B496" w14:textId="77777777" w:rsidR="00553430" w:rsidRDefault="00212577">
            <w:pPr>
              <w:pStyle w:val="P68B1DB1-Normal66"/>
              <w:spacing w:after="200" w:line="276" w:lineRule="auto"/>
              <w:jc w:val="center"/>
              <w:rPr>
                <w:noProof/>
              </w:rPr>
            </w:pPr>
            <w:r>
              <w:rPr>
                <w:noProof/>
              </w:rPr>
              <w:t> </w:t>
            </w:r>
          </w:p>
        </w:tc>
        <w:tc>
          <w:tcPr>
            <w:tcW w:w="850" w:type="dxa"/>
            <w:shd w:val="clear" w:color="auto" w:fill="C6EFCE"/>
            <w:noWrap/>
          </w:tcPr>
          <w:p w14:paraId="6E57A91E" w14:textId="77777777" w:rsidR="00553430" w:rsidRDefault="00212577">
            <w:pPr>
              <w:pStyle w:val="P68B1DB1-Normal66"/>
              <w:spacing w:after="200" w:line="276" w:lineRule="auto"/>
              <w:jc w:val="center"/>
              <w:rPr>
                <w:noProof/>
              </w:rPr>
            </w:pPr>
            <w:r>
              <w:rPr>
                <w:noProof/>
              </w:rPr>
              <w:t> </w:t>
            </w:r>
          </w:p>
        </w:tc>
        <w:tc>
          <w:tcPr>
            <w:tcW w:w="756" w:type="dxa"/>
            <w:shd w:val="clear" w:color="auto" w:fill="C6EFCE"/>
            <w:noWrap/>
          </w:tcPr>
          <w:p w14:paraId="33FFE0CE" w14:textId="77777777" w:rsidR="00553430" w:rsidRDefault="00212577">
            <w:pPr>
              <w:pStyle w:val="P68B1DB1-Normal66"/>
              <w:spacing w:after="200" w:line="276" w:lineRule="auto"/>
              <w:jc w:val="center"/>
              <w:rPr>
                <w:noProof/>
              </w:rPr>
            </w:pPr>
            <w:r>
              <w:rPr>
                <w:noProof/>
              </w:rPr>
              <w:t>T1</w:t>
            </w:r>
          </w:p>
        </w:tc>
        <w:tc>
          <w:tcPr>
            <w:tcW w:w="884" w:type="dxa"/>
            <w:shd w:val="clear" w:color="auto" w:fill="C6EFCE"/>
            <w:noWrap/>
          </w:tcPr>
          <w:p w14:paraId="7A6010E1" w14:textId="77777777" w:rsidR="00553430" w:rsidRDefault="00212577">
            <w:pPr>
              <w:pStyle w:val="P68B1DB1-Normal66"/>
              <w:spacing w:after="200" w:line="276" w:lineRule="auto"/>
              <w:jc w:val="center"/>
              <w:rPr>
                <w:noProof/>
              </w:rPr>
            </w:pPr>
            <w:r>
              <w:rPr>
                <w:noProof/>
              </w:rPr>
              <w:t>2023</w:t>
            </w:r>
          </w:p>
        </w:tc>
        <w:tc>
          <w:tcPr>
            <w:tcW w:w="3685" w:type="dxa"/>
            <w:shd w:val="clear" w:color="auto" w:fill="C6EFCE"/>
            <w:noWrap/>
          </w:tcPr>
          <w:p w14:paraId="527483F8" w14:textId="77777777" w:rsidR="00553430" w:rsidRDefault="00212577">
            <w:pPr>
              <w:pStyle w:val="P68B1DB1-Normal66"/>
              <w:spacing w:after="200" w:line="276" w:lineRule="auto"/>
              <w:rPr>
                <w:noProof/>
              </w:rPr>
            </w:pPr>
            <w:r>
              <w:rPr>
                <w:noProof/>
              </w:rPr>
              <w:t xml:space="preserve">Les modifications apportées à la loi sur l’assurance pension augmentent la </w:t>
            </w:r>
            <w:r>
              <w:rPr>
                <w:noProof/>
              </w:rPr>
              <w:t>pension minimale et le facteur de pension utilisés pour calculer le montant de la pension de survie afin de permettre l’utilisation d’une partie de la pension de survie en plus d’une pension personnelle (ancienne/invalidité) dans des conditions liées à l’â</w:t>
            </w:r>
            <w:r>
              <w:rPr>
                <w:noProof/>
              </w:rPr>
              <w:t>ge et au revenu, pour les retraités à faible revenu.</w:t>
            </w:r>
          </w:p>
        </w:tc>
      </w:tr>
      <w:tr w:rsidR="00553430" w14:paraId="01118367" w14:textId="77777777">
        <w:trPr>
          <w:trHeight w:val="283"/>
          <w:jc w:val="center"/>
        </w:trPr>
        <w:tc>
          <w:tcPr>
            <w:tcW w:w="851" w:type="dxa"/>
            <w:shd w:val="clear" w:color="auto" w:fill="C6EFCE"/>
            <w:noWrap/>
          </w:tcPr>
          <w:p w14:paraId="68F109A1" w14:textId="77777777" w:rsidR="00553430" w:rsidRDefault="00212577">
            <w:pPr>
              <w:pStyle w:val="P68B1DB1-Normal66"/>
              <w:spacing w:after="200" w:line="276" w:lineRule="auto"/>
              <w:jc w:val="center"/>
              <w:rPr>
                <w:noProof/>
              </w:rPr>
            </w:pPr>
            <w:r>
              <w:rPr>
                <w:noProof/>
              </w:rPr>
              <w:t>298</w:t>
            </w:r>
          </w:p>
        </w:tc>
        <w:tc>
          <w:tcPr>
            <w:tcW w:w="993" w:type="dxa"/>
            <w:shd w:val="clear" w:color="auto" w:fill="C6EFCE"/>
            <w:noWrap/>
          </w:tcPr>
          <w:p w14:paraId="020B6459" w14:textId="77777777" w:rsidR="00553430" w:rsidRDefault="00212577">
            <w:pPr>
              <w:pStyle w:val="P68B1DB1-Normal66"/>
              <w:spacing w:after="200" w:line="276" w:lineRule="auto"/>
              <w:jc w:val="center"/>
              <w:rPr>
                <w:noProof/>
              </w:rPr>
            </w:pPr>
            <w:r>
              <w:rPr>
                <w:noProof/>
              </w:rPr>
              <w:t>C4.2. R1</w:t>
            </w:r>
          </w:p>
        </w:tc>
        <w:tc>
          <w:tcPr>
            <w:tcW w:w="1151" w:type="dxa"/>
            <w:shd w:val="clear" w:color="auto" w:fill="C6EFCE"/>
            <w:noWrap/>
          </w:tcPr>
          <w:p w14:paraId="0A154B4E" w14:textId="77777777" w:rsidR="00553430" w:rsidRDefault="00212577">
            <w:pPr>
              <w:pStyle w:val="P68B1DB1-Normal66"/>
              <w:spacing w:after="200" w:line="276" w:lineRule="auto"/>
              <w:jc w:val="center"/>
              <w:rPr>
                <w:noProof/>
              </w:rPr>
            </w:pPr>
            <w:r>
              <w:rPr>
                <w:noProof/>
              </w:rPr>
              <w:t>M</w:t>
            </w:r>
          </w:p>
        </w:tc>
        <w:tc>
          <w:tcPr>
            <w:tcW w:w="2393" w:type="dxa"/>
            <w:shd w:val="clear" w:color="auto" w:fill="C6EFCE"/>
            <w:noWrap/>
          </w:tcPr>
          <w:p w14:paraId="6DF69FD0" w14:textId="1C4B3222" w:rsidR="00553430" w:rsidRDefault="00212577">
            <w:pPr>
              <w:pStyle w:val="P68B1DB1-Normal66"/>
              <w:spacing w:after="200" w:line="276" w:lineRule="auto"/>
              <w:rPr>
                <w:noProof/>
              </w:rPr>
            </w:pPr>
            <w:r>
              <w:rPr>
                <w:noProof/>
              </w:rPr>
              <w:t xml:space="preserve">Adoption de la loi modifiant la loi sur les fonds de pension obligatoires </w:t>
            </w:r>
          </w:p>
        </w:tc>
        <w:tc>
          <w:tcPr>
            <w:tcW w:w="2093" w:type="dxa"/>
            <w:shd w:val="clear" w:color="auto" w:fill="C6EFCE"/>
            <w:noWrap/>
          </w:tcPr>
          <w:p w14:paraId="295DF367" w14:textId="77777777" w:rsidR="00553430" w:rsidRDefault="00212577">
            <w:pPr>
              <w:pStyle w:val="P68B1DB1-Normal66"/>
              <w:spacing w:after="200" w:line="276" w:lineRule="auto"/>
              <w:rPr>
                <w:noProof/>
              </w:rPr>
            </w:pPr>
            <w:r>
              <w:rPr>
                <w:noProof/>
              </w:rPr>
              <w:t xml:space="preserve">Adoption de la loi modifiant la loi sur les fonds de pension obligatoires afin d'accroître les possibilités </w:t>
            </w:r>
            <w:r>
              <w:rPr>
                <w:noProof/>
              </w:rPr>
              <w:t>d'investissement des fonds de pension obligatoires.</w:t>
            </w:r>
          </w:p>
        </w:tc>
        <w:tc>
          <w:tcPr>
            <w:tcW w:w="1134" w:type="dxa"/>
            <w:shd w:val="clear" w:color="auto" w:fill="C6EFCE"/>
            <w:noWrap/>
          </w:tcPr>
          <w:p w14:paraId="14152483" w14:textId="2C48FA64" w:rsidR="00553430" w:rsidRDefault="00212577">
            <w:pPr>
              <w:pStyle w:val="P68B1DB1-Normal66"/>
              <w:spacing w:after="200" w:line="276" w:lineRule="auto"/>
              <w:jc w:val="center"/>
              <w:rPr>
                <w:noProof/>
              </w:rPr>
            </w:pPr>
            <w:r>
              <w:rPr>
                <w:noProof/>
              </w:rPr>
              <w:t> </w:t>
            </w:r>
          </w:p>
          <w:p w14:paraId="0A2665EC" w14:textId="77777777" w:rsidR="00553430" w:rsidRDefault="00553430">
            <w:pPr>
              <w:rPr>
                <w:rFonts w:ascii="Times New Roman" w:eastAsia="Calibri" w:hAnsi="Times New Roman" w:cs="Times New Roman"/>
                <w:noProof/>
                <w:sz w:val="20"/>
                <w:szCs w:val="20"/>
              </w:rPr>
            </w:pPr>
          </w:p>
          <w:p w14:paraId="7E20C847" w14:textId="77777777" w:rsidR="00553430" w:rsidRDefault="00553430">
            <w:pPr>
              <w:rPr>
                <w:rFonts w:ascii="Times New Roman" w:eastAsia="Calibri" w:hAnsi="Times New Roman" w:cs="Times New Roman"/>
                <w:noProof/>
                <w:sz w:val="20"/>
                <w:szCs w:val="20"/>
              </w:rPr>
            </w:pPr>
          </w:p>
        </w:tc>
        <w:tc>
          <w:tcPr>
            <w:tcW w:w="768" w:type="dxa"/>
            <w:shd w:val="clear" w:color="auto" w:fill="C6EFCE"/>
            <w:noWrap/>
          </w:tcPr>
          <w:p w14:paraId="4AB038D0" w14:textId="77777777" w:rsidR="00553430" w:rsidRDefault="00212577">
            <w:pPr>
              <w:pStyle w:val="P68B1DB1-Normal66"/>
              <w:spacing w:after="200" w:line="276" w:lineRule="auto"/>
              <w:jc w:val="center"/>
              <w:rPr>
                <w:noProof/>
              </w:rPr>
            </w:pPr>
            <w:r>
              <w:rPr>
                <w:noProof/>
              </w:rPr>
              <w:t> </w:t>
            </w:r>
          </w:p>
        </w:tc>
        <w:tc>
          <w:tcPr>
            <w:tcW w:w="850" w:type="dxa"/>
            <w:shd w:val="clear" w:color="auto" w:fill="C6EFCE"/>
            <w:noWrap/>
          </w:tcPr>
          <w:p w14:paraId="6580687D" w14:textId="77777777" w:rsidR="00553430" w:rsidRDefault="00212577">
            <w:pPr>
              <w:pStyle w:val="P68B1DB1-Normal66"/>
              <w:spacing w:after="200" w:line="276" w:lineRule="auto"/>
              <w:jc w:val="center"/>
              <w:rPr>
                <w:noProof/>
              </w:rPr>
            </w:pPr>
            <w:r>
              <w:rPr>
                <w:noProof/>
              </w:rPr>
              <w:t> </w:t>
            </w:r>
          </w:p>
        </w:tc>
        <w:tc>
          <w:tcPr>
            <w:tcW w:w="756" w:type="dxa"/>
            <w:shd w:val="clear" w:color="auto" w:fill="C6EFCE"/>
            <w:noWrap/>
          </w:tcPr>
          <w:p w14:paraId="0A3576F4" w14:textId="77777777" w:rsidR="00553430" w:rsidRDefault="00212577">
            <w:pPr>
              <w:pStyle w:val="P68B1DB1-Normal66"/>
              <w:spacing w:after="200" w:line="276" w:lineRule="auto"/>
              <w:jc w:val="center"/>
              <w:rPr>
                <w:noProof/>
              </w:rPr>
            </w:pPr>
            <w:r>
              <w:rPr>
                <w:noProof/>
              </w:rPr>
              <w:t>T1</w:t>
            </w:r>
          </w:p>
        </w:tc>
        <w:tc>
          <w:tcPr>
            <w:tcW w:w="884" w:type="dxa"/>
            <w:shd w:val="clear" w:color="auto" w:fill="C6EFCE"/>
            <w:noWrap/>
          </w:tcPr>
          <w:p w14:paraId="40212590" w14:textId="77777777" w:rsidR="00553430" w:rsidRDefault="00212577">
            <w:pPr>
              <w:pStyle w:val="P68B1DB1-Normal66"/>
              <w:spacing w:after="200" w:line="276" w:lineRule="auto"/>
              <w:jc w:val="center"/>
              <w:rPr>
                <w:noProof/>
                <w:color w:val="000000" w:themeColor="text1"/>
              </w:rPr>
            </w:pPr>
            <w:r>
              <w:rPr>
                <w:noProof/>
              </w:rPr>
              <w:t>2025</w:t>
            </w:r>
          </w:p>
        </w:tc>
        <w:tc>
          <w:tcPr>
            <w:tcW w:w="3685" w:type="dxa"/>
            <w:shd w:val="clear" w:color="auto" w:fill="C6EFCE"/>
            <w:noWrap/>
          </w:tcPr>
          <w:p w14:paraId="52AAE49F" w14:textId="77777777" w:rsidR="00553430" w:rsidRDefault="00212577">
            <w:pPr>
              <w:pStyle w:val="P68B1DB1-Normal70"/>
              <w:spacing w:after="200" w:line="276" w:lineRule="auto"/>
              <w:rPr>
                <w:noProof/>
              </w:rPr>
            </w:pPr>
            <w:r>
              <w:rPr>
                <w:noProof/>
                <w:color w:val="000000" w:themeColor="text1"/>
              </w:rPr>
              <w:t>Le champ d'application des investissements éligibles pour les fonds de pension du deuxième pilier est élargi.</w:t>
            </w:r>
            <w:r>
              <w:rPr>
                <w:noProof/>
              </w:rPr>
              <w:t xml:space="preserve"> </w:t>
            </w:r>
            <w:r>
              <w:rPr>
                <w:noProof/>
                <w:color w:val="000000" w:themeColor="text1"/>
              </w:rPr>
              <w:t>Une loi modifiant la loi sur les fonds de pension obligatoires est adoptée afi</w:t>
            </w:r>
            <w:r>
              <w:rPr>
                <w:noProof/>
                <w:color w:val="000000" w:themeColor="text1"/>
              </w:rPr>
              <w:t>n d'améliorer encore le système d'épargne-retraite individuelle capitalisée dans la phase d'accumulation, en vue d'améliorer le fonctionnement commercial des entités du système capitalisé au profit de tous les membres des fonds de pension. Le décret qui se</w:t>
            </w:r>
            <w:r>
              <w:rPr>
                <w:noProof/>
                <w:color w:val="000000" w:themeColor="text1"/>
              </w:rPr>
              <w:t xml:space="preserve">ra adopté par le gouvernement précisera en outre: i) les critères de classification d’un émetteur en tant qu’émetteur désigné pour le financement ou la titrisation de projets d’infrastructure sur le territoire de la République de Croatie; ii) la procédure </w:t>
            </w:r>
            <w:r>
              <w:rPr>
                <w:noProof/>
                <w:color w:val="000000" w:themeColor="text1"/>
              </w:rPr>
              <w:t>et le contenu de la demande, c’est-à-dire la demande de classement, et iii) la procédure d’évaluation et de délivrance du classement.</w:t>
            </w:r>
          </w:p>
        </w:tc>
      </w:tr>
      <w:tr w:rsidR="00553430" w14:paraId="27D0C938" w14:textId="77777777">
        <w:trPr>
          <w:trHeight w:val="283"/>
          <w:jc w:val="center"/>
        </w:trPr>
        <w:tc>
          <w:tcPr>
            <w:tcW w:w="851" w:type="dxa"/>
            <w:shd w:val="clear" w:color="auto" w:fill="C6EFCE"/>
            <w:noWrap/>
          </w:tcPr>
          <w:p w14:paraId="17EABF84" w14:textId="77777777" w:rsidR="00553430" w:rsidRDefault="00212577">
            <w:pPr>
              <w:pStyle w:val="P68B1DB1-Normal66"/>
              <w:spacing w:after="200" w:line="276" w:lineRule="auto"/>
              <w:jc w:val="center"/>
              <w:rPr>
                <w:noProof/>
              </w:rPr>
            </w:pPr>
            <w:r>
              <w:rPr>
                <w:noProof/>
              </w:rPr>
              <w:t>299</w:t>
            </w:r>
          </w:p>
        </w:tc>
        <w:tc>
          <w:tcPr>
            <w:tcW w:w="993" w:type="dxa"/>
            <w:shd w:val="clear" w:color="auto" w:fill="C6EFCE"/>
            <w:noWrap/>
          </w:tcPr>
          <w:p w14:paraId="23C1EE2B" w14:textId="77777777" w:rsidR="00553430" w:rsidRDefault="00212577">
            <w:pPr>
              <w:pStyle w:val="P68B1DB1-Normal66"/>
              <w:spacing w:after="200" w:line="276" w:lineRule="auto"/>
              <w:jc w:val="center"/>
              <w:rPr>
                <w:noProof/>
              </w:rPr>
            </w:pPr>
            <w:r>
              <w:rPr>
                <w:noProof/>
              </w:rPr>
              <w:t>C4.2. R1</w:t>
            </w:r>
          </w:p>
        </w:tc>
        <w:tc>
          <w:tcPr>
            <w:tcW w:w="1151" w:type="dxa"/>
            <w:shd w:val="clear" w:color="auto" w:fill="C6EFCE"/>
            <w:noWrap/>
          </w:tcPr>
          <w:p w14:paraId="61DAA3F9" w14:textId="77777777" w:rsidR="00553430" w:rsidRDefault="00212577">
            <w:pPr>
              <w:pStyle w:val="P68B1DB1-Normal66"/>
              <w:spacing w:after="200" w:line="276" w:lineRule="auto"/>
              <w:jc w:val="center"/>
              <w:rPr>
                <w:noProof/>
              </w:rPr>
            </w:pPr>
            <w:r>
              <w:rPr>
                <w:noProof/>
              </w:rPr>
              <w:t>T</w:t>
            </w:r>
          </w:p>
        </w:tc>
        <w:tc>
          <w:tcPr>
            <w:tcW w:w="2393" w:type="dxa"/>
            <w:shd w:val="clear" w:color="auto" w:fill="C6EFCE"/>
            <w:noWrap/>
          </w:tcPr>
          <w:p w14:paraId="1BD1806E" w14:textId="77777777" w:rsidR="00553430" w:rsidRDefault="00212577">
            <w:pPr>
              <w:pStyle w:val="P68B1DB1-Normal66"/>
              <w:spacing w:after="200" w:line="276" w:lineRule="auto"/>
              <w:rPr>
                <w:noProof/>
              </w:rPr>
            </w:pPr>
            <w:r>
              <w:rPr>
                <w:noProof/>
              </w:rPr>
              <w:t xml:space="preserve">une augmentation d’au moins 10 % du revenu total de pension pour les bénéficiaires de la forme redéfinie </w:t>
            </w:r>
            <w:r>
              <w:rPr>
                <w:noProof/>
              </w:rPr>
              <w:t>de pension de survie.</w:t>
            </w:r>
          </w:p>
        </w:tc>
        <w:tc>
          <w:tcPr>
            <w:tcW w:w="2093" w:type="dxa"/>
            <w:shd w:val="clear" w:color="auto" w:fill="C6EFCE"/>
            <w:noWrap/>
          </w:tcPr>
          <w:p w14:paraId="4F38CC95" w14:textId="77777777" w:rsidR="00553430" w:rsidRDefault="00212577">
            <w:pPr>
              <w:pStyle w:val="P68B1DB1-Normal66"/>
              <w:spacing w:after="200" w:line="276" w:lineRule="auto"/>
              <w:rPr>
                <w:noProof/>
              </w:rPr>
            </w:pPr>
            <w:r>
              <w:rPr>
                <w:noProof/>
              </w:rPr>
              <w:t xml:space="preserve"> </w:t>
            </w:r>
          </w:p>
        </w:tc>
        <w:tc>
          <w:tcPr>
            <w:tcW w:w="1134" w:type="dxa"/>
            <w:shd w:val="clear" w:color="auto" w:fill="C6EFCE"/>
            <w:noWrap/>
          </w:tcPr>
          <w:p w14:paraId="510D5B0D" w14:textId="77777777" w:rsidR="00553430" w:rsidRDefault="00212577">
            <w:pPr>
              <w:pStyle w:val="P68B1DB1-Normal66"/>
              <w:spacing w:after="200" w:line="276" w:lineRule="auto"/>
              <w:jc w:val="center"/>
              <w:rPr>
                <w:noProof/>
              </w:rPr>
            </w:pPr>
            <w:r>
              <w:rPr>
                <w:noProof/>
              </w:rPr>
              <w:t>% (pourcentage)</w:t>
            </w:r>
          </w:p>
        </w:tc>
        <w:tc>
          <w:tcPr>
            <w:tcW w:w="768" w:type="dxa"/>
            <w:shd w:val="clear" w:color="auto" w:fill="C6EFCE"/>
            <w:noWrap/>
          </w:tcPr>
          <w:p w14:paraId="086AE348" w14:textId="77777777" w:rsidR="00553430" w:rsidRDefault="00212577">
            <w:pPr>
              <w:pStyle w:val="P68B1DB1-Normal66"/>
              <w:spacing w:after="200" w:line="276" w:lineRule="auto"/>
              <w:jc w:val="center"/>
              <w:rPr>
                <w:noProof/>
              </w:rPr>
            </w:pPr>
            <w:r>
              <w:rPr>
                <w:noProof/>
              </w:rPr>
              <w:t>0</w:t>
            </w:r>
          </w:p>
        </w:tc>
        <w:tc>
          <w:tcPr>
            <w:tcW w:w="850" w:type="dxa"/>
            <w:shd w:val="clear" w:color="auto" w:fill="C6EFCE"/>
            <w:noWrap/>
          </w:tcPr>
          <w:p w14:paraId="079E07AB" w14:textId="77777777" w:rsidR="00553430" w:rsidRDefault="00212577">
            <w:pPr>
              <w:pStyle w:val="P68B1DB1-Normal66"/>
              <w:spacing w:after="200" w:line="276" w:lineRule="auto"/>
              <w:jc w:val="center"/>
              <w:rPr>
                <w:noProof/>
              </w:rPr>
            </w:pPr>
            <w:r>
              <w:rPr>
                <w:noProof/>
              </w:rPr>
              <w:t>10</w:t>
            </w:r>
          </w:p>
        </w:tc>
        <w:tc>
          <w:tcPr>
            <w:tcW w:w="756" w:type="dxa"/>
            <w:shd w:val="clear" w:color="auto" w:fill="C6EFCE"/>
            <w:noWrap/>
          </w:tcPr>
          <w:p w14:paraId="5498DBAC" w14:textId="77777777" w:rsidR="00553430" w:rsidRDefault="00212577">
            <w:pPr>
              <w:pStyle w:val="P68B1DB1-Normal66"/>
              <w:spacing w:after="200" w:line="276" w:lineRule="auto"/>
              <w:jc w:val="center"/>
              <w:rPr>
                <w:noProof/>
              </w:rPr>
            </w:pPr>
            <w:r>
              <w:rPr>
                <w:noProof/>
              </w:rPr>
              <w:t>T4</w:t>
            </w:r>
          </w:p>
        </w:tc>
        <w:tc>
          <w:tcPr>
            <w:tcW w:w="884" w:type="dxa"/>
            <w:shd w:val="clear" w:color="auto" w:fill="C6EFCE"/>
            <w:noWrap/>
          </w:tcPr>
          <w:p w14:paraId="07304A4D" w14:textId="77777777" w:rsidR="00553430" w:rsidRDefault="00212577">
            <w:pPr>
              <w:pStyle w:val="P68B1DB1-Normal66"/>
              <w:spacing w:after="200" w:line="276" w:lineRule="auto"/>
              <w:jc w:val="center"/>
              <w:rPr>
                <w:noProof/>
              </w:rPr>
            </w:pPr>
            <w:r>
              <w:rPr>
                <w:noProof/>
              </w:rPr>
              <w:t>2024</w:t>
            </w:r>
          </w:p>
        </w:tc>
        <w:tc>
          <w:tcPr>
            <w:tcW w:w="3685" w:type="dxa"/>
            <w:shd w:val="clear" w:color="auto" w:fill="C6EFCE"/>
            <w:noWrap/>
          </w:tcPr>
          <w:p w14:paraId="629F2644" w14:textId="77777777" w:rsidR="00553430" w:rsidRDefault="00212577">
            <w:pPr>
              <w:pStyle w:val="P68B1DB1-Normal66"/>
              <w:spacing w:line="240" w:lineRule="auto"/>
              <w:contextualSpacing/>
              <w:jc w:val="both"/>
              <w:rPr>
                <w:noProof/>
              </w:rPr>
            </w:pPr>
            <w:r>
              <w:rPr>
                <w:noProof/>
              </w:rPr>
              <w:t>Les modifications apportées au calcul de la pension de survie entraînent une augmentation globale du revenu total de pension d’au moins 10 % par rapport aux niveaux de 2014 pour les bénéficiaires d’une p</w:t>
            </w:r>
            <w:r>
              <w:rPr>
                <w:noProof/>
              </w:rPr>
              <w:t>ension de survie et introduisent la possibilité d’utiliser une partie de la pension de survie en plus d’une pension individuelle pour les bénéficiaires d’une pension inférieure (tant de vieillesse que d’invalidité) dans des conditions liées à l’âge et au r</w:t>
            </w:r>
            <w:r>
              <w:rPr>
                <w:noProof/>
              </w:rPr>
              <w:t>evenu.</w:t>
            </w:r>
          </w:p>
          <w:p w14:paraId="0E8BE4AF" w14:textId="77777777" w:rsidR="00553430" w:rsidRDefault="00553430">
            <w:pPr>
              <w:spacing w:line="240" w:lineRule="auto"/>
              <w:contextualSpacing/>
              <w:jc w:val="both"/>
              <w:rPr>
                <w:rFonts w:ascii="Times New Roman" w:eastAsia="Calibri" w:hAnsi="Times New Roman" w:cs="Times New Roman"/>
                <w:noProof/>
                <w:sz w:val="20"/>
                <w:szCs w:val="20"/>
              </w:rPr>
            </w:pPr>
          </w:p>
        </w:tc>
      </w:tr>
      <w:tr w:rsidR="00553430" w14:paraId="263049A2" w14:textId="77777777">
        <w:trPr>
          <w:trHeight w:val="283"/>
          <w:jc w:val="center"/>
        </w:trPr>
        <w:tc>
          <w:tcPr>
            <w:tcW w:w="851" w:type="dxa"/>
            <w:shd w:val="clear" w:color="auto" w:fill="C6EFCE"/>
            <w:noWrap/>
          </w:tcPr>
          <w:p w14:paraId="0FC4334D" w14:textId="77777777" w:rsidR="00553430" w:rsidRDefault="00212577">
            <w:pPr>
              <w:pStyle w:val="P68B1DB1-Normal66"/>
              <w:spacing w:after="200" w:line="276" w:lineRule="auto"/>
              <w:jc w:val="center"/>
              <w:rPr>
                <w:noProof/>
              </w:rPr>
            </w:pPr>
            <w:bookmarkStart w:id="8" w:name="_Hlk198130835"/>
            <w:r>
              <w:rPr>
                <w:noProof/>
              </w:rPr>
              <w:t>300</w:t>
            </w:r>
          </w:p>
        </w:tc>
        <w:tc>
          <w:tcPr>
            <w:tcW w:w="993" w:type="dxa"/>
            <w:shd w:val="clear" w:color="auto" w:fill="C6EFCE"/>
            <w:noWrap/>
          </w:tcPr>
          <w:p w14:paraId="74F0CF29" w14:textId="77777777" w:rsidR="00553430" w:rsidRDefault="00212577">
            <w:pPr>
              <w:pStyle w:val="P68B1DB1-Normal66"/>
              <w:spacing w:after="200" w:line="276" w:lineRule="auto"/>
              <w:jc w:val="center"/>
              <w:rPr>
                <w:noProof/>
              </w:rPr>
            </w:pPr>
            <w:r>
              <w:rPr>
                <w:noProof/>
              </w:rPr>
              <w:t>C4.2. R1</w:t>
            </w:r>
          </w:p>
        </w:tc>
        <w:tc>
          <w:tcPr>
            <w:tcW w:w="1151" w:type="dxa"/>
            <w:shd w:val="clear" w:color="auto" w:fill="C6EFCE"/>
            <w:noWrap/>
          </w:tcPr>
          <w:p w14:paraId="55484EF4" w14:textId="77777777" w:rsidR="00553430" w:rsidRDefault="00212577">
            <w:pPr>
              <w:pStyle w:val="P68B1DB1-Normal66"/>
              <w:spacing w:after="200" w:line="276" w:lineRule="auto"/>
              <w:jc w:val="center"/>
              <w:rPr>
                <w:noProof/>
              </w:rPr>
            </w:pPr>
            <w:r>
              <w:rPr>
                <w:noProof/>
              </w:rPr>
              <w:t>M</w:t>
            </w:r>
          </w:p>
        </w:tc>
        <w:tc>
          <w:tcPr>
            <w:tcW w:w="2393" w:type="dxa"/>
            <w:shd w:val="clear" w:color="auto" w:fill="C6EFCE"/>
            <w:noWrap/>
          </w:tcPr>
          <w:p w14:paraId="5209D89B" w14:textId="77777777" w:rsidR="00553430" w:rsidRDefault="00212577">
            <w:pPr>
              <w:pStyle w:val="P68B1DB1-Normal66"/>
              <w:spacing w:after="200" w:line="276" w:lineRule="auto"/>
              <w:rPr>
                <w:noProof/>
              </w:rPr>
            </w:pPr>
            <w:r>
              <w:rPr>
                <w:noProof/>
              </w:rPr>
              <w:t xml:space="preserve">Adoption de modifications à la Loi sur l'assurance-pension </w:t>
            </w:r>
          </w:p>
        </w:tc>
        <w:tc>
          <w:tcPr>
            <w:tcW w:w="2093" w:type="dxa"/>
            <w:shd w:val="clear" w:color="auto" w:fill="C6EFCE"/>
            <w:noWrap/>
          </w:tcPr>
          <w:p w14:paraId="5EC796B6" w14:textId="77777777" w:rsidR="00553430" w:rsidRDefault="00212577">
            <w:pPr>
              <w:pStyle w:val="P68B1DB1-Normal66"/>
              <w:spacing w:after="200" w:line="276" w:lineRule="auto"/>
              <w:rPr>
                <w:noProof/>
              </w:rPr>
            </w:pPr>
            <w:r>
              <w:rPr>
                <w:noProof/>
              </w:rPr>
              <w:t>L'entrée en vigueur de la nouvelle loi sur l'assurance pension</w:t>
            </w:r>
          </w:p>
        </w:tc>
        <w:tc>
          <w:tcPr>
            <w:tcW w:w="1134" w:type="dxa"/>
            <w:shd w:val="clear" w:color="auto" w:fill="C6EFCE"/>
            <w:noWrap/>
          </w:tcPr>
          <w:p w14:paraId="29EDAD3E" w14:textId="77777777" w:rsidR="00553430" w:rsidRDefault="00212577">
            <w:pPr>
              <w:pStyle w:val="P68B1DB1-Normal66"/>
              <w:spacing w:after="200" w:line="276" w:lineRule="auto"/>
              <w:jc w:val="center"/>
              <w:rPr>
                <w:noProof/>
              </w:rPr>
            </w:pPr>
            <w:r>
              <w:rPr>
                <w:noProof/>
              </w:rPr>
              <w:t> </w:t>
            </w:r>
          </w:p>
        </w:tc>
        <w:tc>
          <w:tcPr>
            <w:tcW w:w="768" w:type="dxa"/>
            <w:shd w:val="clear" w:color="auto" w:fill="C6EFCE"/>
            <w:noWrap/>
          </w:tcPr>
          <w:p w14:paraId="1E1BF74C" w14:textId="77777777" w:rsidR="00553430" w:rsidRDefault="00212577">
            <w:pPr>
              <w:pStyle w:val="P68B1DB1-Normal66"/>
              <w:spacing w:after="200" w:line="276" w:lineRule="auto"/>
              <w:jc w:val="center"/>
              <w:rPr>
                <w:noProof/>
              </w:rPr>
            </w:pPr>
            <w:r>
              <w:rPr>
                <w:noProof/>
              </w:rPr>
              <w:t> </w:t>
            </w:r>
          </w:p>
        </w:tc>
        <w:tc>
          <w:tcPr>
            <w:tcW w:w="850" w:type="dxa"/>
            <w:shd w:val="clear" w:color="auto" w:fill="C6EFCE"/>
            <w:noWrap/>
          </w:tcPr>
          <w:p w14:paraId="31EAD4EF" w14:textId="77777777" w:rsidR="00553430" w:rsidRDefault="00212577">
            <w:pPr>
              <w:pStyle w:val="P68B1DB1-Normal66"/>
              <w:spacing w:after="200" w:line="276" w:lineRule="auto"/>
              <w:jc w:val="center"/>
              <w:rPr>
                <w:noProof/>
              </w:rPr>
            </w:pPr>
            <w:r>
              <w:rPr>
                <w:noProof/>
              </w:rPr>
              <w:t> </w:t>
            </w:r>
          </w:p>
        </w:tc>
        <w:tc>
          <w:tcPr>
            <w:tcW w:w="756" w:type="dxa"/>
            <w:shd w:val="clear" w:color="auto" w:fill="C6EFCE"/>
            <w:noWrap/>
          </w:tcPr>
          <w:p w14:paraId="18F7A2C1" w14:textId="77777777" w:rsidR="00553430" w:rsidRDefault="00212577">
            <w:pPr>
              <w:pStyle w:val="P68B1DB1-Normal66"/>
              <w:spacing w:after="200" w:line="276" w:lineRule="auto"/>
              <w:jc w:val="center"/>
              <w:rPr>
                <w:noProof/>
              </w:rPr>
            </w:pPr>
            <w:r>
              <w:rPr>
                <w:noProof/>
              </w:rPr>
              <w:t>T4</w:t>
            </w:r>
          </w:p>
        </w:tc>
        <w:tc>
          <w:tcPr>
            <w:tcW w:w="884" w:type="dxa"/>
            <w:shd w:val="clear" w:color="auto" w:fill="C6EFCE"/>
            <w:noWrap/>
          </w:tcPr>
          <w:p w14:paraId="6F2B75FD" w14:textId="77777777" w:rsidR="00553430" w:rsidRDefault="00212577">
            <w:pPr>
              <w:pStyle w:val="P68B1DB1-Normal66"/>
              <w:spacing w:after="200" w:line="276" w:lineRule="auto"/>
              <w:jc w:val="center"/>
              <w:rPr>
                <w:noProof/>
              </w:rPr>
            </w:pPr>
            <w:r>
              <w:rPr>
                <w:noProof/>
              </w:rPr>
              <w:t>2025</w:t>
            </w:r>
          </w:p>
        </w:tc>
        <w:tc>
          <w:tcPr>
            <w:tcW w:w="3685" w:type="dxa"/>
            <w:shd w:val="clear" w:color="auto" w:fill="C6EFCE"/>
            <w:noWrap/>
          </w:tcPr>
          <w:p w14:paraId="715A6DBB" w14:textId="77777777" w:rsidR="00553430" w:rsidRDefault="00212577">
            <w:pPr>
              <w:pStyle w:val="P68B1DB1-Normal66"/>
              <w:spacing w:after="200" w:line="276" w:lineRule="auto"/>
              <w:rPr>
                <w:noProof/>
              </w:rPr>
            </w:pPr>
            <w:r>
              <w:rPr>
                <w:noProof/>
              </w:rPr>
              <w:t xml:space="preserve">Il est institué un groupe de travail chargé d’analyser la situation du système de retraite et </w:t>
            </w:r>
            <w:r>
              <w:rPr>
                <w:noProof/>
              </w:rPr>
              <w:t>d’examiner d’autres options pour améliorer son adéquation et sa viabilité. Il est composé de partenaires sociaux, d’associations de retraite, d’universités, de consultants spécialisés et d’autres parties prenantes intéressées. Les conclusions et recommanda</w:t>
            </w:r>
            <w:r>
              <w:rPr>
                <w:noProof/>
              </w:rPr>
              <w:t xml:space="preserve">tions du groupe de travail sont prises en compte lors de la modification du cadre législatif. </w:t>
            </w:r>
          </w:p>
          <w:p w14:paraId="3530A4D5" w14:textId="77777777" w:rsidR="00553430" w:rsidRDefault="00212577">
            <w:pPr>
              <w:pStyle w:val="P68B1DB1-Normal59"/>
              <w:spacing w:after="200" w:line="276" w:lineRule="auto"/>
              <w:rPr>
                <w:rFonts w:ascii="Times New Roman" w:eastAsia="Calibri" w:hAnsi="Times New Roman" w:cs="Times New Roman"/>
                <w:noProof/>
                <w:color w:val="000000"/>
              </w:rPr>
            </w:pPr>
            <w:r>
              <w:rPr>
                <w:rFonts w:ascii="Times New Roman" w:eastAsia="Calibri" w:hAnsi="Times New Roman" w:cs="Times New Roman"/>
                <w:noProof/>
                <w:color w:val="000000" w:themeColor="text1"/>
              </w:rPr>
              <w:t>Au minimum, les amendements sont adoptés: a) i) de porter la pension minimale de 103 % de la valeur actuelle de la pension à au moins 106 %; ii) de</w:t>
            </w:r>
            <w:r>
              <w:rPr>
                <w:rFonts w:ascii="Times New Roman" w:eastAsia="Calibri" w:hAnsi="Times New Roman" w:cs="Times New Roman"/>
                <w:noProof/>
              </w:rPr>
              <w:t xml:space="preserve"> modifier le r</w:t>
            </w:r>
            <w:r>
              <w:rPr>
                <w:rFonts w:ascii="Times New Roman" w:eastAsia="Calibri" w:hAnsi="Times New Roman" w:cs="Times New Roman"/>
                <w:noProof/>
              </w:rPr>
              <w:t>atio actuel utilisé pour l'indexation des pensions entre les indices des salaires et des prix à la consommation de 70:30 à 85:15, en attribuant un poids plus important à l'indice qui est plus favorable aux retraités;</w:t>
            </w:r>
            <w:r>
              <w:rPr>
                <w:rFonts w:ascii="Times New Roman" w:eastAsia="Calibri" w:hAnsi="Times New Roman" w:cs="Times New Roman"/>
                <w:noProof/>
                <w:color w:val="000000" w:themeColor="text1"/>
              </w:rPr>
              <w:t xml:space="preserve"> iii) d'introduire un supplément de pens</w:t>
            </w:r>
            <w:r>
              <w:rPr>
                <w:rFonts w:ascii="Times New Roman" w:eastAsia="Calibri" w:hAnsi="Times New Roman" w:cs="Times New Roman"/>
                <w:noProof/>
                <w:color w:val="000000" w:themeColor="text1"/>
              </w:rPr>
              <w:t>ion annuel pour tous les bénéficiaires de pension.</w:t>
            </w:r>
            <w:r>
              <w:rPr>
                <w:rFonts w:ascii="Times New Roman" w:hAnsi="Times New Roman" w:cs="Times New Roman"/>
                <w:noProof/>
              </w:rPr>
              <w:t xml:space="preserve"> </w:t>
            </w:r>
          </w:p>
        </w:tc>
      </w:tr>
      <w:bookmarkEnd w:id="8"/>
      <w:tr w:rsidR="00553430" w14:paraId="51B3DD16" w14:textId="77777777">
        <w:trPr>
          <w:trHeight w:val="283"/>
          <w:jc w:val="center"/>
        </w:trPr>
        <w:tc>
          <w:tcPr>
            <w:tcW w:w="851" w:type="dxa"/>
            <w:shd w:val="clear" w:color="auto" w:fill="C6EFCE"/>
            <w:noWrap/>
          </w:tcPr>
          <w:p w14:paraId="2585A5EB" w14:textId="77777777" w:rsidR="00553430" w:rsidRDefault="00212577">
            <w:pPr>
              <w:pStyle w:val="P68B1DB1-Normal66"/>
              <w:spacing w:after="200" w:line="276" w:lineRule="auto"/>
              <w:jc w:val="center"/>
              <w:rPr>
                <w:noProof/>
              </w:rPr>
            </w:pPr>
            <w:r>
              <w:rPr>
                <w:noProof/>
              </w:rPr>
              <w:t>301</w:t>
            </w:r>
          </w:p>
        </w:tc>
        <w:tc>
          <w:tcPr>
            <w:tcW w:w="993" w:type="dxa"/>
            <w:shd w:val="clear" w:color="auto" w:fill="C6EFCE"/>
            <w:noWrap/>
          </w:tcPr>
          <w:p w14:paraId="133AE896" w14:textId="77777777" w:rsidR="00553430" w:rsidRDefault="00212577">
            <w:pPr>
              <w:pStyle w:val="P68B1DB1-Normal66"/>
              <w:spacing w:after="200" w:line="276" w:lineRule="auto"/>
              <w:jc w:val="center"/>
              <w:rPr>
                <w:noProof/>
              </w:rPr>
            </w:pPr>
            <w:r>
              <w:rPr>
                <w:noProof/>
              </w:rPr>
              <w:t>C4.2. R1</w:t>
            </w:r>
          </w:p>
        </w:tc>
        <w:tc>
          <w:tcPr>
            <w:tcW w:w="1151" w:type="dxa"/>
            <w:shd w:val="clear" w:color="auto" w:fill="C6EFCE"/>
            <w:noWrap/>
          </w:tcPr>
          <w:p w14:paraId="55F98F84" w14:textId="77777777" w:rsidR="00553430" w:rsidRDefault="00212577">
            <w:pPr>
              <w:pStyle w:val="P68B1DB1-Normal66"/>
              <w:spacing w:after="200" w:line="276" w:lineRule="auto"/>
              <w:jc w:val="center"/>
              <w:rPr>
                <w:noProof/>
              </w:rPr>
            </w:pPr>
            <w:r>
              <w:rPr>
                <w:noProof/>
              </w:rPr>
              <w:t>T</w:t>
            </w:r>
          </w:p>
        </w:tc>
        <w:tc>
          <w:tcPr>
            <w:tcW w:w="2393" w:type="dxa"/>
            <w:shd w:val="clear" w:color="auto" w:fill="C6EFCE"/>
            <w:noWrap/>
          </w:tcPr>
          <w:p w14:paraId="6203B0AA" w14:textId="77777777" w:rsidR="00553430" w:rsidRDefault="00212577">
            <w:pPr>
              <w:pStyle w:val="P68B1DB1-Normal66"/>
              <w:spacing w:after="200" w:line="276" w:lineRule="auto"/>
              <w:rPr>
                <w:noProof/>
              </w:rPr>
            </w:pPr>
            <w:r>
              <w:rPr>
                <w:noProof/>
              </w:rPr>
              <w:t>Augmentation de 3 % de la pension minimale</w:t>
            </w:r>
          </w:p>
        </w:tc>
        <w:tc>
          <w:tcPr>
            <w:tcW w:w="2093" w:type="dxa"/>
            <w:shd w:val="clear" w:color="auto" w:fill="C6EFCE"/>
            <w:noWrap/>
          </w:tcPr>
          <w:p w14:paraId="429D514F" w14:textId="77777777" w:rsidR="00553430" w:rsidRDefault="00212577">
            <w:pPr>
              <w:pStyle w:val="P68B1DB1-Normal66"/>
              <w:spacing w:after="200" w:line="276" w:lineRule="auto"/>
              <w:rPr>
                <w:noProof/>
              </w:rPr>
            </w:pPr>
            <w:r>
              <w:rPr>
                <w:noProof/>
              </w:rPr>
              <w:t xml:space="preserve"> </w:t>
            </w:r>
          </w:p>
        </w:tc>
        <w:tc>
          <w:tcPr>
            <w:tcW w:w="1134" w:type="dxa"/>
            <w:shd w:val="clear" w:color="auto" w:fill="C6EFCE"/>
            <w:noWrap/>
          </w:tcPr>
          <w:p w14:paraId="28451E97" w14:textId="77777777" w:rsidR="00553430" w:rsidRDefault="00212577">
            <w:pPr>
              <w:pStyle w:val="P68B1DB1-Normal66"/>
              <w:spacing w:after="200" w:line="276" w:lineRule="auto"/>
              <w:jc w:val="center"/>
              <w:rPr>
                <w:noProof/>
              </w:rPr>
            </w:pPr>
            <w:r>
              <w:rPr>
                <w:noProof/>
              </w:rPr>
              <w:t>% (pourcentage)</w:t>
            </w:r>
          </w:p>
        </w:tc>
        <w:tc>
          <w:tcPr>
            <w:tcW w:w="768" w:type="dxa"/>
            <w:shd w:val="clear" w:color="auto" w:fill="C6EFCE"/>
            <w:noWrap/>
          </w:tcPr>
          <w:p w14:paraId="7EB346FE" w14:textId="77777777" w:rsidR="00553430" w:rsidRDefault="00212577">
            <w:pPr>
              <w:pStyle w:val="P68B1DB1-Normal66"/>
              <w:spacing w:after="200" w:line="276" w:lineRule="auto"/>
              <w:jc w:val="center"/>
              <w:rPr>
                <w:noProof/>
              </w:rPr>
            </w:pPr>
            <w:r>
              <w:rPr>
                <w:noProof/>
              </w:rPr>
              <w:t>0</w:t>
            </w:r>
          </w:p>
        </w:tc>
        <w:tc>
          <w:tcPr>
            <w:tcW w:w="850" w:type="dxa"/>
            <w:shd w:val="clear" w:color="auto" w:fill="C6EFCE"/>
            <w:noWrap/>
          </w:tcPr>
          <w:p w14:paraId="3EB76AB2" w14:textId="77777777" w:rsidR="00553430" w:rsidRDefault="00212577">
            <w:pPr>
              <w:pStyle w:val="P68B1DB1-Normal66"/>
              <w:spacing w:after="200" w:line="276" w:lineRule="auto"/>
              <w:jc w:val="center"/>
              <w:rPr>
                <w:noProof/>
              </w:rPr>
            </w:pPr>
            <w:r>
              <w:rPr>
                <w:noProof/>
              </w:rPr>
              <w:t>3</w:t>
            </w:r>
          </w:p>
        </w:tc>
        <w:tc>
          <w:tcPr>
            <w:tcW w:w="756" w:type="dxa"/>
            <w:shd w:val="clear" w:color="auto" w:fill="C6EFCE"/>
            <w:noWrap/>
          </w:tcPr>
          <w:p w14:paraId="1D850236" w14:textId="77777777" w:rsidR="00553430" w:rsidRDefault="00212577">
            <w:pPr>
              <w:pStyle w:val="P68B1DB1-Normal66"/>
              <w:spacing w:after="200" w:line="276" w:lineRule="auto"/>
              <w:jc w:val="center"/>
              <w:rPr>
                <w:noProof/>
              </w:rPr>
            </w:pPr>
            <w:r>
              <w:rPr>
                <w:noProof/>
              </w:rPr>
              <w:t>T4</w:t>
            </w:r>
          </w:p>
        </w:tc>
        <w:tc>
          <w:tcPr>
            <w:tcW w:w="884" w:type="dxa"/>
            <w:shd w:val="clear" w:color="auto" w:fill="C6EFCE"/>
            <w:noWrap/>
          </w:tcPr>
          <w:p w14:paraId="12B29967" w14:textId="77777777" w:rsidR="00553430" w:rsidRDefault="00212577">
            <w:pPr>
              <w:pStyle w:val="P68B1DB1-Normal66"/>
              <w:spacing w:after="200" w:line="276" w:lineRule="auto"/>
              <w:jc w:val="center"/>
              <w:rPr>
                <w:noProof/>
              </w:rPr>
            </w:pPr>
            <w:r>
              <w:rPr>
                <w:noProof/>
              </w:rPr>
              <w:t>2024</w:t>
            </w:r>
          </w:p>
        </w:tc>
        <w:tc>
          <w:tcPr>
            <w:tcW w:w="3685" w:type="dxa"/>
            <w:shd w:val="clear" w:color="auto" w:fill="C6EFCE"/>
            <w:noWrap/>
          </w:tcPr>
          <w:p w14:paraId="68B3B857" w14:textId="77777777" w:rsidR="00553430" w:rsidRDefault="00212577">
            <w:pPr>
              <w:pStyle w:val="P68B1DB1-Normal66"/>
              <w:spacing w:after="200" w:line="276" w:lineRule="auto"/>
              <w:rPr>
                <w:noProof/>
              </w:rPr>
            </w:pPr>
            <w:r>
              <w:rPr>
                <w:noProof/>
              </w:rPr>
              <w:t xml:space="preserve">une augmentation globale de la pension minimale d’au moins 3 % en termes réels (c’est-à-dire supérieure à </w:t>
            </w:r>
            <w:r>
              <w:rPr>
                <w:noProof/>
              </w:rPr>
              <w:t>l’indexation régulière) par rapport à 2020.</w:t>
            </w:r>
          </w:p>
        </w:tc>
      </w:tr>
    </w:tbl>
    <w:p w14:paraId="7C357C04" w14:textId="77777777" w:rsidR="00553430" w:rsidRDefault="00553430">
      <w:pPr>
        <w:rPr>
          <w:noProof/>
        </w:rPr>
      </w:pPr>
    </w:p>
    <w:p w14:paraId="2AE39C4B" w14:textId="77777777" w:rsidR="00553430" w:rsidRDefault="00553430">
      <w:pPr>
        <w:rPr>
          <w:noProof/>
        </w:rPr>
      </w:pPr>
    </w:p>
    <w:p w14:paraId="78EFA004" w14:textId="77777777" w:rsidR="00553430" w:rsidRDefault="00553430">
      <w:pPr>
        <w:keepNext/>
        <w:tabs>
          <w:tab w:val="left" w:pos="850"/>
        </w:tabs>
        <w:spacing w:before="360" w:line="240" w:lineRule="auto"/>
        <w:jc w:val="both"/>
        <w:outlineLvl w:val="0"/>
        <w:rPr>
          <w:rFonts w:ascii="Times New Roman" w:eastAsia="Calibri" w:hAnsi="Times New Roman" w:cs="Times New Roman"/>
          <w:b/>
          <w:smallCaps/>
          <w:noProof/>
          <w:sz w:val="24"/>
          <w:szCs w:val="24"/>
        </w:rPr>
        <w:sectPr w:rsidR="00553430" w:rsidSect="00FA29B2">
          <w:headerReference w:type="even" r:id="rId333"/>
          <w:headerReference w:type="default" r:id="rId334"/>
          <w:footerReference w:type="even" r:id="rId335"/>
          <w:footerReference w:type="default" r:id="rId336"/>
          <w:headerReference w:type="first" r:id="rId337"/>
          <w:footerReference w:type="first" r:id="rId338"/>
          <w:pgSz w:w="16838" w:h="11906" w:orient="landscape"/>
          <w:pgMar w:top="1134" w:right="1134" w:bottom="1134" w:left="1134" w:header="567" w:footer="567" w:gutter="0"/>
          <w:cols w:space="708"/>
          <w:docGrid w:linePitch="360"/>
        </w:sectPr>
      </w:pPr>
    </w:p>
    <w:p w14:paraId="1BDAB131" w14:textId="77777777" w:rsidR="00553430" w:rsidRDefault="00212577">
      <w:pPr>
        <w:pStyle w:val="P68B1DB1-Normal32"/>
        <w:keepNext/>
        <w:tabs>
          <w:tab w:val="left" w:pos="850"/>
        </w:tabs>
        <w:spacing w:before="360" w:line="240" w:lineRule="auto"/>
        <w:jc w:val="both"/>
        <w:outlineLvl w:val="0"/>
        <w:rPr>
          <w:noProof/>
        </w:rPr>
      </w:pPr>
      <w:r>
        <w:rPr>
          <w:noProof/>
        </w:rPr>
        <w:t>T. Élément 4.3: AMÉLIORATION DU SYSTÈME DE BIEN-ÊTRE SOCIAL</w:t>
      </w:r>
    </w:p>
    <w:p w14:paraId="2FCC6278" w14:textId="77777777" w:rsidR="00553430" w:rsidRDefault="00212577">
      <w:pPr>
        <w:pStyle w:val="P68B1DB1-Normal33"/>
        <w:spacing w:line="240" w:lineRule="auto"/>
        <w:jc w:val="both"/>
        <w:rPr>
          <w:noProof/>
        </w:rPr>
      </w:pPr>
      <w:r>
        <w:rPr>
          <w:noProof/>
        </w:rPr>
        <w:t xml:space="preserve">Ce volet du plan croate pour la reprise et la résilience aborde les défis liés au </w:t>
      </w:r>
      <w:r>
        <w:rPr>
          <w:noProof/>
        </w:rPr>
        <w:t xml:space="preserve">système de protection sociale, tant en ce qui concerne les prestations sociales que les services sociaux. L’objectif général des réformes et des investissements dans ce volet est de réduire la pauvreté, de prévenir l’exclusion sociale et de développer des </w:t>
      </w:r>
      <w:r>
        <w:rPr>
          <w:noProof/>
        </w:rPr>
        <w:t xml:space="preserve">services sociaux adaptés aux groupes vulnérables, afin de construire une société plus résiliente. </w:t>
      </w:r>
    </w:p>
    <w:p w14:paraId="4EEA5BE0" w14:textId="22068628" w:rsidR="00553430" w:rsidRDefault="00212577">
      <w:pPr>
        <w:pStyle w:val="P68B1DB1-Normal132"/>
        <w:spacing w:line="240" w:lineRule="auto"/>
        <w:jc w:val="both"/>
        <w:rPr>
          <w:noProof/>
        </w:rPr>
      </w:pPr>
      <w:r>
        <w:rPr>
          <w:noProof/>
        </w:rPr>
        <w:t xml:space="preserve">L'élément comprend les mesures suivantes: </w:t>
      </w:r>
    </w:p>
    <w:p w14:paraId="0FD388C1" w14:textId="77777777" w:rsidR="00553430" w:rsidRDefault="00212577">
      <w:pPr>
        <w:pStyle w:val="P68B1DB1-Normal33"/>
        <w:numPr>
          <w:ilvl w:val="0"/>
          <w:numId w:val="75"/>
        </w:numPr>
        <w:spacing w:before="120" w:after="120" w:line="240" w:lineRule="auto"/>
        <w:jc w:val="both"/>
        <w:rPr>
          <w:noProof/>
        </w:rPr>
      </w:pPr>
      <w:r>
        <w:rPr>
          <w:noProof/>
        </w:rPr>
        <w:t>améliorer le cadre législatif par l'adoption de la nouvelle loi sur la protection sociale et de trois documents st</w:t>
      </w:r>
      <w:r>
        <w:rPr>
          <w:noProof/>
        </w:rPr>
        <w:t>ratégiques;</w:t>
      </w:r>
    </w:p>
    <w:p w14:paraId="41320890" w14:textId="77777777" w:rsidR="00553430" w:rsidRDefault="00212577">
      <w:pPr>
        <w:pStyle w:val="P68B1DB1-Normal33"/>
        <w:numPr>
          <w:ilvl w:val="0"/>
          <w:numId w:val="75"/>
        </w:numPr>
        <w:spacing w:before="120" w:after="120" w:line="240" w:lineRule="auto"/>
        <w:jc w:val="both"/>
        <w:rPr>
          <w:noProof/>
        </w:rPr>
      </w:pPr>
      <w:r>
        <w:rPr>
          <w:noProof/>
        </w:rPr>
        <w:t>améliorer l'adéquation et la couverture de la prestation minimale garantie, principale prestation de réduction de la pauvreté au niveau national;</w:t>
      </w:r>
    </w:p>
    <w:p w14:paraId="377F5BD9" w14:textId="77777777" w:rsidR="00553430" w:rsidRDefault="00212577">
      <w:pPr>
        <w:pStyle w:val="P68B1DB1-Normal33"/>
        <w:numPr>
          <w:ilvl w:val="0"/>
          <w:numId w:val="75"/>
        </w:numPr>
        <w:spacing w:before="120" w:after="120" w:line="240" w:lineRule="auto"/>
        <w:jc w:val="both"/>
        <w:rPr>
          <w:noProof/>
        </w:rPr>
      </w:pPr>
      <w:r>
        <w:rPr>
          <w:noProof/>
        </w:rPr>
        <w:t xml:space="preserve">Consolidation technique et fonctionnelle des prestations sociales, aux niveaux national et local, </w:t>
      </w:r>
      <w:r>
        <w:rPr>
          <w:noProof/>
        </w:rPr>
        <w:t>avec l'introduction d'une indexation régulière et l'adaptation des critères d'éligibilité;</w:t>
      </w:r>
    </w:p>
    <w:p w14:paraId="2BF35E03" w14:textId="77777777" w:rsidR="00553430" w:rsidRDefault="00212577">
      <w:pPr>
        <w:pStyle w:val="P68B1DB1-Normal33"/>
        <w:numPr>
          <w:ilvl w:val="0"/>
          <w:numId w:val="75"/>
        </w:numPr>
        <w:spacing w:before="120" w:after="120" w:line="240" w:lineRule="auto"/>
        <w:jc w:val="both"/>
        <w:rPr>
          <w:noProof/>
        </w:rPr>
      </w:pPr>
      <w:r>
        <w:rPr>
          <w:noProof/>
        </w:rPr>
        <w:t>Harmoniser la tarification des services sociaux entre les différents prestataires existants;</w:t>
      </w:r>
    </w:p>
    <w:p w14:paraId="326A6C30" w14:textId="77777777" w:rsidR="00553430" w:rsidRDefault="00212577">
      <w:pPr>
        <w:pStyle w:val="P68B1DB1-Normal33"/>
        <w:numPr>
          <w:ilvl w:val="0"/>
          <w:numId w:val="75"/>
        </w:numPr>
        <w:spacing w:before="120" w:after="120" w:line="240" w:lineRule="auto"/>
        <w:jc w:val="both"/>
        <w:rPr>
          <w:noProof/>
        </w:rPr>
      </w:pPr>
      <w:r>
        <w:rPr>
          <w:noProof/>
        </w:rPr>
        <w:t>Développement des nouveaux services sociaux (mentorat social et assistan</w:t>
      </w:r>
      <w:r>
        <w:rPr>
          <w:noProof/>
        </w:rPr>
        <w:t>ts familiaux) dans le but de prévenir l'institutionnalisation et l'exclusion sociale;</w:t>
      </w:r>
    </w:p>
    <w:p w14:paraId="37C531C6" w14:textId="77777777" w:rsidR="00553430" w:rsidRDefault="00212577">
      <w:pPr>
        <w:pStyle w:val="P68B1DB1-Normal33"/>
        <w:numPr>
          <w:ilvl w:val="0"/>
          <w:numId w:val="75"/>
        </w:numPr>
        <w:spacing w:before="120" w:after="120" w:line="240" w:lineRule="auto"/>
        <w:jc w:val="both"/>
        <w:rPr>
          <w:noProof/>
        </w:rPr>
      </w:pPr>
      <w:r>
        <w:rPr>
          <w:noProof/>
        </w:rPr>
        <w:t>Favoriser la transition vers des soins de longue durée à domicile et de proximité pour les personnes âgées en développant des services non institutionnels, tout en fourni</w:t>
      </w:r>
      <w:r>
        <w:rPr>
          <w:noProof/>
        </w:rPr>
        <w:t>ssant des capacités d’hébergement suffisantes exclusivement pour les personnes ayant besoin de soins de longue durée sans alternative viable à domicile et de proximité.</w:t>
      </w:r>
    </w:p>
    <w:p w14:paraId="23134595" w14:textId="77777777" w:rsidR="00553430" w:rsidRDefault="00212577">
      <w:pPr>
        <w:pStyle w:val="P68B1DB1-Normal133"/>
        <w:spacing w:line="240" w:lineRule="auto"/>
        <w:jc w:val="both"/>
        <w:rPr>
          <w:noProof/>
        </w:rPr>
      </w:pPr>
      <w:r>
        <w:rPr>
          <w:noProof/>
        </w:rPr>
        <w:t>Ce volet répond à la recommandation par pays visant à consolider les prestations social</w:t>
      </w:r>
      <w:r>
        <w:rPr>
          <w:noProof/>
        </w:rPr>
        <w:t>es et à améliorer leur capacité à réduire la pauvreté (recommandation par pays 2.2, 2019), à améliorer l’adéquation des prestations de chômage et des régimes de revenu minimum (recommandation par pays 2.2, 2020), ainsi qu’à contribuer à améliorer l’accès a</w:t>
      </w:r>
      <w:r>
        <w:rPr>
          <w:noProof/>
        </w:rPr>
        <w:t>ux infrastructures et services numériques (recommandation par pays 2.3, 2020) et à promouvoir l’acquisition de compétences (recommandation par pays 2.4, 2020).</w:t>
      </w:r>
    </w:p>
    <w:p w14:paraId="35613800" w14:textId="77777777" w:rsidR="00553430" w:rsidRDefault="00212577">
      <w:pPr>
        <w:pStyle w:val="P68B1DB1-Normal57"/>
        <w:keepNext/>
        <w:spacing w:before="40" w:after="0"/>
        <w:ind w:left="851"/>
        <w:jc w:val="both"/>
        <w:outlineLvl w:val="1"/>
        <w:rPr>
          <w:noProof/>
        </w:rPr>
      </w:pPr>
      <w:r>
        <w:rPr>
          <w:noProof/>
        </w:rPr>
        <w:t xml:space="preserve">T.1. </w:t>
      </w:r>
      <w:r>
        <w:rPr>
          <w:noProof/>
        </w:rPr>
        <w:tab/>
        <w:t>Description des réformes et des investissements pour le soutien financier non remboursable</w:t>
      </w:r>
    </w:p>
    <w:p w14:paraId="6DAE2DCA" w14:textId="77777777" w:rsidR="00553430" w:rsidRDefault="00212577">
      <w:pPr>
        <w:pStyle w:val="P68B1DB1-Normal96"/>
        <w:keepNext/>
        <w:tabs>
          <w:tab w:val="num" w:pos="850"/>
        </w:tabs>
        <w:spacing w:before="240" w:after="0"/>
        <w:ind w:left="851"/>
        <w:jc w:val="both"/>
        <w:outlineLvl w:val="2"/>
        <w:rPr>
          <w:noProof/>
        </w:rPr>
      </w:pPr>
      <w:r>
        <w:rPr>
          <w:noProof/>
        </w:rPr>
        <w:t xml:space="preserve">Réforme C4.3 R1 - Transparence et adéquation des prestations sociales dans le système de protection sociale </w:t>
      </w:r>
    </w:p>
    <w:p w14:paraId="4E1F9DC3" w14:textId="77777777" w:rsidR="00553430" w:rsidRDefault="00212577">
      <w:pPr>
        <w:pStyle w:val="P68B1DB1-Normal34"/>
        <w:spacing w:before="240" w:after="240" w:line="240" w:lineRule="auto"/>
        <w:jc w:val="both"/>
        <w:rPr>
          <w:rFonts w:ascii="Times New Roman" w:eastAsia="Calibri" w:hAnsi="Times New Roman" w:cs="Times New Roman"/>
          <w:noProof/>
        </w:rPr>
      </w:pPr>
      <w:r>
        <w:rPr>
          <w:rFonts w:ascii="Times New Roman" w:eastAsia="Calibri" w:hAnsi="Times New Roman" w:cs="Times New Roman"/>
          <w:noProof/>
          <w:shd w:val="clear" w:color="auto" w:fill="FFFFFF"/>
        </w:rPr>
        <w:t xml:space="preserve">L’objectif de cette mesure est d’accroître </w:t>
      </w:r>
      <w:r>
        <w:rPr>
          <w:rFonts w:ascii="Times New Roman" w:hAnsi="Times New Roman" w:cs="Times New Roman"/>
          <w:noProof/>
        </w:rPr>
        <w:t xml:space="preserve">l’adéquation des principales prestations sociales destinées aux groupes les plus vulnérables de la </w:t>
      </w:r>
      <w:r>
        <w:rPr>
          <w:rFonts w:ascii="Times New Roman" w:hAnsi="Times New Roman" w:cs="Times New Roman"/>
          <w:noProof/>
        </w:rPr>
        <w:t>société, de contribuer à la réduction des inégalités et de la charge administrative et d’accroître la transparence du système. Cette mesure consiste à adopter un plan national de lutte contre la pauvreté, à modifier la loi sur la protection sociale, à inté</w:t>
      </w:r>
      <w:r>
        <w:rPr>
          <w:rFonts w:ascii="Times New Roman" w:hAnsi="Times New Roman" w:cs="Times New Roman"/>
          <w:noProof/>
        </w:rPr>
        <w:t>grer les prestations, à augmenter la prestation minimale garantie et à étendre l'aide à un plus grand nombre de bénéficiaires.</w:t>
      </w:r>
    </w:p>
    <w:p w14:paraId="2DF41397" w14:textId="77777777" w:rsidR="00553430" w:rsidRDefault="00212577">
      <w:pPr>
        <w:pStyle w:val="P68B1DB1-Normal42"/>
        <w:spacing w:line="240" w:lineRule="auto"/>
        <w:ind w:left="850"/>
        <w:jc w:val="both"/>
        <w:rPr>
          <w:noProof/>
        </w:rPr>
      </w:pPr>
      <w:r>
        <w:rPr>
          <w:noProof/>
        </w:rPr>
        <w:t>Investissement C4.3 R1-I1 - Améliorer la numérisation du système de prestations sociales entre les niveaux national et local</w:t>
      </w:r>
    </w:p>
    <w:p w14:paraId="07A041DB" w14:textId="77777777" w:rsidR="00553430" w:rsidRDefault="00212577">
      <w:pPr>
        <w:pStyle w:val="P68B1DB1-Normal46"/>
        <w:keepLines/>
        <w:spacing w:after="0" w:line="276" w:lineRule="auto"/>
        <w:jc w:val="both"/>
        <w:rPr>
          <w:rFonts w:eastAsia="Calibri"/>
          <w:noProof/>
        </w:rPr>
      </w:pPr>
      <w:r>
        <w:rPr>
          <w:noProof/>
        </w:rPr>
        <w:t>L’ob</w:t>
      </w:r>
      <w:r>
        <w:rPr>
          <w:noProof/>
        </w:rPr>
        <w:t>jectif de cet investissement est de développer davantage l’accès fonctionnel à toutes les données disponibles sur les prestations sociales pour chaque bénéficiaire individuel. Cette mesure consiste à faire en sorte que toutes les collectivités locales et r</w:t>
      </w:r>
      <w:r>
        <w:rPr>
          <w:noProof/>
        </w:rPr>
        <w:t>égionales aient un accès fonctionnel aux données intégrées sur les prestations sociales.</w:t>
      </w:r>
    </w:p>
    <w:p w14:paraId="2A0B124D" w14:textId="77777777" w:rsidR="00553430" w:rsidRDefault="00212577">
      <w:pPr>
        <w:pStyle w:val="P68B1DB1-Normal132"/>
        <w:spacing w:line="240" w:lineRule="auto"/>
        <w:jc w:val="both"/>
        <w:rPr>
          <w:noProof/>
        </w:rPr>
      </w:pPr>
      <w:r>
        <w:rPr>
          <w:noProof/>
        </w:rPr>
        <w:t> </w:t>
      </w:r>
    </w:p>
    <w:p w14:paraId="7A228609" w14:textId="77777777" w:rsidR="00553430" w:rsidRDefault="00553430">
      <w:pPr>
        <w:spacing w:line="240" w:lineRule="auto"/>
        <w:jc w:val="both"/>
        <w:rPr>
          <w:rFonts w:ascii="Times New Roman" w:eastAsia="Calibri" w:hAnsi="Times New Roman" w:cs="Times New Roman"/>
          <w:noProof/>
          <w:sz w:val="24"/>
          <w:szCs w:val="24"/>
          <w:shd w:val="clear" w:color="auto" w:fill="FFFFFF"/>
        </w:rPr>
      </w:pPr>
    </w:p>
    <w:p w14:paraId="6AF3B187" w14:textId="77777777" w:rsidR="00553430" w:rsidRDefault="00553430">
      <w:pPr>
        <w:spacing w:line="240" w:lineRule="auto"/>
        <w:jc w:val="both"/>
        <w:rPr>
          <w:rFonts w:ascii="Times New Roman" w:eastAsia="Calibri" w:hAnsi="Times New Roman" w:cs="Times New Roman"/>
          <w:noProof/>
          <w:sz w:val="24"/>
          <w:szCs w:val="24"/>
        </w:rPr>
      </w:pPr>
    </w:p>
    <w:p w14:paraId="05C9E01B" w14:textId="77777777" w:rsidR="00553430" w:rsidRDefault="00212577">
      <w:pPr>
        <w:pStyle w:val="P68B1DB1-Normal42"/>
        <w:spacing w:line="240" w:lineRule="auto"/>
        <w:ind w:left="850"/>
        <w:jc w:val="both"/>
        <w:rPr>
          <w:noProof/>
        </w:rPr>
      </w:pPr>
      <w:r>
        <w:rPr>
          <w:noProof/>
        </w:rPr>
        <w:t>Investissement C4.3 R1-I2 - Développement d'une application web sur la possibilité de recevoir des prestations sociales au niveau national</w:t>
      </w:r>
    </w:p>
    <w:p w14:paraId="2CA70DE7" w14:textId="77777777" w:rsidR="00553430" w:rsidRDefault="00212577">
      <w:pPr>
        <w:pStyle w:val="P68B1DB1-Normal133"/>
        <w:spacing w:line="240" w:lineRule="auto"/>
        <w:jc w:val="both"/>
        <w:rPr>
          <w:noProof/>
        </w:rPr>
      </w:pPr>
      <w:r>
        <w:rPr>
          <w:noProof/>
        </w:rPr>
        <w:t>L'objectif de cet invest</w:t>
      </w:r>
      <w:r>
        <w:rPr>
          <w:noProof/>
        </w:rPr>
        <w:t>issement est de créer une application web accessible aux citoyens qui rassemble les prestations sociales dans le système de protection sociale au niveau national et les conditions de leur fourniture. Les conditions d'obtention de douze types de prestations</w:t>
      </w:r>
      <w:r>
        <w:rPr>
          <w:noProof/>
        </w:rPr>
        <w:t xml:space="preserve"> sociales dans un système de protection sociale au niveau national sont disponibles dans la demande.</w:t>
      </w:r>
    </w:p>
    <w:p w14:paraId="1FCD2332" w14:textId="77777777" w:rsidR="00553430" w:rsidRDefault="00212577">
      <w:pPr>
        <w:pStyle w:val="P68B1DB1-Normal132"/>
        <w:spacing w:line="240" w:lineRule="auto"/>
        <w:jc w:val="both"/>
        <w:rPr>
          <w:noProof/>
        </w:rPr>
      </w:pPr>
      <w:r>
        <w:rPr>
          <w:noProof/>
        </w:rPr>
        <w:t>La mesure est achevée au plus tard le 31 décembre 2024. </w:t>
      </w:r>
    </w:p>
    <w:p w14:paraId="1BCC0B8F" w14:textId="77777777" w:rsidR="00553430" w:rsidRDefault="00212577">
      <w:pPr>
        <w:pStyle w:val="P68B1DB1-Normal42"/>
        <w:spacing w:line="240" w:lineRule="auto"/>
        <w:ind w:left="850"/>
        <w:jc w:val="both"/>
        <w:rPr>
          <w:noProof/>
        </w:rPr>
      </w:pPr>
      <w:r>
        <w:rPr>
          <w:noProof/>
        </w:rPr>
        <w:t>Réforme C4.3 R2 - Développement du service de mentorat social</w:t>
      </w:r>
    </w:p>
    <w:p w14:paraId="7DE430FB" w14:textId="77777777" w:rsidR="00553430" w:rsidRDefault="00212577">
      <w:pPr>
        <w:pStyle w:val="P68B1DB1-Normal33"/>
        <w:spacing w:line="240" w:lineRule="auto"/>
        <w:jc w:val="both"/>
        <w:rPr>
          <w:noProof/>
        </w:rPr>
      </w:pPr>
      <w:r>
        <w:rPr>
          <w:noProof/>
          <w:shd w:val="clear" w:color="auto" w:fill="FFFFFF"/>
        </w:rPr>
        <w:t xml:space="preserve">L’objectif de cette réforme est de garantir une capacité humaine suffisante pour fournir des services sociaux, grâce à une meilleure coopération et à un meilleur partage des données, </w:t>
      </w:r>
      <w:r>
        <w:rPr>
          <w:noProof/>
        </w:rPr>
        <w:t>aux bénéficiaires de prestations minimales garanties et aux groupes défav</w:t>
      </w:r>
      <w:r>
        <w:rPr>
          <w:noProof/>
        </w:rPr>
        <w:t>orisés de bénéficiaires.</w:t>
      </w:r>
      <w:r>
        <w:rPr>
          <w:noProof/>
          <w:shd w:val="clear" w:color="auto" w:fill="FFFFFF"/>
        </w:rPr>
        <w:t xml:space="preserve"> La réforme introduira un nouveau service de tutorat social destiné aux personnes à risque ou déjà marginalisées dans la société, qui sera inclus dans la nouvelle loi sur la protection sociale.</w:t>
      </w:r>
    </w:p>
    <w:p w14:paraId="36380AB0" w14:textId="77777777" w:rsidR="00553430" w:rsidRDefault="00212577">
      <w:pPr>
        <w:pStyle w:val="P68B1DB1-Normal42"/>
        <w:spacing w:line="240" w:lineRule="auto"/>
        <w:ind w:left="850"/>
        <w:jc w:val="both"/>
        <w:rPr>
          <w:noProof/>
        </w:rPr>
      </w:pPr>
      <w:r>
        <w:rPr>
          <w:noProof/>
        </w:rPr>
        <w:t>Investissement C4.3 R2-I1 - Introducti</w:t>
      </w:r>
      <w:r>
        <w:rPr>
          <w:noProof/>
        </w:rPr>
        <w:t xml:space="preserve">on de services de mentorat social </w:t>
      </w:r>
    </w:p>
    <w:p w14:paraId="1EFEE55F" w14:textId="77777777" w:rsidR="00553430" w:rsidRDefault="00212577">
      <w:pPr>
        <w:pStyle w:val="P68B1DB1-Normal34"/>
        <w:spacing w:line="240" w:lineRule="auto"/>
        <w:jc w:val="both"/>
        <w:rPr>
          <w:rFonts w:ascii="Times New Roman" w:eastAsia="Calibri" w:hAnsi="Times New Roman" w:cs="Times New Roman"/>
          <w:noProof/>
        </w:rPr>
      </w:pPr>
      <w:r>
        <w:rPr>
          <w:rFonts w:ascii="Times New Roman" w:eastAsia="Calibri" w:hAnsi="Times New Roman" w:cs="Times New Roman"/>
          <w:noProof/>
          <w:bdr w:val="none" w:sz="0" w:space="0" w:color="auto" w:frame="1"/>
        </w:rPr>
        <w:t xml:space="preserve">L’objectif de cet investissement est de mettre le nouveau service de tutorat social à la disposition de tous les bénéficiaires potentiels, en particulier les bénéficiaires de l’allocation minimale garantie, les personnes </w:t>
      </w:r>
      <w:r>
        <w:rPr>
          <w:rFonts w:ascii="Times New Roman" w:eastAsia="Calibri" w:hAnsi="Times New Roman" w:cs="Times New Roman"/>
          <w:noProof/>
          <w:bdr w:val="none" w:sz="0" w:space="0" w:color="auto" w:frame="1"/>
        </w:rPr>
        <w:t xml:space="preserve">handicapées, les victimes de violence, les sans-abri, les migrants, les Roms et les jeunes qui quittent le système de protection sociale, les personnes purgeant une peine de prison et les membres d’autres groupes socialement vulnérables. </w:t>
      </w:r>
      <w:r>
        <w:rPr>
          <w:rFonts w:ascii="Times New Roman" w:hAnsi="Times New Roman" w:cs="Times New Roman"/>
          <w:noProof/>
        </w:rPr>
        <w:t>Cette mesure consi</w:t>
      </w:r>
      <w:r>
        <w:rPr>
          <w:rFonts w:ascii="Times New Roman" w:hAnsi="Times New Roman" w:cs="Times New Roman"/>
          <w:noProof/>
        </w:rPr>
        <w:t xml:space="preserve">ste à employer des mentors sociaux formés et à mettre en place un système de soutien individualisé et de coopération entre les services sociaux et les services de l’emploi. </w:t>
      </w:r>
      <w:r>
        <w:rPr>
          <w:rFonts w:ascii="Times New Roman" w:hAnsi="Times New Roman" w:cs="Times New Roman"/>
          <w:noProof/>
          <w:bdr w:val="none" w:sz="0" w:space="0" w:color="auto" w:frame="1"/>
        </w:rPr>
        <w:t>￼</w:t>
      </w:r>
    </w:p>
    <w:p w14:paraId="33B2226A" w14:textId="77777777" w:rsidR="00553430" w:rsidRDefault="00212577">
      <w:pPr>
        <w:pStyle w:val="P68B1DB1-Normal42"/>
        <w:spacing w:line="240" w:lineRule="auto"/>
        <w:ind w:left="850"/>
        <w:jc w:val="both"/>
        <w:rPr>
          <w:noProof/>
        </w:rPr>
      </w:pPr>
      <w:r>
        <w:rPr>
          <w:noProof/>
        </w:rPr>
        <w:t>Réforme C4.3 R3 - Développement de services communautaires pour prévenir l'instit</w:t>
      </w:r>
      <w:r>
        <w:rPr>
          <w:noProof/>
        </w:rPr>
        <w:t>utionnalisation</w:t>
      </w:r>
    </w:p>
    <w:p w14:paraId="53DEF920" w14:textId="77777777" w:rsidR="00553430" w:rsidRDefault="00212577">
      <w:pPr>
        <w:pStyle w:val="P68B1DB1-Normal33"/>
        <w:spacing w:line="240" w:lineRule="auto"/>
        <w:jc w:val="both"/>
        <w:rPr>
          <w:noProof/>
        </w:rPr>
      </w:pPr>
      <w:r>
        <w:rPr>
          <w:noProof/>
          <w:bdr w:val="none" w:sz="0" w:space="0" w:color="auto" w:frame="1"/>
        </w:rPr>
        <w:t>L’objectif de cette réforme est d’adopter</w:t>
      </w:r>
      <w:r>
        <w:rPr>
          <w:noProof/>
          <w:shd w:val="clear" w:color="auto" w:fill="FFFFFF"/>
        </w:rPr>
        <w:t xml:space="preserve"> le plan national pour le développement des services sociaux 2021-2027, qui:</w:t>
      </w:r>
    </w:p>
    <w:p w14:paraId="2C081871" w14:textId="77777777" w:rsidR="00553430" w:rsidRDefault="00212577">
      <w:pPr>
        <w:pStyle w:val="P68B1DB1-Normal33"/>
        <w:numPr>
          <w:ilvl w:val="0"/>
          <w:numId w:val="75"/>
        </w:numPr>
        <w:spacing w:before="120" w:after="120" w:line="240" w:lineRule="auto"/>
        <w:jc w:val="both"/>
        <w:rPr>
          <w:noProof/>
        </w:rPr>
      </w:pPr>
      <w:r>
        <w:rPr>
          <w:noProof/>
        </w:rPr>
        <w:t>Identifier les priorités pour le développement des services sociaux;</w:t>
      </w:r>
    </w:p>
    <w:p w14:paraId="4D9E7C65" w14:textId="77777777" w:rsidR="00553430" w:rsidRDefault="00212577">
      <w:pPr>
        <w:pStyle w:val="P68B1DB1-Normal33"/>
        <w:numPr>
          <w:ilvl w:val="0"/>
          <w:numId w:val="75"/>
        </w:numPr>
        <w:spacing w:before="120" w:after="120" w:line="240" w:lineRule="auto"/>
        <w:jc w:val="both"/>
        <w:rPr>
          <w:noProof/>
        </w:rPr>
      </w:pPr>
      <w:r>
        <w:rPr>
          <w:noProof/>
        </w:rPr>
        <w:t>examiner les besoins en matière de différentes formes</w:t>
      </w:r>
      <w:r>
        <w:rPr>
          <w:noProof/>
        </w:rPr>
        <w:t xml:space="preserve"> d’aide sociale, tant non institutionnelles qu’institutionnelles, en mettant particulièrement l’accent sur les chômeurs de longue durée, les personnes handicapées, les bénéficiaires de prestations minimales garanties, les victimes de la violence et de la t</w:t>
      </w:r>
      <w:r>
        <w:rPr>
          <w:noProof/>
        </w:rPr>
        <w:t xml:space="preserve">raite des êtres humains, les jeunes sans soins, les sans-abri, les migrants, les Roms et les personnes purgeant des peines de prison; </w:t>
      </w:r>
    </w:p>
    <w:p w14:paraId="54170442" w14:textId="77777777" w:rsidR="00553430" w:rsidRDefault="00212577">
      <w:pPr>
        <w:pStyle w:val="P68B1DB1-Normal33"/>
        <w:numPr>
          <w:ilvl w:val="0"/>
          <w:numId w:val="75"/>
        </w:numPr>
        <w:spacing w:before="120" w:after="120" w:line="240" w:lineRule="auto"/>
        <w:jc w:val="both"/>
        <w:rPr>
          <w:noProof/>
        </w:rPr>
      </w:pPr>
      <w:r>
        <w:rPr>
          <w:noProof/>
        </w:rPr>
        <w:t xml:space="preserve">Établir un plan systématique de soins de longue durée adapté aux besoins spécifiques des bénéficiaires; </w:t>
      </w:r>
    </w:p>
    <w:p w14:paraId="120B4274" w14:textId="77777777" w:rsidR="00553430" w:rsidRDefault="00212577">
      <w:pPr>
        <w:pStyle w:val="P68B1DB1-Normal33"/>
        <w:numPr>
          <w:ilvl w:val="0"/>
          <w:numId w:val="75"/>
        </w:numPr>
        <w:spacing w:before="120" w:after="120" w:line="240" w:lineRule="auto"/>
        <w:jc w:val="both"/>
        <w:rPr>
          <w:noProof/>
        </w:rPr>
      </w:pPr>
      <w:r>
        <w:rPr>
          <w:noProof/>
        </w:rPr>
        <w:t>Énumérer les obj</w:t>
      </w:r>
      <w:r>
        <w:rPr>
          <w:noProof/>
        </w:rPr>
        <w:t>ectifs et les critères de développement des services de résidence pour les utilisateurs qui dépendent entièrement, sur le plan fonctionnel, des soins en établissement et dont les besoins ne peuvent être satisfaits par des services hors établissement, des s</w:t>
      </w:r>
      <w:r>
        <w:rPr>
          <w:noProof/>
        </w:rPr>
        <w:t>ervices d'aide communautaire et à domicile ainsi que d'autres services qui améliorent la qualité de vie et permettent aux utilisateurs de résider plus longtemps à domicile et dans leur communauté;</w:t>
      </w:r>
    </w:p>
    <w:p w14:paraId="550113E3" w14:textId="77777777" w:rsidR="00553430" w:rsidRDefault="00212577">
      <w:pPr>
        <w:pStyle w:val="P68B1DB1-Normal33"/>
        <w:numPr>
          <w:ilvl w:val="0"/>
          <w:numId w:val="75"/>
        </w:numPr>
        <w:spacing w:before="120" w:after="120" w:line="240" w:lineRule="auto"/>
        <w:jc w:val="both"/>
        <w:rPr>
          <w:noProof/>
        </w:rPr>
      </w:pPr>
      <w:r>
        <w:rPr>
          <w:noProof/>
        </w:rPr>
        <w:t>adapter les services afin de donner aux individus les moyen</w:t>
      </w:r>
      <w:r>
        <w:rPr>
          <w:noProof/>
        </w:rPr>
        <w:t>s d’influencer leur statut social en passant de l’exclusion à l’inclusion et en œuvrant à l’expansion de leur réseau social;</w:t>
      </w:r>
    </w:p>
    <w:p w14:paraId="2564CAB3" w14:textId="77777777" w:rsidR="00553430" w:rsidRDefault="00212577">
      <w:pPr>
        <w:pStyle w:val="P68B1DB1-Normal133"/>
        <w:numPr>
          <w:ilvl w:val="0"/>
          <w:numId w:val="75"/>
        </w:numPr>
        <w:spacing w:before="120" w:after="120" w:line="240" w:lineRule="auto"/>
        <w:jc w:val="both"/>
        <w:rPr>
          <w:noProof/>
        </w:rPr>
      </w:pPr>
      <w:r>
        <w:rPr>
          <w:noProof/>
        </w:rPr>
        <w:t>mettre en place des soins de longue durée systématiques et intégrés pour les personnes âgées, qui donnent la priorité à la transiti</w:t>
      </w:r>
      <w:r>
        <w:rPr>
          <w:noProof/>
        </w:rPr>
        <w:t>on des soins institutionnalisés vers des soins à domicile et des soins de proximité aux personnes âgées;</w:t>
      </w:r>
    </w:p>
    <w:p w14:paraId="26C109B3" w14:textId="77777777" w:rsidR="00553430" w:rsidRDefault="00212577">
      <w:pPr>
        <w:pStyle w:val="P68B1DB1-Normal33"/>
        <w:numPr>
          <w:ilvl w:val="0"/>
          <w:numId w:val="75"/>
        </w:numPr>
        <w:spacing w:before="120" w:after="120" w:line="240" w:lineRule="auto"/>
        <w:jc w:val="both"/>
        <w:rPr>
          <w:noProof/>
        </w:rPr>
      </w:pPr>
      <w:r>
        <w:rPr>
          <w:noProof/>
        </w:rPr>
        <w:t xml:space="preserve">soutenir le développement de services à domicile et de services de proximité pour les soins de longue durée; </w:t>
      </w:r>
    </w:p>
    <w:p w14:paraId="569DD53E" w14:textId="77777777" w:rsidR="00553430" w:rsidRDefault="00212577">
      <w:pPr>
        <w:pStyle w:val="P68B1DB1-Normal33"/>
        <w:numPr>
          <w:ilvl w:val="0"/>
          <w:numId w:val="75"/>
        </w:numPr>
        <w:spacing w:before="120" w:after="120" w:line="240" w:lineRule="auto"/>
        <w:jc w:val="both"/>
        <w:rPr>
          <w:noProof/>
        </w:rPr>
      </w:pPr>
      <w:r>
        <w:rPr>
          <w:noProof/>
        </w:rPr>
        <w:t>b) De veiller à ce que les services insti</w:t>
      </w:r>
      <w:r>
        <w:rPr>
          <w:noProof/>
        </w:rPr>
        <w:t>tutionnels ne soient disponibles que pour les personnes âgées qui dépendent entièrement, sur le plan fonctionnel, des soins institutionnels et dont les besoins ne peuvent être satisfaits par des services extrainstitutionnels;</w:t>
      </w:r>
    </w:p>
    <w:p w14:paraId="000A94BA" w14:textId="77777777" w:rsidR="00553430" w:rsidRDefault="00212577">
      <w:pPr>
        <w:pStyle w:val="P68B1DB1-Normal33"/>
        <w:numPr>
          <w:ilvl w:val="0"/>
          <w:numId w:val="75"/>
        </w:numPr>
        <w:spacing w:before="120" w:after="120" w:line="240" w:lineRule="auto"/>
        <w:jc w:val="both"/>
        <w:rPr>
          <w:noProof/>
        </w:rPr>
      </w:pPr>
      <w:r>
        <w:rPr>
          <w:noProof/>
        </w:rPr>
        <w:t>Plan de temps de soins semi-ré</w:t>
      </w:r>
      <w:r>
        <w:rPr>
          <w:noProof/>
        </w:rPr>
        <w:t xml:space="preserve">sidentiel ou résidentiel, avec une forte préférence pour les services de soins à domicile en tenant compte de la disponibilité des services et des besoins des utilisateurs. </w:t>
      </w:r>
    </w:p>
    <w:p w14:paraId="30F857F2" w14:textId="77777777" w:rsidR="00553430" w:rsidRDefault="00212577">
      <w:pPr>
        <w:pStyle w:val="P68B1DB1-Normal33"/>
        <w:spacing w:line="240" w:lineRule="auto"/>
        <w:jc w:val="both"/>
        <w:rPr>
          <w:noProof/>
        </w:rPr>
      </w:pPr>
      <w:r>
        <w:rPr>
          <w:noProof/>
          <w:bdr w:val="none" w:sz="0" w:space="0" w:color="auto" w:frame="1"/>
        </w:rPr>
        <w:t xml:space="preserve">En outre, dans le cadre de la réforme, des </w:t>
      </w:r>
      <w:r>
        <w:rPr>
          <w:noProof/>
          <w:shd w:val="clear" w:color="auto" w:fill="FFFFFF"/>
        </w:rPr>
        <w:t>normes de traitement pour les assistant</w:t>
      </w:r>
      <w:r>
        <w:rPr>
          <w:noProof/>
          <w:shd w:val="clear" w:color="auto" w:fill="FFFFFF"/>
        </w:rPr>
        <w:t>s familiaux seront élaborées. La normalisation des pratiques professionnelles dans la mise en œuvre des mesures de protection de la famille contribue à améliorer la protection des enfants, des adultes handicapés et des personnes âgées, à égaliser la qualit</w:t>
      </w:r>
      <w:r>
        <w:rPr>
          <w:noProof/>
          <w:shd w:val="clear" w:color="auto" w:fill="FFFFFF"/>
        </w:rPr>
        <w:t>é du service fourni et à prévenir l’institutionnalisation en fournissant des services directement au domicile des utilisateurs en coopération avec d’autres parties prenantes concernées au niveau local.</w:t>
      </w:r>
    </w:p>
    <w:p w14:paraId="4252B77B" w14:textId="77777777" w:rsidR="00553430" w:rsidRDefault="00212577">
      <w:pPr>
        <w:pStyle w:val="P68B1DB1-Normal132"/>
        <w:spacing w:line="240" w:lineRule="auto"/>
        <w:jc w:val="both"/>
        <w:rPr>
          <w:noProof/>
        </w:rPr>
      </w:pPr>
      <w:r>
        <w:rPr>
          <w:noProof/>
        </w:rPr>
        <w:t>La réforme comprend des modifications de la nouvelle l</w:t>
      </w:r>
      <w:r>
        <w:rPr>
          <w:noProof/>
        </w:rPr>
        <w:t>oi sur la protection sociale visant à:</w:t>
      </w:r>
    </w:p>
    <w:p w14:paraId="7A55C59E" w14:textId="77777777" w:rsidR="00553430" w:rsidRDefault="00212577">
      <w:pPr>
        <w:pStyle w:val="P68B1DB1-Normal132"/>
        <w:numPr>
          <w:ilvl w:val="0"/>
          <w:numId w:val="75"/>
        </w:numPr>
        <w:spacing w:before="120" w:after="120" w:line="240" w:lineRule="auto"/>
        <w:jc w:val="both"/>
        <w:rPr>
          <w:noProof/>
        </w:rPr>
      </w:pPr>
      <w:r>
        <w:rPr>
          <w:noProof/>
        </w:rPr>
        <w:t>donner la priorité à la désinstitutionnalisation des soins de longue durée afin d’induire des changements structurels dans ce domaine de la politique sociale;</w:t>
      </w:r>
    </w:p>
    <w:p w14:paraId="478B39BB" w14:textId="77777777" w:rsidR="00553430" w:rsidRDefault="00212577">
      <w:pPr>
        <w:pStyle w:val="P68B1DB1-Normal132"/>
        <w:numPr>
          <w:ilvl w:val="0"/>
          <w:numId w:val="75"/>
        </w:numPr>
        <w:spacing w:before="120" w:after="120" w:line="240" w:lineRule="auto"/>
        <w:jc w:val="both"/>
        <w:rPr>
          <w:noProof/>
        </w:rPr>
      </w:pPr>
      <w:r>
        <w:rPr>
          <w:noProof/>
        </w:rPr>
        <w:t>Permettre et promouvoir la coordination entre les services</w:t>
      </w:r>
      <w:r>
        <w:rPr>
          <w:noProof/>
        </w:rPr>
        <w:t xml:space="preserve"> sociaux et assurer une approche coordonnée à travers le large éventail de services de qualité qu'ils fournissent.</w:t>
      </w:r>
    </w:p>
    <w:p w14:paraId="4332942C" w14:textId="77777777" w:rsidR="00553430" w:rsidRDefault="00212577">
      <w:pPr>
        <w:pStyle w:val="P68B1DB1-Normal132"/>
        <w:spacing w:line="240" w:lineRule="auto"/>
        <w:jc w:val="both"/>
        <w:rPr>
          <w:noProof/>
        </w:rPr>
      </w:pPr>
      <w:r>
        <w:rPr>
          <w:noProof/>
        </w:rPr>
        <w:t>La réforme est achevée au plus tard le 31 décembre 2022. </w:t>
      </w:r>
    </w:p>
    <w:p w14:paraId="066B42A4" w14:textId="77777777" w:rsidR="00553430" w:rsidRDefault="00212577">
      <w:pPr>
        <w:pStyle w:val="P68B1DB1-Normal42"/>
        <w:spacing w:line="240" w:lineRule="auto"/>
        <w:ind w:left="850"/>
        <w:jc w:val="both"/>
        <w:rPr>
          <w:noProof/>
        </w:rPr>
      </w:pPr>
      <w:r>
        <w:rPr>
          <w:noProof/>
        </w:rPr>
        <w:t>Investissement C4.3 R3-I1 - Renforcement des capacités des professionnels des servi</w:t>
      </w:r>
      <w:r>
        <w:rPr>
          <w:noProof/>
        </w:rPr>
        <w:t>ces communautaires</w:t>
      </w:r>
    </w:p>
    <w:p w14:paraId="5BE83B35" w14:textId="77777777" w:rsidR="00553430" w:rsidRDefault="00212577">
      <w:pPr>
        <w:pStyle w:val="P68B1DB1-Normal133"/>
        <w:spacing w:line="240" w:lineRule="auto"/>
        <w:jc w:val="both"/>
        <w:rPr>
          <w:noProof/>
        </w:rPr>
      </w:pPr>
      <w:r>
        <w:rPr>
          <w:noProof/>
        </w:rPr>
        <w:t>L’objectif de cette mesure est d’améliorer la capacité humaine à fournir des services sociaux par des activités éducatives et le recrutement de professionnels. L'investissement financera la formation et l'agrément de 750 conseillers en m</w:t>
      </w:r>
      <w:r>
        <w:rPr>
          <w:noProof/>
        </w:rPr>
        <w:t>atière de mesures juridiques de protection de la famille et de 40 assistants familiaux. En outre, un certain nombre de 400 travailleurs professionnels dans les établissements de protection sociale doivent être recrutés pour fournir des services hors établi</w:t>
      </w:r>
      <w:r>
        <w:rPr>
          <w:noProof/>
        </w:rPr>
        <w:t>ssement. L’investissement contribue au développement et à l’accessibilité régionale des services sociaux de proximité et renforce les compétences des professionnels en matière de traitement standardisé dans les activités de protection familiale et juridiqu</w:t>
      </w:r>
      <w:r>
        <w:rPr>
          <w:noProof/>
        </w:rPr>
        <w:t xml:space="preserve">e afin de prévenir l’institutionnalisation des enfants, des jeunes et d’autres groupes socialement vulnérables. </w:t>
      </w:r>
    </w:p>
    <w:p w14:paraId="773451D8" w14:textId="77777777" w:rsidR="00553430" w:rsidRDefault="00212577">
      <w:pPr>
        <w:pStyle w:val="P68B1DB1-Normal132"/>
        <w:spacing w:line="240" w:lineRule="auto"/>
        <w:jc w:val="both"/>
        <w:rPr>
          <w:noProof/>
        </w:rPr>
      </w:pPr>
      <w:r>
        <w:rPr>
          <w:noProof/>
        </w:rPr>
        <w:t>L’investissement est achevé au plus tard le 31 décembre 2024. </w:t>
      </w:r>
    </w:p>
    <w:p w14:paraId="2D34B365" w14:textId="77777777" w:rsidR="00553430" w:rsidRDefault="00212577">
      <w:pPr>
        <w:pStyle w:val="P68B1DB1-Normal42"/>
        <w:spacing w:line="240" w:lineRule="auto"/>
        <w:ind w:left="850"/>
        <w:jc w:val="both"/>
        <w:rPr>
          <w:noProof/>
        </w:rPr>
      </w:pPr>
      <w:r>
        <w:rPr>
          <w:noProof/>
        </w:rPr>
        <w:t>Investissement C4.3 R3-I3 - Améliorer la numérisation du système de protection s</w:t>
      </w:r>
      <w:r>
        <w:rPr>
          <w:noProof/>
        </w:rPr>
        <w:t>ociale et mettre en œuvre un système de méthodologie pour calculer les prix des services sociaux</w:t>
      </w:r>
    </w:p>
    <w:p w14:paraId="59D30122" w14:textId="77777777" w:rsidR="00553430" w:rsidRDefault="00212577">
      <w:pPr>
        <w:pStyle w:val="P68B1DB1-Normal33"/>
        <w:spacing w:line="240" w:lineRule="auto"/>
        <w:jc w:val="both"/>
        <w:rPr>
          <w:noProof/>
        </w:rPr>
      </w:pPr>
      <w:r>
        <w:rPr>
          <w:noProof/>
          <w:bdr w:val="none" w:sz="0" w:space="0" w:color="auto" w:frame="1"/>
        </w:rPr>
        <w:t>L’objectif de cette mesure est de</w:t>
      </w:r>
      <w:r>
        <w:rPr>
          <w:noProof/>
          <w:shd w:val="clear" w:color="auto" w:fill="FFFFFF"/>
        </w:rPr>
        <w:t xml:space="preserve"> développer une </w:t>
      </w:r>
      <w:r>
        <w:rPr>
          <w:noProof/>
        </w:rPr>
        <w:t>nouvelle solution de gestion des données pour les prestataires de services sociaux financée par le budget de l</w:t>
      </w:r>
      <w:r>
        <w:rPr>
          <w:noProof/>
        </w:rPr>
        <w:t>’État. La principale fonctionnalité de la solution de gestion des données développée est la collecte automatisée de données, l’analyse de la qualité et le calcul des prix des services sociaux. L’investissement finance les exigences en matière de logiciels,</w:t>
      </w:r>
      <w:r>
        <w:rPr>
          <w:noProof/>
        </w:rPr>
        <w:t xml:space="preserve"> de matériel informatique et d’éducation pour permettre la pleine fonctionnalité de la solution. </w:t>
      </w:r>
    </w:p>
    <w:p w14:paraId="0EDF4E38" w14:textId="77777777" w:rsidR="00553430" w:rsidRDefault="00212577">
      <w:pPr>
        <w:pStyle w:val="P68B1DB1-Normal132"/>
        <w:rPr>
          <w:noProof/>
        </w:rPr>
      </w:pPr>
      <w:r>
        <w:rPr>
          <w:noProof/>
        </w:rPr>
        <w:t>La mesure est achevée au plus tard le 31 décembre 2023. </w:t>
      </w:r>
    </w:p>
    <w:p w14:paraId="27C87E28" w14:textId="21EE857A" w:rsidR="00553430" w:rsidRDefault="00212577">
      <w:pPr>
        <w:pStyle w:val="P68B1DB1-Normal42"/>
        <w:spacing w:line="240" w:lineRule="auto"/>
        <w:ind w:left="850"/>
        <w:jc w:val="both"/>
        <w:rPr>
          <w:noProof/>
        </w:rPr>
      </w:pPr>
      <w:r>
        <w:rPr>
          <w:noProof/>
        </w:rPr>
        <w:t xml:space="preserve">Investissement C4.3 R3-I4 - Construction et équipement de centres de soins aux personnes âgées </w:t>
      </w:r>
      <w:r>
        <w:rPr>
          <w:noProof/>
        </w:rPr>
        <w:t>(services à domicile et de proximité et services institutionnels)</w:t>
      </w:r>
    </w:p>
    <w:p w14:paraId="519C86C4" w14:textId="3E2DA667" w:rsidR="00553430" w:rsidRDefault="00212577">
      <w:pPr>
        <w:pStyle w:val="P68B1DB1-Normal34"/>
        <w:spacing w:line="240" w:lineRule="auto"/>
        <w:jc w:val="both"/>
        <w:rPr>
          <w:rFonts w:ascii="Times New Roman" w:eastAsia="Calibri" w:hAnsi="Times New Roman" w:cs="Times New Roman"/>
          <w:noProof/>
        </w:rPr>
      </w:pPr>
      <w:r>
        <w:rPr>
          <w:rFonts w:ascii="Times New Roman" w:eastAsia="Calibri" w:hAnsi="Times New Roman" w:cs="Times New Roman"/>
          <w:noProof/>
          <w:bdr w:val="none" w:sz="0" w:space="0" w:color="auto" w:frame="1"/>
        </w:rPr>
        <w:t xml:space="preserve">L'objectif de cette mesure est de construire des centres pour les personnes âgées </w:t>
      </w:r>
      <w:r>
        <w:rPr>
          <w:rFonts w:ascii="Times New Roman" w:eastAsia="Calibri" w:hAnsi="Times New Roman" w:cs="Times New Roman"/>
          <w:noProof/>
        </w:rPr>
        <w:t>afin d'accueillir</w:t>
      </w:r>
      <w:r>
        <w:rPr>
          <w:rFonts w:ascii="Times New Roman" w:eastAsia="Calibri" w:hAnsi="Times New Roman" w:cs="Times New Roman"/>
          <w:noProof/>
          <w:bdr w:val="none" w:sz="0" w:space="0" w:color="auto" w:frame="1"/>
        </w:rPr>
        <w:t xml:space="preserve"> 900 personnes âgées qui dépendent entièrement, sur le plan fonctionnel, des soins en insti</w:t>
      </w:r>
      <w:r>
        <w:rPr>
          <w:rFonts w:ascii="Times New Roman" w:eastAsia="Calibri" w:hAnsi="Times New Roman" w:cs="Times New Roman"/>
          <w:noProof/>
          <w:bdr w:val="none" w:sz="0" w:space="0" w:color="auto" w:frame="1"/>
        </w:rPr>
        <w:t xml:space="preserve">tution et dont les besoins ne peuvent être satisfaits par des services extra-institutionnels. </w:t>
      </w:r>
      <w:r>
        <w:rPr>
          <w:rFonts w:ascii="Times New Roman" w:eastAsia="Times New Roman" w:hAnsi="Times New Roman" w:cs="Times New Roman"/>
          <w:noProof/>
        </w:rPr>
        <w:t xml:space="preserve">Cette mesure consiste à construire des centres pour les personnes âgées et des installations pour les services de proximité. </w:t>
      </w:r>
    </w:p>
    <w:p w14:paraId="7CEAFCEB" w14:textId="77777777" w:rsidR="00553430" w:rsidRDefault="00553430">
      <w:pPr>
        <w:rPr>
          <w:noProof/>
        </w:rPr>
        <w:sectPr w:rsidR="00553430" w:rsidSect="00FA29B2">
          <w:headerReference w:type="even" r:id="rId339"/>
          <w:headerReference w:type="default" r:id="rId340"/>
          <w:footerReference w:type="even" r:id="rId341"/>
          <w:footerReference w:type="default" r:id="rId342"/>
          <w:headerReference w:type="first" r:id="rId343"/>
          <w:footerReference w:type="first" r:id="rId344"/>
          <w:pgSz w:w="11906" w:h="16838"/>
          <w:pgMar w:top="1134" w:right="1134" w:bottom="1134" w:left="1134" w:header="567" w:footer="567" w:gutter="0"/>
          <w:cols w:space="708"/>
          <w:docGrid w:linePitch="360"/>
        </w:sectPr>
      </w:pPr>
    </w:p>
    <w:p w14:paraId="5DF5BCE7" w14:textId="77777777" w:rsidR="00553430" w:rsidRDefault="00212577">
      <w:pPr>
        <w:pStyle w:val="P68B1DB1-Normal57"/>
        <w:keepNext/>
        <w:tabs>
          <w:tab w:val="num" w:pos="284"/>
        </w:tabs>
        <w:spacing w:before="40" w:after="0"/>
        <w:jc w:val="both"/>
        <w:outlineLvl w:val="1"/>
        <w:rPr>
          <w:noProof/>
        </w:rPr>
      </w:pPr>
      <w:r>
        <w:rPr>
          <w:noProof/>
        </w:rPr>
        <w:t xml:space="preserve">T.2. </w:t>
      </w:r>
      <w:r>
        <w:rPr>
          <w:noProof/>
        </w:rPr>
        <w:tab/>
        <w:t>Étapes, cibles, indicateurs et calendrier pour le suivi et la mise en œuvre du soutien financier non remboursable</w:t>
      </w:r>
    </w:p>
    <w:p w14:paraId="375CDBBC" w14:textId="77777777" w:rsidR="00553430" w:rsidRDefault="00553430">
      <w:pPr>
        <w:keepNext/>
        <w:tabs>
          <w:tab w:val="num" w:pos="850"/>
        </w:tabs>
        <w:spacing w:before="40" w:after="0"/>
        <w:ind w:left="851"/>
        <w:jc w:val="both"/>
        <w:outlineLvl w:val="1"/>
        <w:rPr>
          <w:rFonts w:eastAsia="SimSun"/>
          <w:b/>
          <w:noProof/>
          <w:szCs w:val="24"/>
          <w:u w:val="single"/>
        </w:rPr>
      </w:pPr>
    </w:p>
    <w:tbl>
      <w:tblPr>
        <w:tblW w:w="14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006"/>
        <w:gridCol w:w="1272"/>
        <w:gridCol w:w="1080"/>
        <w:gridCol w:w="1680"/>
        <w:gridCol w:w="2040"/>
        <w:gridCol w:w="960"/>
        <w:gridCol w:w="1320"/>
        <w:gridCol w:w="1080"/>
        <w:gridCol w:w="1020"/>
        <w:gridCol w:w="709"/>
        <w:gridCol w:w="2639"/>
      </w:tblGrid>
      <w:tr w:rsidR="00553430" w14:paraId="60DA0824" w14:textId="77777777" w:rsidTr="00262866">
        <w:trPr>
          <w:trHeight w:val="634"/>
          <w:tblHeader/>
          <w:jc w:val="center"/>
        </w:trPr>
        <w:tc>
          <w:tcPr>
            <w:tcW w:w="1006" w:type="dxa"/>
            <w:vMerge w:val="restart"/>
            <w:shd w:val="clear" w:color="auto" w:fill="BDD7EE"/>
            <w:vAlign w:val="center"/>
            <w:hideMark/>
          </w:tcPr>
          <w:p w14:paraId="006691C5" w14:textId="77777777" w:rsidR="00553430" w:rsidRDefault="00212577">
            <w:pPr>
              <w:pStyle w:val="P68B1DB1-Normal58"/>
              <w:spacing w:after="0" w:line="276" w:lineRule="auto"/>
              <w:jc w:val="center"/>
              <w:rPr>
                <w:bCs/>
                <w:noProof/>
              </w:rPr>
            </w:pPr>
            <w:r>
              <w:rPr>
                <w:noProof/>
              </w:rPr>
              <w:t>Numéro</w:t>
            </w:r>
          </w:p>
        </w:tc>
        <w:tc>
          <w:tcPr>
            <w:tcW w:w="1272" w:type="dxa"/>
            <w:vMerge w:val="restart"/>
            <w:shd w:val="clear" w:color="auto" w:fill="BDD7EE"/>
            <w:vAlign w:val="center"/>
            <w:hideMark/>
          </w:tcPr>
          <w:p w14:paraId="79F2D734" w14:textId="77777777" w:rsidR="00553430" w:rsidRDefault="00212577">
            <w:pPr>
              <w:pStyle w:val="P68B1DB1-Normal58"/>
              <w:spacing w:after="0" w:line="276" w:lineRule="auto"/>
              <w:jc w:val="center"/>
              <w:rPr>
                <w:bCs/>
                <w:noProof/>
              </w:rPr>
            </w:pPr>
            <w:r>
              <w:rPr>
                <w:noProof/>
              </w:rPr>
              <w:t>Mesure</w:t>
            </w:r>
          </w:p>
        </w:tc>
        <w:tc>
          <w:tcPr>
            <w:tcW w:w="1080" w:type="dxa"/>
            <w:vMerge w:val="restart"/>
            <w:shd w:val="clear" w:color="auto" w:fill="BDD7EE"/>
            <w:vAlign w:val="center"/>
            <w:hideMark/>
          </w:tcPr>
          <w:p w14:paraId="7436DF46" w14:textId="77777777" w:rsidR="00553430" w:rsidRDefault="00212577">
            <w:pPr>
              <w:pStyle w:val="P68B1DB1-Normal58"/>
              <w:spacing w:after="0" w:line="276" w:lineRule="auto"/>
              <w:jc w:val="center"/>
              <w:rPr>
                <w:bCs/>
                <w:noProof/>
              </w:rPr>
            </w:pPr>
            <w:r>
              <w:rPr>
                <w:noProof/>
              </w:rPr>
              <w:t>Étape/cible</w:t>
            </w:r>
          </w:p>
        </w:tc>
        <w:tc>
          <w:tcPr>
            <w:tcW w:w="1680" w:type="dxa"/>
            <w:vMerge w:val="restart"/>
            <w:shd w:val="clear" w:color="auto" w:fill="BDD7EE"/>
            <w:vAlign w:val="center"/>
            <w:hideMark/>
          </w:tcPr>
          <w:p w14:paraId="7820728B" w14:textId="77777777" w:rsidR="00553430" w:rsidRDefault="00212577">
            <w:pPr>
              <w:pStyle w:val="P68B1DB1-Normal58"/>
              <w:spacing w:after="0" w:line="276" w:lineRule="auto"/>
              <w:jc w:val="center"/>
              <w:rPr>
                <w:bCs/>
                <w:noProof/>
              </w:rPr>
            </w:pPr>
            <w:r>
              <w:rPr>
                <w:noProof/>
              </w:rPr>
              <w:t>Nom</w:t>
            </w:r>
          </w:p>
        </w:tc>
        <w:tc>
          <w:tcPr>
            <w:tcW w:w="2040" w:type="dxa"/>
            <w:vMerge w:val="restart"/>
            <w:shd w:val="clear" w:color="auto" w:fill="BDD7EE"/>
            <w:vAlign w:val="center"/>
            <w:hideMark/>
          </w:tcPr>
          <w:p w14:paraId="0FD730EA"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qualitatifs</w:t>
            </w:r>
            <w:r>
              <w:rPr>
                <w:rFonts w:ascii="Times New Roman" w:eastAsia="Calibri" w:hAnsi="Times New Roman" w:cs="Times New Roman"/>
                <w:noProof/>
              </w:rPr>
              <w:br/>
            </w:r>
            <w:r>
              <w:rPr>
                <w:rFonts w:ascii="Times New Roman" w:eastAsia="Times New Roman" w:hAnsi="Times New Roman" w:cs="Times New Roman"/>
                <w:b/>
                <w:noProof/>
              </w:rPr>
              <w:t>(pour les jalons)</w:t>
            </w:r>
          </w:p>
        </w:tc>
        <w:tc>
          <w:tcPr>
            <w:tcW w:w="3360" w:type="dxa"/>
            <w:gridSpan w:val="3"/>
            <w:shd w:val="clear" w:color="auto" w:fill="BDD7EE"/>
            <w:vAlign w:val="center"/>
            <w:hideMark/>
          </w:tcPr>
          <w:p w14:paraId="4D7C4292"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eastAsia="Calibri" w:hAnsi="Times New Roman" w:cs="Times New Roman"/>
                <w:noProof/>
              </w:rPr>
              <w:br/>
            </w:r>
            <w:r>
              <w:rPr>
                <w:rFonts w:ascii="Times New Roman" w:eastAsia="Times New Roman" w:hAnsi="Times New Roman" w:cs="Times New Roman"/>
                <w:b/>
                <w:noProof/>
              </w:rPr>
              <w:t xml:space="preserve">(pour les </w:t>
            </w:r>
            <w:r>
              <w:rPr>
                <w:rFonts w:ascii="Times New Roman" w:eastAsia="Times New Roman" w:hAnsi="Times New Roman" w:cs="Times New Roman"/>
                <w:b/>
                <w:noProof/>
              </w:rPr>
              <w:t>objectifs)</w:t>
            </w:r>
          </w:p>
        </w:tc>
        <w:tc>
          <w:tcPr>
            <w:tcW w:w="1729" w:type="dxa"/>
            <w:gridSpan w:val="2"/>
            <w:shd w:val="clear" w:color="auto" w:fill="BDD7EE"/>
            <w:vAlign w:val="center"/>
            <w:hideMark/>
          </w:tcPr>
          <w:p w14:paraId="3312B268" w14:textId="77777777" w:rsidR="00553430" w:rsidRDefault="00212577">
            <w:pPr>
              <w:pStyle w:val="P68B1DB1-Normal58"/>
              <w:spacing w:after="0" w:line="276" w:lineRule="auto"/>
              <w:jc w:val="center"/>
              <w:rPr>
                <w:bCs/>
                <w:noProof/>
              </w:rPr>
            </w:pPr>
            <w:r>
              <w:rPr>
                <w:noProof/>
              </w:rPr>
              <w:t>Temps</w:t>
            </w:r>
          </w:p>
        </w:tc>
        <w:tc>
          <w:tcPr>
            <w:tcW w:w="2639" w:type="dxa"/>
            <w:vMerge w:val="restart"/>
            <w:shd w:val="clear" w:color="auto" w:fill="BDD7EE"/>
            <w:vAlign w:val="center"/>
            <w:hideMark/>
          </w:tcPr>
          <w:p w14:paraId="6F5311AD" w14:textId="77777777" w:rsidR="00553430" w:rsidRDefault="00212577">
            <w:pPr>
              <w:pStyle w:val="P68B1DB1-Normal58"/>
              <w:spacing w:after="0" w:line="276" w:lineRule="auto"/>
              <w:jc w:val="center"/>
              <w:rPr>
                <w:bCs/>
                <w:noProof/>
              </w:rPr>
            </w:pPr>
            <w:r>
              <w:rPr>
                <w:noProof/>
              </w:rPr>
              <w:t>Description de chaque jalon et cible</w:t>
            </w:r>
          </w:p>
        </w:tc>
      </w:tr>
      <w:tr w:rsidR="00553430" w14:paraId="70BB313A" w14:textId="77777777" w:rsidTr="00262866">
        <w:trPr>
          <w:trHeight w:val="502"/>
          <w:tblHeader/>
          <w:jc w:val="center"/>
        </w:trPr>
        <w:tc>
          <w:tcPr>
            <w:tcW w:w="1006" w:type="dxa"/>
            <w:vMerge/>
            <w:hideMark/>
          </w:tcPr>
          <w:p w14:paraId="2777354E"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272" w:type="dxa"/>
            <w:vMerge/>
            <w:hideMark/>
          </w:tcPr>
          <w:p w14:paraId="2344BE37"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80" w:type="dxa"/>
            <w:vMerge/>
            <w:hideMark/>
          </w:tcPr>
          <w:p w14:paraId="1F420565"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680" w:type="dxa"/>
            <w:vMerge/>
            <w:hideMark/>
          </w:tcPr>
          <w:p w14:paraId="42D5BD1F" w14:textId="77777777" w:rsidR="00553430" w:rsidRDefault="00553430">
            <w:pPr>
              <w:spacing w:after="0" w:line="276" w:lineRule="auto"/>
              <w:rPr>
                <w:rFonts w:ascii="Times New Roman" w:eastAsia="Times New Roman" w:hAnsi="Times New Roman" w:cs="Times New Roman"/>
                <w:b/>
                <w:noProof/>
                <w:sz w:val="20"/>
                <w:szCs w:val="20"/>
              </w:rPr>
            </w:pPr>
          </w:p>
        </w:tc>
        <w:tc>
          <w:tcPr>
            <w:tcW w:w="2040" w:type="dxa"/>
            <w:vMerge/>
            <w:hideMark/>
          </w:tcPr>
          <w:p w14:paraId="1CC52867" w14:textId="77777777" w:rsidR="00553430" w:rsidRDefault="00553430">
            <w:pPr>
              <w:spacing w:after="0" w:line="276" w:lineRule="auto"/>
              <w:rPr>
                <w:rFonts w:ascii="Times New Roman" w:eastAsia="Times New Roman" w:hAnsi="Times New Roman" w:cs="Times New Roman"/>
                <w:b/>
                <w:noProof/>
                <w:sz w:val="20"/>
                <w:szCs w:val="20"/>
              </w:rPr>
            </w:pPr>
          </w:p>
        </w:tc>
        <w:tc>
          <w:tcPr>
            <w:tcW w:w="960" w:type="dxa"/>
            <w:shd w:val="clear" w:color="auto" w:fill="BDD7EE"/>
            <w:vAlign w:val="center"/>
            <w:hideMark/>
          </w:tcPr>
          <w:p w14:paraId="52ABBE99" w14:textId="77777777" w:rsidR="00553430" w:rsidRDefault="00212577">
            <w:pPr>
              <w:pStyle w:val="P68B1DB1-Normal58"/>
              <w:spacing w:after="0" w:line="276" w:lineRule="auto"/>
              <w:jc w:val="center"/>
              <w:rPr>
                <w:bCs/>
                <w:noProof/>
              </w:rPr>
            </w:pPr>
            <w:r>
              <w:rPr>
                <w:noProof/>
              </w:rPr>
              <w:t>Unité</w:t>
            </w:r>
          </w:p>
        </w:tc>
        <w:tc>
          <w:tcPr>
            <w:tcW w:w="1320" w:type="dxa"/>
            <w:shd w:val="clear" w:color="auto" w:fill="BDD7EE"/>
            <w:vAlign w:val="center"/>
            <w:hideMark/>
          </w:tcPr>
          <w:p w14:paraId="21BBE2DA" w14:textId="77777777" w:rsidR="00553430" w:rsidRDefault="00212577">
            <w:pPr>
              <w:pStyle w:val="P68B1DB1-Normal58"/>
              <w:spacing w:after="0" w:line="276" w:lineRule="auto"/>
              <w:jc w:val="center"/>
              <w:rPr>
                <w:bCs/>
                <w:noProof/>
              </w:rPr>
            </w:pPr>
            <w:r>
              <w:rPr>
                <w:noProof/>
              </w:rPr>
              <w:t>Données de référence</w:t>
            </w:r>
          </w:p>
        </w:tc>
        <w:tc>
          <w:tcPr>
            <w:tcW w:w="1080" w:type="dxa"/>
            <w:shd w:val="clear" w:color="auto" w:fill="BDD7EE"/>
            <w:vAlign w:val="center"/>
            <w:hideMark/>
          </w:tcPr>
          <w:p w14:paraId="3FFA94EB" w14:textId="77777777" w:rsidR="00553430" w:rsidRDefault="00212577">
            <w:pPr>
              <w:pStyle w:val="P68B1DB1-Normal58"/>
              <w:spacing w:after="0" w:line="276" w:lineRule="auto"/>
              <w:jc w:val="center"/>
              <w:rPr>
                <w:bCs/>
                <w:noProof/>
              </w:rPr>
            </w:pPr>
            <w:r>
              <w:rPr>
                <w:noProof/>
              </w:rPr>
              <w:t>Objectif</w:t>
            </w:r>
          </w:p>
        </w:tc>
        <w:tc>
          <w:tcPr>
            <w:tcW w:w="1020" w:type="dxa"/>
            <w:shd w:val="clear" w:color="auto" w:fill="BDD7EE"/>
            <w:vAlign w:val="center"/>
            <w:hideMark/>
          </w:tcPr>
          <w:p w14:paraId="0B2FDF67" w14:textId="77777777" w:rsidR="00553430" w:rsidRDefault="00212577">
            <w:pPr>
              <w:pStyle w:val="P68B1DB1-Normal58"/>
              <w:spacing w:after="0" w:line="276" w:lineRule="auto"/>
              <w:jc w:val="center"/>
              <w:rPr>
                <w:bCs/>
                <w:noProof/>
              </w:rPr>
            </w:pPr>
            <w:r>
              <w:rPr>
                <w:noProof/>
              </w:rPr>
              <w:t>Trimestre</w:t>
            </w:r>
          </w:p>
        </w:tc>
        <w:tc>
          <w:tcPr>
            <w:tcW w:w="709" w:type="dxa"/>
            <w:shd w:val="clear" w:color="auto" w:fill="BDD7EE"/>
            <w:vAlign w:val="center"/>
            <w:hideMark/>
          </w:tcPr>
          <w:p w14:paraId="469A38B3" w14:textId="77777777" w:rsidR="00553430" w:rsidRDefault="00212577">
            <w:pPr>
              <w:pStyle w:val="P68B1DB1-Normal58"/>
              <w:spacing w:after="0" w:line="276" w:lineRule="auto"/>
              <w:jc w:val="center"/>
              <w:rPr>
                <w:bCs/>
                <w:noProof/>
              </w:rPr>
            </w:pPr>
            <w:r>
              <w:rPr>
                <w:noProof/>
              </w:rPr>
              <w:t>Année</w:t>
            </w:r>
          </w:p>
        </w:tc>
        <w:tc>
          <w:tcPr>
            <w:tcW w:w="2639" w:type="dxa"/>
            <w:vMerge/>
            <w:hideMark/>
          </w:tcPr>
          <w:p w14:paraId="257E1368"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3D2030D5" w14:textId="77777777" w:rsidTr="00262866">
        <w:trPr>
          <w:trHeight w:val="282"/>
          <w:jc w:val="center"/>
        </w:trPr>
        <w:tc>
          <w:tcPr>
            <w:tcW w:w="1006" w:type="dxa"/>
            <w:shd w:val="clear" w:color="auto" w:fill="C6EFCE"/>
            <w:noWrap/>
          </w:tcPr>
          <w:p w14:paraId="585C83F7" w14:textId="77777777" w:rsidR="00553430" w:rsidRDefault="00212577">
            <w:pPr>
              <w:pStyle w:val="P68B1DB1-Normal66"/>
              <w:spacing w:after="0" w:line="276" w:lineRule="auto"/>
              <w:jc w:val="center"/>
              <w:rPr>
                <w:noProof/>
              </w:rPr>
            </w:pPr>
            <w:r>
              <w:rPr>
                <w:noProof/>
              </w:rPr>
              <w:t>302</w:t>
            </w:r>
          </w:p>
        </w:tc>
        <w:tc>
          <w:tcPr>
            <w:tcW w:w="1272" w:type="dxa"/>
            <w:shd w:val="clear" w:color="auto" w:fill="C6EFCE"/>
            <w:noWrap/>
          </w:tcPr>
          <w:p w14:paraId="703F8B58" w14:textId="77777777" w:rsidR="00553430" w:rsidRDefault="00212577">
            <w:pPr>
              <w:pStyle w:val="P68B1DB1-Normal66"/>
              <w:spacing w:after="200" w:line="276" w:lineRule="auto"/>
              <w:jc w:val="center"/>
              <w:rPr>
                <w:noProof/>
              </w:rPr>
            </w:pPr>
            <w:r>
              <w:rPr>
                <w:noProof/>
              </w:rPr>
              <w:t>C4.3. R1</w:t>
            </w:r>
          </w:p>
        </w:tc>
        <w:tc>
          <w:tcPr>
            <w:tcW w:w="1080" w:type="dxa"/>
            <w:shd w:val="clear" w:color="auto" w:fill="C6EFCE"/>
            <w:noWrap/>
          </w:tcPr>
          <w:p w14:paraId="50D1AF65" w14:textId="77777777" w:rsidR="00553430" w:rsidRDefault="00212577">
            <w:pPr>
              <w:pStyle w:val="P68B1DB1-Normal66"/>
              <w:spacing w:after="200" w:line="276" w:lineRule="auto"/>
              <w:jc w:val="center"/>
              <w:rPr>
                <w:noProof/>
              </w:rPr>
            </w:pPr>
            <w:r>
              <w:rPr>
                <w:noProof/>
              </w:rPr>
              <w:t>M</w:t>
            </w:r>
          </w:p>
        </w:tc>
        <w:tc>
          <w:tcPr>
            <w:tcW w:w="1680" w:type="dxa"/>
            <w:shd w:val="clear" w:color="auto" w:fill="C6EFCE"/>
            <w:noWrap/>
          </w:tcPr>
          <w:p w14:paraId="17429C6C" w14:textId="77777777" w:rsidR="00553430" w:rsidRDefault="00212577">
            <w:pPr>
              <w:pStyle w:val="P68B1DB1-Normal66"/>
              <w:spacing w:after="200" w:line="276" w:lineRule="auto"/>
              <w:rPr>
                <w:noProof/>
              </w:rPr>
            </w:pPr>
            <w:r>
              <w:rPr>
                <w:noProof/>
              </w:rPr>
              <w:t>Adoption du plan national de lutte contre la pauvreté et l’exclusion sociale 2021-2027</w:t>
            </w:r>
          </w:p>
        </w:tc>
        <w:tc>
          <w:tcPr>
            <w:tcW w:w="2040" w:type="dxa"/>
            <w:shd w:val="clear" w:color="auto" w:fill="C6EFCE"/>
            <w:noWrap/>
          </w:tcPr>
          <w:p w14:paraId="71778FD5" w14:textId="03963350" w:rsidR="00553430" w:rsidRDefault="00212577">
            <w:pPr>
              <w:pStyle w:val="P68B1DB1-Normal66"/>
              <w:spacing w:after="200" w:line="276" w:lineRule="auto"/>
              <w:rPr>
                <w:noProof/>
              </w:rPr>
            </w:pPr>
            <w:r>
              <w:rPr>
                <w:noProof/>
              </w:rPr>
              <w:t xml:space="preserve">Adoption du plan national de lutte </w:t>
            </w:r>
            <w:r>
              <w:rPr>
                <w:noProof/>
              </w:rPr>
              <w:t>contre la pauvreté et l’exclusion sociale pour la période 2021-2027</w:t>
            </w:r>
          </w:p>
        </w:tc>
        <w:tc>
          <w:tcPr>
            <w:tcW w:w="960" w:type="dxa"/>
            <w:shd w:val="clear" w:color="auto" w:fill="C6EFCE"/>
            <w:noWrap/>
          </w:tcPr>
          <w:p w14:paraId="12D5CBDA" w14:textId="77777777" w:rsidR="00553430" w:rsidRDefault="00212577">
            <w:pPr>
              <w:pStyle w:val="P68B1DB1-Normal66"/>
              <w:spacing w:after="200" w:line="276" w:lineRule="auto"/>
              <w:jc w:val="center"/>
              <w:rPr>
                <w:noProof/>
              </w:rPr>
            </w:pPr>
            <w:r>
              <w:rPr>
                <w:noProof/>
              </w:rPr>
              <w:t> </w:t>
            </w:r>
          </w:p>
        </w:tc>
        <w:tc>
          <w:tcPr>
            <w:tcW w:w="1320" w:type="dxa"/>
            <w:shd w:val="clear" w:color="auto" w:fill="C6EFCE"/>
            <w:noWrap/>
          </w:tcPr>
          <w:p w14:paraId="2EFA2C35" w14:textId="77777777" w:rsidR="00553430" w:rsidRDefault="00212577">
            <w:pPr>
              <w:pStyle w:val="P68B1DB1-Normal66"/>
              <w:spacing w:after="200" w:line="276" w:lineRule="auto"/>
              <w:rPr>
                <w:noProof/>
              </w:rPr>
            </w:pPr>
            <w:r>
              <w:rPr>
                <w:noProof/>
              </w:rPr>
              <w:t> </w:t>
            </w:r>
          </w:p>
        </w:tc>
        <w:tc>
          <w:tcPr>
            <w:tcW w:w="1080" w:type="dxa"/>
            <w:shd w:val="clear" w:color="auto" w:fill="C6EFCE"/>
            <w:noWrap/>
          </w:tcPr>
          <w:p w14:paraId="4E7EC811" w14:textId="77777777" w:rsidR="00553430" w:rsidRDefault="00212577">
            <w:pPr>
              <w:pStyle w:val="P68B1DB1-Normal66"/>
              <w:spacing w:after="200" w:line="276" w:lineRule="auto"/>
              <w:jc w:val="center"/>
              <w:rPr>
                <w:noProof/>
              </w:rPr>
            </w:pPr>
            <w:r>
              <w:rPr>
                <w:noProof/>
              </w:rPr>
              <w:t> </w:t>
            </w:r>
          </w:p>
        </w:tc>
        <w:tc>
          <w:tcPr>
            <w:tcW w:w="1020" w:type="dxa"/>
            <w:shd w:val="clear" w:color="auto" w:fill="C6EFCE"/>
            <w:noWrap/>
          </w:tcPr>
          <w:p w14:paraId="70CE13B5" w14:textId="77777777" w:rsidR="00553430" w:rsidRDefault="00212577">
            <w:pPr>
              <w:pStyle w:val="P68B1DB1-Normal66"/>
              <w:spacing w:after="200" w:line="276" w:lineRule="auto"/>
              <w:jc w:val="center"/>
              <w:rPr>
                <w:noProof/>
              </w:rPr>
            </w:pPr>
            <w:r>
              <w:rPr>
                <w:noProof/>
              </w:rPr>
              <w:t>T4</w:t>
            </w:r>
          </w:p>
        </w:tc>
        <w:tc>
          <w:tcPr>
            <w:tcW w:w="709" w:type="dxa"/>
            <w:shd w:val="clear" w:color="auto" w:fill="C6EFCE"/>
            <w:noWrap/>
          </w:tcPr>
          <w:p w14:paraId="2CD6F74C" w14:textId="77777777" w:rsidR="00553430" w:rsidRDefault="00212577">
            <w:pPr>
              <w:pStyle w:val="P68B1DB1-Normal66"/>
              <w:spacing w:after="200" w:line="276" w:lineRule="auto"/>
              <w:jc w:val="center"/>
              <w:rPr>
                <w:noProof/>
              </w:rPr>
            </w:pPr>
            <w:r>
              <w:rPr>
                <w:noProof/>
              </w:rPr>
              <w:t>2021</w:t>
            </w:r>
          </w:p>
        </w:tc>
        <w:tc>
          <w:tcPr>
            <w:tcW w:w="2639" w:type="dxa"/>
            <w:shd w:val="clear" w:color="auto" w:fill="C6EFCE"/>
            <w:noWrap/>
          </w:tcPr>
          <w:p w14:paraId="4DD9F1DB" w14:textId="77777777" w:rsidR="00553430" w:rsidRDefault="00212577">
            <w:pPr>
              <w:pStyle w:val="P68B1DB1-Normal66"/>
              <w:spacing w:after="200" w:line="276" w:lineRule="auto"/>
              <w:rPr>
                <w:noProof/>
              </w:rPr>
            </w:pPr>
            <w:r>
              <w:rPr>
                <w:noProof/>
              </w:rPr>
              <w:t xml:space="preserve">Plan national de lutte contre la pauvreté et l’exclusion sociale adopté pour la période 2021-2027, qui: </w:t>
            </w:r>
            <w:r>
              <w:rPr>
                <w:noProof/>
              </w:rPr>
              <w:br/>
            </w:r>
            <w:r>
              <w:rPr>
                <w:noProof/>
              </w:rPr>
              <w:br/>
              <w:t>- Définir l’objectif de réduction du taux de risque de pauvreté à mo</w:t>
            </w:r>
            <w:r>
              <w:rPr>
                <w:noProof/>
              </w:rPr>
              <w:t>ins de 15 % par rapport à un niveau de référence de 18,3 % pour 2019 et le plan de mise en œuvre;</w:t>
            </w:r>
            <w:r>
              <w:rPr>
                <w:noProof/>
              </w:rPr>
              <w:br/>
              <w:t>- Garantir des conditions permettant de réduire efficacement la pauvreté et l’exclusion sociale et d’améliorer la vie quotidienne des personnes exposées au ri</w:t>
            </w:r>
            <w:r>
              <w:rPr>
                <w:noProof/>
              </w:rPr>
              <w:t>sque de pauvreté, ainsi que de celles qui connaissent une privation matérielle grave.</w:t>
            </w:r>
            <w:r>
              <w:rPr>
                <w:noProof/>
              </w:rPr>
              <w:br/>
              <w:t>Identifier les priorités de développement pour la lutte contre la pauvreté et l'exclusion sociale et identifier les besoins liés aux groupes vulnérables dans les systèmes</w:t>
            </w:r>
            <w:r>
              <w:rPr>
                <w:noProof/>
              </w:rPr>
              <w:t>.</w:t>
            </w:r>
          </w:p>
        </w:tc>
      </w:tr>
      <w:tr w:rsidR="00553430" w14:paraId="5E3FD3C7" w14:textId="77777777" w:rsidTr="00262866">
        <w:trPr>
          <w:trHeight w:val="282"/>
          <w:jc w:val="center"/>
        </w:trPr>
        <w:tc>
          <w:tcPr>
            <w:tcW w:w="1006" w:type="dxa"/>
            <w:shd w:val="clear" w:color="auto" w:fill="C6EFCE"/>
            <w:noWrap/>
          </w:tcPr>
          <w:p w14:paraId="16FE1FCB" w14:textId="77777777" w:rsidR="00553430" w:rsidRDefault="00212577">
            <w:pPr>
              <w:pStyle w:val="P68B1DB1-Normal66"/>
              <w:spacing w:after="200" w:line="276" w:lineRule="auto"/>
              <w:jc w:val="center"/>
              <w:rPr>
                <w:noProof/>
              </w:rPr>
            </w:pPr>
            <w:r>
              <w:rPr>
                <w:noProof/>
              </w:rPr>
              <w:t>303</w:t>
            </w:r>
          </w:p>
        </w:tc>
        <w:tc>
          <w:tcPr>
            <w:tcW w:w="1272" w:type="dxa"/>
            <w:shd w:val="clear" w:color="auto" w:fill="C6EFCE"/>
            <w:noWrap/>
          </w:tcPr>
          <w:p w14:paraId="2E165C01" w14:textId="77777777" w:rsidR="00553430" w:rsidRDefault="00212577">
            <w:pPr>
              <w:pStyle w:val="P68B1DB1-Normal66"/>
              <w:spacing w:after="200" w:line="276" w:lineRule="auto"/>
              <w:jc w:val="center"/>
              <w:rPr>
                <w:noProof/>
              </w:rPr>
            </w:pPr>
            <w:r>
              <w:rPr>
                <w:noProof/>
              </w:rPr>
              <w:t>C4.3. R1</w:t>
            </w:r>
          </w:p>
        </w:tc>
        <w:tc>
          <w:tcPr>
            <w:tcW w:w="1080" w:type="dxa"/>
            <w:shd w:val="clear" w:color="auto" w:fill="C6EFCE"/>
            <w:noWrap/>
          </w:tcPr>
          <w:p w14:paraId="2AD4611D" w14:textId="77777777" w:rsidR="00553430" w:rsidRDefault="00212577">
            <w:pPr>
              <w:pStyle w:val="P68B1DB1-Normal66"/>
              <w:spacing w:after="200" w:line="276" w:lineRule="auto"/>
              <w:jc w:val="center"/>
              <w:rPr>
                <w:noProof/>
              </w:rPr>
            </w:pPr>
            <w:r>
              <w:rPr>
                <w:noProof/>
              </w:rPr>
              <w:t>M</w:t>
            </w:r>
          </w:p>
        </w:tc>
        <w:tc>
          <w:tcPr>
            <w:tcW w:w="1680" w:type="dxa"/>
            <w:shd w:val="clear" w:color="auto" w:fill="C6EFCE"/>
            <w:noWrap/>
          </w:tcPr>
          <w:p w14:paraId="309E6BB4" w14:textId="77777777" w:rsidR="00553430" w:rsidRDefault="00212577">
            <w:pPr>
              <w:pStyle w:val="P68B1DB1-Normal66"/>
              <w:spacing w:after="200" w:line="276" w:lineRule="auto"/>
              <w:rPr>
                <w:noProof/>
              </w:rPr>
            </w:pPr>
            <w:r>
              <w:rPr>
                <w:noProof/>
              </w:rPr>
              <w:t>Adoption de la nouvelle loi sur la protection sociale</w:t>
            </w:r>
          </w:p>
        </w:tc>
        <w:tc>
          <w:tcPr>
            <w:tcW w:w="2040" w:type="dxa"/>
            <w:shd w:val="clear" w:color="auto" w:fill="C6EFCE"/>
            <w:noWrap/>
          </w:tcPr>
          <w:p w14:paraId="4896ADE2" w14:textId="77777777" w:rsidR="00553430" w:rsidRDefault="00212577">
            <w:pPr>
              <w:pStyle w:val="P68B1DB1-Normal66"/>
              <w:spacing w:after="200" w:line="276" w:lineRule="auto"/>
              <w:rPr>
                <w:noProof/>
              </w:rPr>
            </w:pPr>
            <w:r>
              <w:rPr>
                <w:noProof/>
              </w:rPr>
              <w:t>Entrée en vigueur de la nouvelle loi sur la protection sociale</w:t>
            </w:r>
          </w:p>
        </w:tc>
        <w:tc>
          <w:tcPr>
            <w:tcW w:w="960" w:type="dxa"/>
            <w:shd w:val="clear" w:color="auto" w:fill="C6EFCE"/>
            <w:noWrap/>
          </w:tcPr>
          <w:p w14:paraId="57999A9B" w14:textId="77777777" w:rsidR="00553430" w:rsidRDefault="00212577">
            <w:pPr>
              <w:pStyle w:val="P68B1DB1-Normal66"/>
              <w:spacing w:after="200" w:line="276" w:lineRule="auto"/>
              <w:jc w:val="center"/>
              <w:rPr>
                <w:noProof/>
              </w:rPr>
            </w:pPr>
            <w:r>
              <w:rPr>
                <w:noProof/>
              </w:rPr>
              <w:t> </w:t>
            </w:r>
          </w:p>
        </w:tc>
        <w:tc>
          <w:tcPr>
            <w:tcW w:w="1320" w:type="dxa"/>
            <w:shd w:val="clear" w:color="auto" w:fill="C6EFCE"/>
            <w:noWrap/>
          </w:tcPr>
          <w:p w14:paraId="3ACD0E8A" w14:textId="77777777" w:rsidR="00553430" w:rsidRDefault="00553430">
            <w:pPr>
              <w:spacing w:after="200" w:line="276" w:lineRule="auto"/>
              <w:rPr>
                <w:rFonts w:ascii="Times New Roman" w:eastAsia="Calibri" w:hAnsi="Times New Roman" w:cs="Times New Roman"/>
                <w:noProof/>
                <w:sz w:val="20"/>
                <w:szCs w:val="20"/>
              </w:rPr>
            </w:pPr>
          </w:p>
        </w:tc>
        <w:tc>
          <w:tcPr>
            <w:tcW w:w="1080" w:type="dxa"/>
            <w:shd w:val="clear" w:color="auto" w:fill="C6EFCE"/>
            <w:noWrap/>
          </w:tcPr>
          <w:p w14:paraId="67B3A2FD" w14:textId="77777777" w:rsidR="00553430" w:rsidRDefault="00212577">
            <w:pPr>
              <w:pStyle w:val="P68B1DB1-Normal66"/>
              <w:spacing w:after="200" w:line="276" w:lineRule="auto"/>
              <w:jc w:val="center"/>
              <w:rPr>
                <w:noProof/>
              </w:rPr>
            </w:pPr>
            <w:r>
              <w:rPr>
                <w:noProof/>
              </w:rPr>
              <w:t> </w:t>
            </w:r>
          </w:p>
        </w:tc>
        <w:tc>
          <w:tcPr>
            <w:tcW w:w="1020" w:type="dxa"/>
            <w:shd w:val="clear" w:color="auto" w:fill="C6EFCE"/>
            <w:noWrap/>
          </w:tcPr>
          <w:p w14:paraId="7180C276" w14:textId="77777777" w:rsidR="00553430" w:rsidRDefault="00212577">
            <w:pPr>
              <w:pStyle w:val="P68B1DB1-Normal66"/>
              <w:spacing w:after="200" w:line="276" w:lineRule="auto"/>
              <w:jc w:val="center"/>
              <w:rPr>
                <w:noProof/>
              </w:rPr>
            </w:pPr>
            <w:r>
              <w:rPr>
                <w:noProof/>
              </w:rPr>
              <w:t>T1</w:t>
            </w:r>
          </w:p>
        </w:tc>
        <w:tc>
          <w:tcPr>
            <w:tcW w:w="709" w:type="dxa"/>
            <w:shd w:val="clear" w:color="auto" w:fill="C6EFCE"/>
            <w:noWrap/>
          </w:tcPr>
          <w:p w14:paraId="73B1210D" w14:textId="77777777" w:rsidR="00553430" w:rsidRDefault="00212577">
            <w:pPr>
              <w:pStyle w:val="P68B1DB1-Normal66"/>
              <w:spacing w:after="200" w:line="276" w:lineRule="auto"/>
              <w:jc w:val="center"/>
              <w:rPr>
                <w:noProof/>
              </w:rPr>
            </w:pPr>
            <w:r>
              <w:rPr>
                <w:noProof/>
              </w:rPr>
              <w:t>2022</w:t>
            </w:r>
          </w:p>
        </w:tc>
        <w:tc>
          <w:tcPr>
            <w:tcW w:w="2639" w:type="dxa"/>
            <w:shd w:val="clear" w:color="auto" w:fill="C6EFCE"/>
            <w:noWrap/>
          </w:tcPr>
          <w:p w14:paraId="6D4DD70C" w14:textId="77777777" w:rsidR="00553430" w:rsidRDefault="00212577">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 xml:space="preserve">La nouvelle loi sur la protection sociale introduit les modifications suivantes: </w:t>
            </w:r>
            <w:r>
              <w:rPr>
                <w:rFonts w:ascii="Times New Roman" w:hAnsi="Times New Roman" w:cs="Times New Roman"/>
                <w:noProof/>
              </w:rPr>
              <w:br/>
            </w:r>
            <w:r>
              <w:rPr>
                <w:rFonts w:ascii="Times New Roman" w:eastAsia="Calibri" w:hAnsi="Times New Roman" w:cs="Times New Roman"/>
                <w:noProof/>
                <w:color w:val="000000" w:themeColor="text1"/>
              </w:rPr>
              <w:t xml:space="preserve">- Combiner les frais de </w:t>
            </w:r>
            <w:r>
              <w:rPr>
                <w:rFonts w:ascii="Times New Roman" w:eastAsia="Calibri" w:hAnsi="Times New Roman" w:cs="Times New Roman"/>
                <w:noProof/>
                <w:color w:val="000000" w:themeColor="text1"/>
              </w:rPr>
              <w:t>logement existants et les indemnités de chauffage en une seule indemnité intégrée;</w:t>
            </w:r>
            <w:r>
              <w:rPr>
                <w:rFonts w:ascii="Times New Roman" w:hAnsi="Times New Roman" w:cs="Times New Roman"/>
                <w:noProof/>
              </w:rPr>
              <w:br/>
            </w:r>
            <w:r>
              <w:rPr>
                <w:rFonts w:ascii="Times New Roman" w:eastAsia="Calibri" w:hAnsi="Times New Roman" w:cs="Times New Roman"/>
                <w:noProof/>
                <w:color w:val="000000" w:themeColor="text1"/>
              </w:rPr>
              <w:t>- La disposition relative à l’allocation minimale garantie est modifiée en portant le montant de base à 1 000 HRK et en augmentant d’au moins 25 % pour les ménages avec enfa</w:t>
            </w:r>
            <w:r>
              <w:rPr>
                <w:rFonts w:ascii="Times New Roman" w:eastAsia="Calibri" w:hAnsi="Times New Roman" w:cs="Times New Roman"/>
                <w:noProof/>
                <w:color w:val="000000" w:themeColor="text1"/>
              </w:rPr>
              <w:t xml:space="preserve">nts en assouplissant les critères d’éligibilité les plus difficiles, y compris une augmentation du seuil de revenu à 1 000 HRK; </w:t>
            </w:r>
            <w:r>
              <w:rPr>
                <w:rFonts w:ascii="Times New Roman" w:hAnsi="Times New Roman" w:cs="Times New Roman"/>
                <w:noProof/>
              </w:rPr>
              <w:br/>
            </w:r>
            <w:r>
              <w:rPr>
                <w:rFonts w:ascii="Times New Roman" w:eastAsia="Calibri" w:hAnsi="Times New Roman" w:cs="Times New Roman"/>
                <w:noProof/>
                <w:color w:val="000000" w:themeColor="text1"/>
              </w:rPr>
              <w:t>- Introduction d'un nouveau service de mentorat social;</w:t>
            </w:r>
            <w:r>
              <w:rPr>
                <w:rFonts w:ascii="Times New Roman" w:hAnsi="Times New Roman" w:cs="Times New Roman"/>
                <w:noProof/>
              </w:rPr>
              <w:br/>
            </w:r>
            <w:r>
              <w:rPr>
                <w:rFonts w:ascii="Times New Roman" w:eastAsia="Calibri" w:hAnsi="Times New Roman" w:cs="Times New Roman"/>
                <w:noProof/>
                <w:color w:val="000000" w:themeColor="text1"/>
              </w:rPr>
              <w:t>- les changements structurels introduits dans les soins de longue durée</w:t>
            </w:r>
            <w:r>
              <w:rPr>
                <w:rFonts w:ascii="Times New Roman" w:eastAsia="Calibri" w:hAnsi="Times New Roman" w:cs="Times New Roman"/>
                <w:noProof/>
                <w:color w:val="000000" w:themeColor="text1"/>
              </w:rPr>
              <w:t xml:space="preserve"> afin de faciliter la désinstitutionnalisation et la transition vers des services à domicile et de proximité;</w:t>
            </w:r>
            <w:r>
              <w:rPr>
                <w:rFonts w:ascii="Times New Roman" w:hAnsi="Times New Roman" w:cs="Times New Roman"/>
                <w:noProof/>
              </w:rPr>
              <w:br/>
            </w:r>
            <w:r>
              <w:rPr>
                <w:rFonts w:ascii="Times New Roman" w:eastAsia="Calibri" w:hAnsi="Times New Roman" w:cs="Times New Roman"/>
                <w:noProof/>
                <w:color w:val="000000" w:themeColor="text1"/>
              </w:rPr>
              <w:t>- Disposition imposant la coopération et l’échange régulier d’informations entre les institutions fournissant des services sociaux et des prestati</w:t>
            </w:r>
            <w:r>
              <w:rPr>
                <w:rFonts w:ascii="Times New Roman" w:eastAsia="Calibri" w:hAnsi="Times New Roman" w:cs="Times New Roman"/>
                <w:noProof/>
                <w:color w:val="000000" w:themeColor="text1"/>
              </w:rPr>
              <w:t>ons sociales afin d’assurer une approche coordonnée de l’ensemble des services fournis.</w:t>
            </w:r>
          </w:p>
        </w:tc>
      </w:tr>
      <w:tr w:rsidR="00553430" w14:paraId="17469CB3" w14:textId="77777777" w:rsidTr="00262866">
        <w:trPr>
          <w:trHeight w:val="282"/>
          <w:jc w:val="center"/>
        </w:trPr>
        <w:tc>
          <w:tcPr>
            <w:tcW w:w="1006" w:type="dxa"/>
            <w:shd w:val="clear" w:color="auto" w:fill="C6EFCE"/>
            <w:noWrap/>
          </w:tcPr>
          <w:p w14:paraId="51AC7333" w14:textId="77777777" w:rsidR="00553430" w:rsidRDefault="00212577">
            <w:pPr>
              <w:pStyle w:val="P68B1DB1-Normal66"/>
              <w:spacing w:after="200" w:line="276" w:lineRule="auto"/>
              <w:jc w:val="center"/>
              <w:rPr>
                <w:noProof/>
              </w:rPr>
            </w:pPr>
            <w:r>
              <w:rPr>
                <w:noProof/>
              </w:rPr>
              <w:t>304</w:t>
            </w:r>
          </w:p>
        </w:tc>
        <w:tc>
          <w:tcPr>
            <w:tcW w:w="1272" w:type="dxa"/>
            <w:shd w:val="clear" w:color="auto" w:fill="C6EFCE"/>
            <w:noWrap/>
          </w:tcPr>
          <w:p w14:paraId="5FCC59AC" w14:textId="77777777" w:rsidR="00553430" w:rsidRDefault="00212577">
            <w:pPr>
              <w:pStyle w:val="P68B1DB1-Normal66"/>
              <w:spacing w:after="200" w:line="276" w:lineRule="auto"/>
              <w:jc w:val="center"/>
              <w:rPr>
                <w:noProof/>
              </w:rPr>
            </w:pPr>
            <w:r>
              <w:rPr>
                <w:noProof/>
              </w:rPr>
              <w:t>C4.3. R1</w:t>
            </w:r>
          </w:p>
        </w:tc>
        <w:tc>
          <w:tcPr>
            <w:tcW w:w="1080" w:type="dxa"/>
            <w:shd w:val="clear" w:color="auto" w:fill="C6EFCE"/>
            <w:noWrap/>
          </w:tcPr>
          <w:p w14:paraId="3D98F5C6" w14:textId="77777777" w:rsidR="00553430" w:rsidRDefault="00212577">
            <w:pPr>
              <w:pStyle w:val="P68B1DB1-Normal66"/>
              <w:spacing w:after="200" w:line="276" w:lineRule="auto"/>
              <w:jc w:val="center"/>
              <w:rPr>
                <w:noProof/>
              </w:rPr>
            </w:pPr>
            <w:r>
              <w:rPr>
                <w:noProof/>
              </w:rPr>
              <w:t>T</w:t>
            </w:r>
          </w:p>
        </w:tc>
        <w:tc>
          <w:tcPr>
            <w:tcW w:w="1680" w:type="dxa"/>
            <w:shd w:val="clear" w:color="auto" w:fill="C6EFCE"/>
            <w:noWrap/>
          </w:tcPr>
          <w:p w14:paraId="3019820D" w14:textId="77777777" w:rsidR="00553430" w:rsidRDefault="00212577">
            <w:pPr>
              <w:pStyle w:val="P68B1DB1-Normal66"/>
              <w:spacing w:after="200" w:line="276" w:lineRule="auto"/>
              <w:rPr>
                <w:noProof/>
                <w:color w:val="000000" w:themeColor="text1"/>
              </w:rPr>
            </w:pPr>
            <w:r>
              <w:rPr>
                <w:noProof/>
              </w:rPr>
              <w:t xml:space="preserve">Bénéficiaires de la prestation minimale garantie et de l’indemnisation nationale des personnes âgées </w:t>
            </w:r>
          </w:p>
        </w:tc>
        <w:tc>
          <w:tcPr>
            <w:tcW w:w="2040" w:type="dxa"/>
            <w:shd w:val="clear" w:color="auto" w:fill="C6EFCE"/>
            <w:noWrap/>
          </w:tcPr>
          <w:p w14:paraId="5D9EED62" w14:textId="77777777" w:rsidR="00553430" w:rsidRDefault="00212577">
            <w:pPr>
              <w:pStyle w:val="P68B1DB1-Normal66"/>
              <w:spacing w:after="200" w:line="276" w:lineRule="auto"/>
              <w:rPr>
                <w:noProof/>
              </w:rPr>
            </w:pPr>
            <w:r>
              <w:rPr>
                <w:noProof/>
              </w:rPr>
              <w:t> </w:t>
            </w:r>
          </w:p>
        </w:tc>
        <w:tc>
          <w:tcPr>
            <w:tcW w:w="960" w:type="dxa"/>
            <w:shd w:val="clear" w:color="auto" w:fill="C6EFCE"/>
            <w:noWrap/>
          </w:tcPr>
          <w:p w14:paraId="3505BF70" w14:textId="77777777" w:rsidR="00553430" w:rsidRDefault="00212577">
            <w:pPr>
              <w:pStyle w:val="P68B1DB1-Normal66"/>
              <w:spacing w:after="200" w:line="276" w:lineRule="auto"/>
              <w:jc w:val="center"/>
              <w:rPr>
                <w:noProof/>
              </w:rPr>
            </w:pPr>
            <w:r>
              <w:rPr>
                <w:noProof/>
              </w:rPr>
              <w:t>Numéro</w:t>
            </w:r>
          </w:p>
        </w:tc>
        <w:tc>
          <w:tcPr>
            <w:tcW w:w="1320" w:type="dxa"/>
            <w:shd w:val="clear" w:color="auto" w:fill="C6EFCE"/>
            <w:noWrap/>
          </w:tcPr>
          <w:p w14:paraId="388E08AD" w14:textId="1DB338AD" w:rsidR="00553430" w:rsidRDefault="00212577">
            <w:pPr>
              <w:pStyle w:val="P68B1DB1-Normal66"/>
              <w:spacing w:after="200" w:line="276" w:lineRule="auto"/>
              <w:jc w:val="center"/>
              <w:rPr>
                <w:noProof/>
              </w:rPr>
            </w:pPr>
            <w:r>
              <w:rPr>
                <w:noProof/>
              </w:rPr>
              <w:t>66 890</w:t>
            </w:r>
          </w:p>
          <w:p w14:paraId="3BEF9849" w14:textId="47185505" w:rsidR="00553430" w:rsidRDefault="00553430">
            <w:pPr>
              <w:spacing w:after="200" w:line="276" w:lineRule="auto"/>
              <w:jc w:val="center"/>
              <w:rPr>
                <w:rFonts w:ascii="Times New Roman" w:eastAsia="Calibri" w:hAnsi="Times New Roman" w:cs="Times New Roman"/>
                <w:noProof/>
                <w:sz w:val="20"/>
                <w:szCs w:val="20"/>
              </w:rPr>
            </w:pPr>
          </w:p>
        </w:tc>
        <w:tc>
          <w:tcPr>
            <w:tcW w:w="1080" w:type="dxa"/>
            <w:shd w:val="clear" w:color="auto" w:fill="C6EFCE"/>
            <w:noWrap/>
          </w:tcPr>
          <w:p w14:paraId="71B1EE46" w14:textId="77777777" w:rsidR="00553430" w:rsidRDefault="00212577">
            <w:pPr>
              <w:pStyle w:val="P68B1DB1-Normal66"/>
              <w:spacing w:after="200" w:line="276" w:lineRule="auto"/>
              <w:jc w:val="center"/>
              <w:rPr>
                <w:noProof/>
              </w:rPr>
            </w:pPr>
            <w:r>
              <w:rPr>
                <w:noProof/>
              </w:rPr>
              <w:t>68 000</w:t>
            </w:r>
          </w:p>
        </w:tc>
        <w:tc>
          <w:tcPr>
            <w:tcW w:w="1020" w:type="dxa"/>
            <w:shd w:val="clear" w:color="auto" w:fill="C6EFCE"/>
            <w:noWrap/>
          </w:tcPr>
          <w:p w14:paraId="520EF7C1" w14:textId="77777777" w:rsidR="00553430" w:rsidRDefault="00212577">
            <w:pPr>
              <w:pStyle w:val="P68B1DB1-Normal66"/>
              <w:spacing w:after="200" w:line="276" w:lineRule="auto"/>
              <w:jc w:val="center"/>
              <w:rPr>
                <w:noProof/>
              </w:rPr>
            </w:pPr>
            <w:r>
              <w:rPr>
                <w:noProof/>
              </w:rPr>
              <w:t>T1</w:t>
            </w:r>
          </w:p>
        </w:tc>
        <w:tc>
          <w:tcPr>
            <w:tcW w:w="709" w:type="dxa"/>
            <w:shd w:val="clear" w:color="auto" w:fill="C6EFCE"/>
            <w:noWrap/>
          </w:tcPr>
          <w:p w14:paraId="23437890" w14:textId="77777777" w:rsidR="00553430" w:rsidRDefault="00212577">
            <w:pPr>
              <w:pStyle w:val="P68B1DB1-Normal66"/>
              <w:spacing w:after="200" w:line="276" w:lineRule="auto"/>
              <w:jc w:val="center"/>
              <w:rPr>
                <w:noProof/>
              </w:rPr>
            </w:pPr>
            <w:r>
              <w:rPr>
                <w:noProof/>
              </w:rPr>
              <w:t>2026</w:t>
            </w:r>
          </w:p>
        </w:tc>
        <w:tc>
          <w:tcPr>
            <w:tcW w:w="2639" w:type="dxa"/>
            <w:shd w:val="clear" w:color="auto" w:fill="C6EFCE"/>
            <w:noWrap/>
          </w:tcPr>
          <w:p w14:paraId="6E74F0CB" w14:textId="77777777" w:rsidR="00553430" w:rsidRDefault="00212577">
            <w:pPr>
              <w:pStyle w:val="P68B1DB1-Normal66"/>
              <w:spacing w:after="200" w:line="276" w:lineRule="auto"/>
              <w:contextualSpacing/>
              <w:rPr>
                <w:noProof/>
                <w:color w:val="000000" w:themeColor="text1"/>
              </w:rPr>
            </w:pPr>
            <w:r>
              <w:rPr>
                <w:noProof/>
              </w:rPr>
              <w:t>Le nombre total de</w:t>
            </w:r>
            <w:r>
              <w:rPr>
                <w:noProof/>
              </w:rPr>
              <w:t xml:space="preserve"> bénéficiaires recevant soit la prestation minimale garantie, soit l'indemnisation nationale des personnes âgées est porté à 68 000.</w:t>
            </w:r>
          </w:p>
        </w:tc>
      </w:tr>
      <w:tr w:rsidR="00553430" w14:paraId="1AD642D4" w14:textId="77777777" w:rsidTr="00262866">
        <w:trPr>
          <w:trHeight w:val="282"/>
          <w:jc w:val="center"/>
        </w:trPr>
        <w:tc>
          <w:tcPr>
            <w:tcW w:w="1006" w:type="dxa"/>
            <w:shd w:val="clear" w:color="auto" w:fill="C6EFCE"/>
            <w:noWrap/>
          </w:tcPr>
          <w:p w14:paraId="0AF649BC" w14:textId="77777777" w:rsidR="00553430" w:rsidRDefault="00212577">
            <w:pPr>
              <w:pStyle w:val="P68B1DB1-Normal66"/>
              <w:spacing w:after="200" w:line="276" w:lineRule="auto"/>
              <w:jc w:val="center"/>
              <w:rPr>
                <w:noProof/>
              </w:rPr>
            </w:pPr>
            <w:r>
              <w:rPr>
                <w:noProof/>
              </w:rPr>
              <w:t>305</w:t>
            </w:r>
          </w:p>
        </w:tc>
        <w:tc>
          <w:tcPr>
            <w:tcW w:w="1272" w:type="dxa"/>
            <w:shd w:val="clear" w:color="auto" w:fill="C6EFCE"/>
            <w:noWrap/>
          </w:tcPr>
          <w:p w14:paraId="25776872" w14:textId="77777777" w:rsidR="00553430" w:rsidRDefault="00212577">
            <w:pPr>
              <w:pStyle w:val="P68B1DB1-Normal66"/>
              <w:spacing w:after="200" w:line="276" w:lineRule="auto"/>
              <w:jc w:val="center"/>
              <w:rPr>
                <w:noProof/>
              </w:rPr>
            </w:pPr>
            <w:r>
              <w:rPr>
                <w:noProof/>
              </w:rPr>
              <w:t>C4.3. R1</w:t>
            </w:r>
          </w:p>
        </w:tc>
        <w:tc>
          <w:tcPr>
            <w:tcW w:w="1080" w:type="dxa"/>
            <w:shd w:val="clear" w:color="auto" w:fill="C6EFCE"/>
            <w:noWrap/>
          </w:tcPr>
          <w:p w14:paraId="70EEAB43" w14:textId="77777777" w:rsidR="00553430" w:rsidRDefault="00212577">
            <w:pPr>
              <w:pStyle w:val="P68B1DB1-Normal66"/>
              <w:spacing w:after="200" w:line="276" w:lineRule="auto"/>
              <w:jc w:val="center"/>
              <w:rPr>
                <w:noProof/>
              </w:rPr>
            </w:pPr>
            <w:r>
              <w:rPr>
                <w:noProof/>
              </w:rPr>
              <w:t>M</w:t>
            </w:r>
          </w:p>
        </w:tc>
        <w:tc>
          <w:tcPr>
            <w:tcW w:w="1680" w:type="dxa"/>
            <w:shd w:val="clear" w:color="auto" w:fill="C6EFCE"/>
            <w:noWrap/>
          </w:tcPr>
          <w:p w14:paraId="0F2D1EFB" w14:textId="77777777" w:rsidR="00553430" w:rsidRDefault="00212577">
            <w:pPr>
              <w:pStyle w:val="P68B1DB1-Normal66"/>
              <w:spacing w:after="200" w:line="276" w:lineRule="auto"/>
              <w:rPr>
                <w:noProof/>
              </w:rPr>
            </w:pPr>
            <w:r>
              <w:rPr>
                <w:noProof/>
              </w:rPr>
              <w:t xml:space="preserve">Adoption d'une règle normative sur les prestations sociales fonctionnellement intégrées </w:t>
            </w:r>
          </w:p>
        </w:tc>
        <w:tc>
          <w:tcPr>
            <w:tcW w:w="2040" w:type="dxa"/>
            <w:shd w:val="clear" w:color="auto" w:fill="C6EFCE"/>
            <w:noWrap/>
          </w:tcPr>
          <w:p w14:paraId="510A3D8D" w14:textId="5D8C894A" w:rsidR="00553430" w:rsidRDefault="00212577">
            <w:pPr>
              <w:pStyle w:val="P68B1DB1-Normal66"/>
              <w:spacing w:after="200" w:line="276" w:lineRule="auto"/>
              <w:rPr>
                <w:noProof/>
              </w:rPr>
            </w:pPr>
            <w:r>
              <w:rPr>
                <w:noProof/>
              </w:rPr>
              <w:t xml:space="preserve">Entrée en vigueur de la loi sur la protection sociale ou de la loi sur le supplément inclusif </w:t>
            </w:r>
          </w:p>
        </w:tc>
        <w:tc>
          <w:tcPr>
            <w:tcW w:w="960" w:type="dxa"/>
            <w:shd w:val="clear" w:color="auto" w:fill="C6EFCE"/>
            <w:noWrap/>
          </w:tcPr>
          <w:p w14:paraId="10E8372C" w14:textId="77777777" w:rsidR="00553430" w:rsidRDefault="00212577">
            <w:pPr>
              <w:pStyle w:val="P68B1DB1-Normal66"/>
              <w:spacing w:after="200" w:line="276" w:lineRule="auto"/>
              <w:jc w:val="center"/>
              <w:rPr>
                <w:noProof/>
              </w:rPr>
            </w:pPr>
            <w:r>
              <w:rPr>
                <w:noProof/>
              </w:rPr>
              <w:t> </w:t>
            </w:r>
          </w:p>
        </w:tc>
        <w:tc>
          <w:tcPr>
            <w:tcW w:w="1320" w:type="dxa"/>
            <w:shd w:val="clear" w:color="auto" w:fill="C6EFCE"/>
            <w:noWrap/>
          </w:tcPr>
          <w:p w14:paraId="37994A82" w14:textId="77777777" w:rsidR="00553430" w:rsidRDefault="00212577">
            <w:pPr>
              <w:pStyle w:val="P68B1DB1-Normal66"/>
              <w:spacing w:after="200" w:line="276" w:lineRule="auto"/>
              <w:jc w:val="center"/>
              <w:rPr>
                <w:noProof/>
              </w:rPr>
            </w:pPr>
            <w:r>
              <w:rPr>
                <w:noProof/>
              </w:rPr>
              <w:t> </w:t>
            </w:r>
          </w:p>
        </w:tc>
        <w:tc>
          <w:tcPr>
            <w:tcW w:w="1080" w:type="dxa"/>
            <w:shd w:val="clear" w:color="auto" w:fill="C6EFCE"/>
            <w:noWrap/>
          </w:tcPr>
          <w:p w14:paraId="0ECC278F" w14:textId="77777777" w:rsidR="00553430" w:rsidRDefault="00212577">
            <w:pPr>
              <w:pStyle w:val="P68B1DB1-Normal66"/>
              <w:spacing w:after="200" w:line="276" w:lineRule="auto"/>
              <w:jc w:val="center"/>
              <w:rPr>
                <w:noProof/>
              </w:rPr>
            </w:pPr>
            <w:r>
              <w:rPr>
                <w:noProof/>
              </w:rPr>
              <w:t> </w:t>
            </w:r>
          </w:p>
        </w:tc>
        <w:tc>
          <w:tcPr>
            <w:tcW w:w="1020" w:type="dxa"/>
            <w:shd w:val="clear" w:color="auto" w:fill="C6EFCE"/>
            <w:noWrap/>
          </w:tcPr>
          <w:p w14:paraId="4916539E" w14:textId="77777777" w:rsidR="00553430" w:rsidRDefault="00212577">
            <w:pPr>
              <w:pStyle w:val="P68B1DB1-Normal66"/>
              <w:spacing w:after="200" w:line="276" w:lineRule="auto"/>
              <w:jc w:val="center"/>
              <w:rPr>
                <w:noProof/>
              </w:rPr>
            </w:pPr>
            <w:r>
              <w:rPr>
                <w:noProof/>
              </w:rPr>
              <w:t>T4</w:t>
            </w:r>
          </w:p>
        </w:tc>
        <w:tc>
          <w:tcPr>
            <w:tcW w:w="709" w:type="dxa"/>
            <w:shd w:val="clear" w:color="auto" w:fill="C6EFCE"/>
            <w:noWrap/>
          </w:tcPr>
          <w:p w14:paraId="7892B6DA" w14:textId="77777777" w:rsidR="00553430" w:rsidRDefault="00212577">
            <w:pPr>
              <w:pStyle w:val="P68B1DB1-Normal66"/>
              <w:spacing w:after="200" w:line="276" w:lineRule="auto"/>
              <w:jc w:val="center"/>
              <w:rPr>
                <w:noProof/>
              </w:rPr>
            </w:pPr>
            <w:r>
              <w:rPr>
                <w:noProof/>
              </w:rPr>
              <w:t>2024</w:t>
            </w:r>
          </w:p>
        </w:tc>
        <w:tc>
          <w:tcPr>
            <w:tcW w:w="2639" w:type="dxa"/>
            <w:shd w:val="clear" w:color="auto" w:fill="C6EFCE"/>
            <w:noWrap/>
          </w:tcPr>
          <w:p w14:paraId="2F7DBCF6" w14:textId="77777777" w:rsidR="00553430" w:rsidRDefault="00212577">
            <w:pPr>
              <w:pStyle w:val="P68B1DB1-Normal59"/>
              <w:spacing w:after="0" w:line="276" w:lineRule="auto"/>
              <w:rPr>
                <w:rFonts w:ascii="Times New Roman" w:eastAsia="Calibri" w:hAnsi="Times New Roman" w:cs="Times New Roman"/>
                <w:noProof/>
                <w:color w:val="000000" w:themeColor="text1"/>
              </w:rPr>
            </w:pPr>
            <w:r>
              <w:rPr>
                <w:rFonts w:ascii="Times New Roman" w:eastAsia="Calibri" w:hAnsi="Times New Roman" w:cs="Times New Roman"/>
                <w:noProof/>
                <w:color w:val="000000" w:themeColor="text1"/>
              </w:rPr>
              <w:t>Amendements à la loi sur la protection sociale ou à la loi sur le supplément inclusif sur les prestations sociales intégrées qui:</w:t>
            </w:r>
            <w:r>
              <w:rPr>
                <w:rFonts w:ascii="Times New Roman" w:hAnsi="Times New Roman" w:cs="Times New Roman"/>
                <w:noProof/>
              </w:rPr>
              <w:br/>
            </w:r>
            <w:r>
              <w:rPr>
                <w:rFonts w:ascii="Times New Roman" w:eastAsia="Calibri" w:hAnsi="Times New Roman" w:cs="Times New Roman"/>
                <w:noProof/>
                <w:color w:val="000000" w:themeColor="text1"/>
              </w:rPr>
              <w:t xml:space="preserve">-Modifier la </w:t>
            </w:r>
            <w:r>
              <w:rPr>
                <w:rFonts w:ascii="Times New Roman" w:eastAsia="Calibri" w:hAnsi="Times New Roman" w:cs="Times New Roman"/>
                <w:noProof/>
                <w:color w:val="000000" w:themeColor="text1"/>
              </w:rPr>
              <w:t>prestation minimale garantie en portant le montant de base à 160 EUR, par voie de décision sur la base du calcul du montant de la prestation minimale garantie, et au moins de 25 % pour les ménages avec enfants, et garantir la pleine intégration de la prest</w:t>
            </w:r>
            <w:r>
              <w:rPr>
                <w:rFonts w:ascii="Times New Roman" w:eastAsia="Calibri" w:hAnsi="Times New Roman" w:cs="Times New Roman"/>
                <w:noProof/>
                <w:color w:val="000000" w:themeColor="text1"/>
              </w:rPr>
              <w:t xml:space="preserve">ation minimale garantie (MBG) avec d’autres prestations sociales. </w:t>
            </w:r>
            <w:r>
              <w:rPr>
                <w:rFonts w:ascii="Times New Roman" w:hAnsi="Times New Roman" w:cs="Times New Roman"/>
                <w:noProof/>
              </w:rPr>
              <w:br/>
            </w:r>
            <w:r>
              <w:rPr>
                <w:rFonts w:ascii="Times New Roman" w:eastAsia="Calibri" w:hAnsi="Times New Roman" w:cs="Times New Roman"/>
                <w:noProof/>
                <w:color w:val="000000" w:themeColor="text1"/>
              </w:rPr>
              <w:t>-définir l’intégration (fonctionnelle) des prestations sociales sur la base d’une analyse d’experts;</w:t>
            </w:r>
            <w:r>
              <w:rPr>
                <w:rFonts w:ascii="Times New Roman" w:hAnsi="Times New Roman" w:cs="Times New Roman"/>
                <w:noProof/>
              </w:rPr>
              <w:br/>
            </w:r>
            <w:r>
              <w:rPr>
                <w:rFonts w:ascii="Times New Roman" w:eastAsia="Calibri" w:hAnsi="Times New Roman" w:cs="Times New Roman"/>
                <w:noProof/>
                <w:color w:val="000000" w:themeColor="text1"/>
              </w:rPr>
              <w:t>-renforcer les dispositions relatives à l’admissibilité au bénéfice des prestations soci</w:t>
            </w:r>
            <w:r>
              <w:rPr>
                <w:rFonts w:ascii="Times New Roman" w:eastAsia="Calibri" w:hAnsi="Times New Roman" w:cs="Times New Roman"/>
                <w:noProof/>
                <w:color w:val="000000" w:themeColor="text1"/>
              </w:rPr>
              <w:t>ales, notamment par une meilleure utilisation des moyens et un contrôle des revenus;</w:t>
            </w:r>
            <w:r>
              <w:rPr>
                <w:rFonts w:ascii="Times New Roman" w:hAnsi="Times New Roman" w:cs="Times New Roman"/>
                <w:noProof/>
              </w:rPr>
              <w:br/>
            </w:r>
            <w:r>
              <w:rPr>
                <w:rFonts w:ascii="Times New Roman" w:eastAsia="Calibri" w:hAnsi="Times New Roman" w:cs="Times New Roman"/>
                <w:noProof/>
                <w:color w:val="000000" w:themeColor="text1"/>
              </w:rPr>
              <w:t>-inclure des mesures et des dispositions visant à améliorer la couverture, l’adéquation et le ciblage des prestations sociales, sur la base d’une analyse d’experts et en m</w:t>
            </w:r>
            <w:r>
              <w:rPr>
                <w:rFonts w:ascii="Times New Roman" w:eastAsia="Calibri" w:hAnsi="Times New Roman" w:cs="Times New Roman"/>
                <w:noProof/>
                <w:color w:val="000000" w:themeColor="text1"/>
              </w:rPr>
              <w:t>ettant particulièrement l’accent sur les personnes souffrant d’une pauvreté persistante;</w:t>
            </w:r>
            <w:r>
              <w:rPr>
                <w:rFonts w:ascii="Times New Roman" w:hAnsi="Times New Roman" w:cs="Times New Roman"/>
                <w:noProof/>
              </w:rPr>
              <w:br/>
            </w:r>
            <w:r>
              <w:rPr>
                <w:rFonts w:ascii="Times New Roman" w:eastAsia="Calibri" w:hAnsi="Times New Roman" w:cs="Times New Roman"/>
                <w:noProof/>
                <w:color w:val="000000" w:themeColor="text1"/>
              </w:rPr>
              <w:t>-contiennent des dispositions relatives au processus de suivi et à la participation des parties prenantes concernées au cours de la mise en œuvre;</w:t>
            </w:r>
            <w:r>
              <w:rPr>
                <w:rFonts w:ascii="Times New Roman" w:hAnsi="Times New Roman" w:cs="Times New Roman"/>
                <w:noProof/>
              </w:rPr>
              <w:br/>
            </w:r>
            <w:r>
              <w:rPr>
                <w:rFonts w:ascii="Times New Roman" w:eastAsia="Calibri" w:hAnsi="Times New Roman" w:cs="Times New Roman"/>
                <w:noProof/>
                <w:color w:val="000000" w:themeColor="text1"/>
              </w:rPr>
              <w:t>Introduire l'indexat</w:t>
            </w:r>
            <w:r>
              <w:rPr>
                <w:rFonts w:ascii="Times New Roman" w:eastAsia="Calibri" w:hAnsi="Times New Roman" w:cs="Times New Roman"/>
                <w:noProof/>
                <w:color w:val="000000" w:themeColor="text1"/>
              </w:rPr>
              <w:t xml:space="preserve">ion en tant que caractéristique standard des prestations sociales </w:t>
            </w:r>
          </w:p>
          <w:p w14:paraId="05C6F546" w14:textId="77777777" w:rsidR="00553430" w:rsidRDefault="00212577">
            <w:pPr>
              <w:pStyle w:val="P68B1DB1-Normal66"/>
              <w:spacing w:after="0" w:line="276" w:lineRule="auto"/>
              <w:rPr>
                <w:noProof/>
                <w:color w:val="000000" w:themeColor="text1"/>
              </w:rPr>
            </w:pPr>
            <w:r>
              <w:rPr>
                <w:noProof/>
              </w:rPr>
              <w:t>-contiennent des dispositions sur l’évaluation et le suivi de l’efficacité et de l’adéquation des prestations sociales;</w:t>
            </w:r>
          </w:p>
          <w:p w14:paraId="3CBC31FB" w14:textId="77777777" w:rsidR="00553430" w:rsidRDefault="00553430">
            <w:pPr>
              <w:spacing w:after="0" w:line="276" w:lineRule="auto"/>
              <w:rPr>
                <w:rFonts w:ascii="Times New Roman" w:eastAsia="Calibri" w:hAnsi="Times New Roman" w:cs="Times New Roman"/>
                <w:noProof/>
                <w:sz w:val="20"/>
                <w:szCs w:val="20"/>
              </w:rPr>
            </w:pPr>
          </w:p>
        </w:tc>
      </w:tr>
      <w:tr w:rsidR="00553430" w14:paraId="66BBFF9D" w14:textId="77777777" w:rsidTr="00262866">
        <w:trPr>
          <w:trHeight w:val="282"/>
          <w:jc w:val="center"/>
        </w:trPr>
        <w:tc>
          <w:tcPr>
            <w:tcW w:w="1006" w:type="dxa"/>
            <w:shd w:val="clear" w:color="auto" w:fill="C6EFCE"/>
            <w:noWrap/>
          </w:tcPr>
          <w:p w14:paraId="28CE6DEC" w14:textId="77777777" w:rsidR="00553430" w:rsidRDefault="00212577">
            <w:pPr>
              <w:pStyle w:val="P68B1DB1-Normal66"/>
              <w:spacing w:after="200" w:line="276" w:lineRule="auto"/>
              <w:jc w:val="center"/>
              <w:rPr>
                <w:noProof/>
              </w:rPr>
            </w:pPr>
            <w:r>
              <w:rPr>
                <w:noProof/>
              </w:rPr>
              <w:t>398</w:t>
            </w:r>
          </w:p>
        </w:tc>
        <w:tc>
          <w:tcPr>
            <w:tcW w:w="1272" w:type="dxa"/>
            <w:shd w:val="clear" w:color="auto" w:fill="C6EFCE"/>
            <w:noWrap/>
          </w:tcPr>
          <w:p w14:paraId="125BC556" w14:textId="77777777" w:rsidR="00553430" w:rsidRDefault="00212577">
            <w:pPr>
              <w:pStyle w:val="P68B1DB1-Normal66"/>
              <w:spacing w:after="200" w:line="276" w:lineRule="auto"/>
              <w:jc w:val="center"/>
              <w:rPr>
                <w:noProof/>
              </w:rPr>
            </w:pPr>
            <w:r>
              <w:rPr>
                <w:noProof/>
              </w:rPr>
              <w:t>C4.3. R1</w:t>
            </w:r>
          </w:p>
        </w:tc>
        <w:tc>
          <w:tcPr>
            <w:tcW w:w="1080" w:type="dxa"/>
            <w:shd w:val="clear" w:color="auto" w:fill="C6EFCE"/>
            <w:noWrap/>
          </w:tcPr>
          <w:p w14:paraId="65AE3C79" w14:textId="77777777" w:rsidR="00553430" w:rsidRDefault="00212577">
            <w:pPr>
              <w:pStyle w:val="P68B1DB1-Normal66"/>
              <w:spacing w:after="200" w:line="276" w:lineRule="auto"/>
              <w:jc w:val="center"/>
              <w:rPr>
                <w:noProof/>
              </w:rPr>
            </w:pPr>
            <w:r>
              <w:rPr>
                <w:noProof/>
              </w:rPr>
              <w:t>M</w:t>
            </w:r>
          </w:p>
        </w:tc>
        <w:tc>
          <w:tcPr>
            <w:tcW w:w="1680" w:type="dxa"/>
            <w:shd w:val="clear" w:color="auto" w:fill="C6EFCE"/>
            <w:noWrap/>
          </w:tcPr>
          <w:p w14:paraId="6852CBB1" w14:textId="77777777" w:rsidR="00553430" w:rsidRDefault="00212577">
            <w:pPr>
              <w:pStyle w:val="P68B1DB1-Normal66"/>
              <w:spacing w:after="200" w:line="276" w:lineRule="auto"/>
              <w:rPr>
                <w:noProof/>
              </w:rPr>
            </w:pPr>
            <w:r>
              <w:rPr>
                <w:noProof/>
              </w:rPr>
              <w:t xml:space="preserve">Entrée en vigueur des modifications apportées à la </w:t>
            </w:r>
            <w:r>
              <w:rPr>
                <w:noProof/>
              </w:rPr>
              <w:t>loi sur la protection sociale et adoption de la décision relative à la prestation minimale garantie</w:t>
            </w:r>
          </w:p>
        </w:tc>
        <w:tc>
          <w:tcPr>
            <w:tcW w:w="2040" w:type="dxa"/>
            <w:shd w:val="clear" w:color="auto" w:fill="C6EFCE"/>
            <w:noWrap/>
          </w:tcPr>
          <w:p w14:paraId="4B5D280E" w14:textId="77777777" w:rsidR="00553430" w:rsidRDefault="00212577">
            <w:pPr>
              <w:pStyle w:val="P68B1DB1-Normal66"/>
              <w:spacing w:after="200" w:line="276" w:lineRule="auto"/>
              <w:rPr>
                <w:noProof/>
              </w:rPr>
            </w:pPr>
            <w:r>
              <w:rPr>
                <w:noProof/>
              </w:rPr>
              <w:t>Entrée en vigueur de la loi modifiée sur la protection sociale et adoption de la décision par le Gouvernement</w:t>
            </w:r>
          </w:p>
        </w:tc>
        <w:tc>
          <w:tcPr>
            <w:tcW w:w="960" w:type="dxa"/>
            <w:shd w:val="clear" w:color="auto" w:fill="C6EFCE"/>
            <w:noWrap/>
          </w:tcPr>
          <w:p w14:paraId="4FD68A5C"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1320" w:type="dxa"/>
            <w:shd w:val="clear" w:color="auto" w:fill="C6EFCE"/>
            <w:noWrap/>
          </w:tcPr>
          <w:p w14:paraId="7486CD20"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1080" w:type="dxa"/>
            <w:shd w:val="clear" w:color="auto" w:fill="C6EFCE"/>
            <w:noWrap/>
          </w:tcPr>
          <w:p w14:paraId="72783F6E"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1020" w:type="dxa"/>
            <w:shd w:val="clear" w:color="auto" w:fill="C6EFCE"/>
            <w:noWrap/>
          </w:tcPr>
          <w:p w14:paraId="0A265414" w14:textId="77777777" w:rsidR="00553430" w:rsidRDefault="00212577">
            <w:pPr>
              <w:pStyle w:val="P68B1DB1-Normal66"/>
              <w:spacing w:after="200" w:line="276" w:lineRule="auto"/>
              <w:jc w:val="center"/>
              <w:rPr>
                <w:noProof/>
              </w:rPr>
            </w:pPr>
            <w:r>
              <w:rPr>
                <w:noProof/>
              </w:rPr>
              <w:t>T4</w:t>
            </w:r>
          </w:p>
        </w:tc>
        <w:tc>
          <w:tcPr>
            <w:tcW w:w="709" w:type="dxa"/>
            <w:shd w:val="clear" w:color="auto" w:fill="C6EFCE"/>
            <w:noWrap/>
          </w:tcPr>
          <w:p w14:paraId="7B743324" w14:textId="77777777" w:rsidR="00553430" w:rsidRDefault="00212577">
            <w:pPr>
              <w:pStyle w:val="P68B1DB1-Normal66"/>
              <w:spacing w:after="200" w:line="276" w:lineRule="auto"/>
              <w:jc w:val="center"/>
              <w:rPr>
                <w:noProof/>
              </w:rPr>
            </w:pPr>
            <w:r>
              <w:rPr>
                <w:noProof/>
              </w:rPr>
              <w:t>2023</w:t>
            </w:r>
          </w:p>
        </w:tc>
        <w:tc>
          <w:tcPr>
            <w:tcW w:w="2639" w:type="dxa"/>
            <w:shd w:val="clear" w:color="auto" w:fill="C6EFCE"/>
            <w:noWrap/>
          </w:tcPr>
          <w:p w14:paraId="33DAEEE7" w14:textId="77777777" w:rsidR="00553430" w:rsidRDefault="00212577">
            <w:pPr>
              <w:pStyle w:val="P68B1DB1-Normal66"/>
              <w:spacing w:after="0" w:line="276" w:lineRule="auto"/>
              <w:rPr>
                <w:noProof/>
              </w:rPr>
            </w:pPr>
            <w:r>
              <w:rPr>
                <w:noProof/>
              </w:rPr>
              <w:t>Les modifications apportées à la lo</w:t>
            </w:r>
            <w:r>
              <w:rPr>
                <w:noProof/>
              </w:rPr>
              <w:t>i sur la protection sociale:</w:t>
            </w:r>
          </w:p>
          <w:p w14:paraId="710BF373" w14:textId="77777777" w:rsidR="00553430" w:rsidRDefault="00212577">
            <w:pPr>
              <w:pStyle w:val="P68B1DB1-Normal66"/>
              <w:spacing w:after="0" w:line="276" w:lineRule="auto"/>
              <w:rPr>
                <w:noProof/>
              </w:rPr>
            </w:pPr>
            <w:r>
              <w:rPr>
                <w:noProof/>
              </w:rPr>
              <w:t>- Abolir les dispositions légales imposant le remboursement des montants versés au titre de la prestation minimale garantie (MBG) et l’imposition de privilèges sur les biens appartenant aux bénéficiaires de la BMG,</w:t>
            </w:r>
          </w:p>
          <w:p w14:paraId="72877351" w14:textId="6C140A95" w:rsidR="00553430" w:rsidRDefault="00212577">
            <w:pPr>
              <w:pStyle w:val="P68B1DB1-Normal66"/>
              <w:spacing w:after="0" w:line="276" w:lineRule="auto"/>
              <w:rPr>
                <w:noProof/>
              </w:rPr>
            </w:pPr>
            <w:r>
              <w:rPr>
                <w:noProof/>
              </w:rPr>
              <w:t>- Alléger la</w:t>
            </w:r>
            <w:r>
              <w:rPr>
                <w:noProof/>
              </w:rPr>
              <w:t xml:space="preserve"> charge administrative pesant sur les bénéficiaires du GMB en instaurant un mécanisme légal de suppression automatique des privilèges. </w:t>
            </w:r>
          </w:p>
          <w:p w14:paraId="515FE409" w14:textId="0F97ACEB" w:rsidR="00553430" w:rsidRDefault="00212577">
            <w:pPr>
              <w:pStyle w:val="P68B1DB1-Normal66"/>
              <w:spacing w:after="0" w:line="276" w:lineRule="auto"/>
              <w:rPr>
                <w:noProof/>
              </w:rPr>
            </w:pPr>
            <w:r>
              <w:rPr>
                <w:noProof/>
              </w:rPr>
              <w:t>Le gouvernement adopte une décision sur la base du calcul du montant de la prestation minimale garantie. La décision ent</w:t>
            </w:r>
            <w:r>
              <w:rPr>
                <w:noProof/>
              </w:rPr>
              <w:t>re en vigueur le 1er janvier 2024 et porte le montant de base à 150 EUR.</w:t>
            </w:r>
          </w:p>
        </w:tc>
      </w:tr>
      <w:tr w:rsidR="00553430" w14:paraId="5B1116EF" w14:textId="77777777" w:rsidTr="00262866">
        <w:trPr>
          <w:trHeight w:val="282"/>
          <w:jc w:val="center"/>
        </w:trPr>
        <w:tc>
          <w:tcPr>
            <w:tcW w:w="1006" w:type="dxa"/>
            <w:shd w:val="clear" w:color="auto" w:fill="C6EFCE"/>
            <w:noWrap/>
          </w:tcPr>
          <w:p w14:paraId="554A1BC6" w14:textId="77777777" w:rsidR="00553430" w:rsidRDefault="00212577">
            <w:pPr>
              <w:pStyle w:val="P68B1DB1-Normal66"/>
              <w:spacing w:after="200" w:line="276" w:lineRule="auto"/>
              <w:jc w:val="center"/>
              <w:rPr>
                <w:noProof/>
              </w:rPr>
            </w:pPr>
            <w:r>
              <w:rPr>
                <w:noProof/>
              </w:rPr>
              <w:t>307</w:t>
            </w:r>
          </w:p>
        </w:tc>
        <w:tc>
          <w:tcPr>
            <w:tcW w:w="1272" w:type="dxa"/>
            <w:shd w:val="clear" w:color="auto" w:fill="C6EFCE"/>
            <w:noWrap/>
          </w:tcPr>
          <w:p w14:paraId="171870CB" w14:textId="77777777" w:rsidR="00553430" w:rsidRDefault="00212577">
            <w:pPr>
              <w:pStyle w:val="P68B1DB1-Normal66"/>
              <w:spacing w:after="200" w:line="276" w:lineRule="auto"/>
              <w:jc w:val="center"/>
              <w:rPr>
                <w:noProof/>
              </w:rPr>
            </w:pPr>
            <w:r>
              <w:rPr>
                <w:noProof/>
              </w:rPr>
              <w:t>C4.3. R1-I1</w:t>
            </w:r>
          </w:p>
        </w:tc>
        <w:tc>
          <w:tcPr>
            <w:tcW w:w="1080" w:type="dxa"/>
            <w:shd w:val="clear" w:color="auto" w:fill="C6EFCE"/>
            <w:noWrap/>
          </w:tcPr>
          <w:p w14:paraId="1FABEADF" w14:textId="77777777" w:rsidR="00553430" w:rsidRDefault="00212577">
            <w:pPr>
              <w:pStyle w:val="P68B1DB1-Normal66"/>
              <w:spacing w:after="200" w:line="276" w:lineRule="auto"/>
              <w:jc w:val="center"/>
              <w:rPr>
                <w:noProof/>
              </w:rPr>
            </w:pPr>
            <w:r>
              <w:rPr>
                <w:noProof/>
              </w:rPr>
              <w:t>T</w:t>
            </w:r>
          </w:p>
        </w:tc>
        <w:tc>
          <w:tcPr>
            <w:tcW w:w="1680" w:type="dxa"/>
            <w:shd w:val="clear" w:color="auto" w:fill="C6EFCE"/>
            <w:noWrap/>
          </w:tcPr>
          <w:p w14:paraId="215E3FA9" w14:textId="77777777" w:rsidR="00553430" w:rsidRDefault="00212577">
            <w:pPr>
              <w:pStyle w:val="P68B1DB1-Normal66"/>
              <w:spacing w:after="200" w:line="276" w:lineRule="auto"/>
              <w:rPr>
                <w:noProof/>
              </w:rPr>
            </w:pPr>
            <w:r>
              <w:rPr>
                <w:noProof/>
              </w:rPr>
              <w:t>Accès des unités administratives locales aux données sur les prestations sociales pour chaque bénéficiaire individuel</w:t>
            </w:r>
          </w:p>
        </w:tc>
        <w:tc>
          <w:tcPr>
            <w:tcW w:w="2040" w:type="dxa"/>
            <w:shd w:val="clear" w:color="auto" w:fill="C6EFCE"/>
            <w:noWrap/>
          </w:tcPr>
          <w:p w14:paraId="37BCF749" w14:textId="77777777" w:rsidR="00553430" w:rsidRDefault="00212577">
            <w:pPr>
              <w:pStyle w:val="P68B1DB1-Normal66"/>
              <w:spacing w:after="200" w:line="276" w:lineRule="auto"/>
              <w:rPr>
                <w:noProof/>
              </w:rPr>
            </w:pPr>
            <w:r>
              <w:rPr>
                <w:noProof/>
              </w:rPr>
              <w:t> </w:t>
            </w:r>
          </w:p>
        </w:tc>
        <w:tc>
          <w:tcPr>
            <w:tcW w:w="960" w:type="dxa"/>
            <w:shd w:val="clear" w:color="auto" w:fill="C6EFCE"/>
            <w:noWrap/>
          </w:tcPr>
          <w:p w14:paraId="67676A88" w14:textId="77777777" w:rsidR="00553430" w:rsidRDefault="00212577">
            <w:pPr>
              <w:pStyle w:val="P68B1DB1-Normal66"/>
              <w:spacing w:after="200" w:line="276" w:lineRule="auto"/>
              <w:jc w:val="center"/>
              <w:rPr>
                <w:noProof/>
              </w:rPr>
            </w:pPr>
            <w:r>
              <w:rPr>
                <w:noProof/>
              </w:rPr>
              <w:t>Pourcentage</w:t>
            </w:r>
          </w:p>
        </w:tc>
        <w:tc>
          <w:tcPr>
            <w:tcW w:w="1320" w:type="dxa"/>
            <w:shd w:val="clear" w:color="auto" w:fill="C6EFCE"/>
            <w:noWrap/>
          </w:tcPr>
          <w:p w14:paraId="056EDA65" w14:textId="77777777" w:rsidR="00553430" w:rsidRDefault="00212577">
            <w:pPr>
              <w:pStyle w:val="P68B1DB1-Normal66"/>
              <w:spacing w:after="200" w:line="276" w:lineRule="auto"/>
              <w:jc w:val="center"/>
              <w:rPr>
                <w:noProof/>
              </w:rPr>
            </w:pPr>
            <w:r>
              <w:rPr>
                <w:noProof/>
              </w:rPr>
              <w:t>0</w:t>
            </w:r>
          </w:p>
        </w:tc>
        <w:tc>
          <w:tcPr>
            <w:tcW w:w="1080" w:type="dxa"/>
            <w:shd w:val="clear" w:color="auto" w:fill="C6EFCE"/>
            <w:noWrap/>
          </w:tcPr>
          <w:p w14:paraId="08BD1941" w14:textId="77777777" w:rsidR="00553430" w:rsidRDefault="00212577">
            <w:pPr>
              <w:pStyle w:val="P68B1DB1-Normal66"/>
              <w:spacing w:after="200" w:line="276" w:lineRule="auto"/>
              <w:jc w:val="center"/>
              <w:rPr>
                <w:noProof/>
              </w:rPr>
            </w:pPr>
            <w:r>
              <w:rPr>
                <w:noProof/>
              </w:rPr>
              <w:t>1</w:t>
            </w:r>
          </w:p>
        </w:tc>
        <w:tc>
          <w:tcPr>
            <w:tcW w:w="1020" w:type="dxa"/>
            <w:shd w:val="clear" w:color="auto" w:fill="C6EFCE"/>
            <w:noWrap/>
          </w:tcPr>
          <w:p w14:paraId="597E8DCE" w14:textId="77777777" w:rsidR="00553430" w:rsidRDefault="00212577">
            <w:pPr>
              <w:pStyle w:val="P68B1DB1-Normal66"/>
              <w:spacing w:after="200" w:line="276" w:lineRule="auto"/>
              <w:jc w:val="center"/>
              <w:rPr>
                <w:noProof/>
              </w:rPr>
            </w:pPr>
            <w:r>
              <w:rPr>
                <w:noProof/>
              </w:rPr>
              <w:t>T4</w:t>
            </w:r>
          </w:p>
        </w:tc>
        <w:tc>
          <w:tcPr>
            <w:tcW w:w="709" w:type="dxa"/>
            <w:shd w:val="clear" w:color="auto" w:fill="C6EFCE"/>
            <w:noWrap/>
          </w:tcPr>
          <w:p w14:paraId="671304B4" w14:textId="77777777" w:rsidR="00553430" w:rsidRDefault="00212577">
            <w:pPr>
              <w:pStyle w:val="P68B1DB1-Normal66"/>
              <w:spacing w:after="200" w:line="276" w:lineRule="auto"/>
              <w:jc w:val="center"/>
              <w:rPr>
                <w:noProof/>
              </w:rPr>
            </w:pPr>
            <w:r>
              <w:rPr>
                <w:noProof/>
              </w:rPr>
              <w:t>2025</w:t>
            </w:r>
          </w:p>
        </w:tc>
        <w:tc>
          <w:tcPr>
            <w:tcW w:w="2639" w:type="dxa"/>
            <w:shd w:val="clear" w:color="auto" w:fill="C6EFCE"/>
            <w:noWrap/>
          </w:tcPr>
          <w:p w14:paraId="5FA86AAB" w14:textId="77777777" w:rsidR="00553430" w:rsidRDefault="00212577">
            <w:pPr>
              <w:pStyle w:val="P68B1DB1-Normal66"/>
              <w:spacing w:after="200" w:line="276" w:lineRule="auto"/>
              <w:rPr>
                <w:noProof/>
              </w:rPr>
            </w:pPr>
            <w:r>
              <w:rPr>
                <w:noProof/>
              </w:rPr>
              <w:t xml:space="preserve">Toutes les collectivités locales et régionales ont un accès fonctionnel à toutes les données disponibles sur les prestations sociales pour chaque bénéficiaire individuel. </w:t>
            </w:r>
          </w:p>
        </w:tc>
      </w:tr>
      <w:tr w:rsidR="00553430" w14:paraId="5A3D29FE" w14:textId="77777777" w:rsidTr="00262866">
        <w:trPr>
          <w:trHeight w:val="282"/>
          <w:jc w:val="center"/>
        </w:trPr>
        <w:tc>
          <w:tcPr>
            <w:tcW w:w="1006" w:type="dxa"/>
            <w:shd w:val="clear" w:color="auto" w:fill="C6EFCE"/>
            <w:noWrap/>
          </w:tcPr>
          <w:p w14:paraId="39A9AF7C" w14:textId="77777777" w:rsidR="00553430" w:rsidRDefault="00212577">
            <w:pPr>
              <w:pStyle w:val="P68B1DB1-Normal66"/>
              <w:spacing w:after="200" w:line="276" w:lineRule="auto"/>
              <w:jc w:val="center"/>
              <w:rPr>
                <w:noProof/>
              </w:rPr>
            </w:pPr>
            <w:r>
              <w:rPr>
                <w:noProof/>
              </w:rPr>
              <w:t>308</w:t>
            </w:r>
          </w:p>
        </w:tc>
        <w:tc>
          <w:tcPr>
            <w:tcW w:w="1272" w:type="dxa"/>
            <w:shd w:val="clear" w:color="auto" w:fill="C6EFCE"/>
            <w:noWrap/>
          </w:tcPr>
          <w:p w14:paraId="3DBDE7A9" w14:textId="77777777" w:rsidR="00553430" w:rsidRDefault="00212577">
            <w:pPr>
              <w:pStyle w:val="P68B1DB1-Normal66"/>
              <w:spacing w:after="200" w:line="276" w:lineRule="auto"/>
              <w:jc w:val="center"/>
              <w:rPr>
                <w:noProof/>
              </w:rPr>
            </w:pPr>
            <w:r>
              <w:rPr>
                <w:noProof/>
              </w:rPr>
              <w:t>C4.3. R1-I2</w:t>
            </w:r>
          </w:p>
        </w:tc>
        <w:tc>
          <w:tcPr>
            <w:tcW w:w="1080" w:type="dxa"/>
            <w:shd w:val="clear" w:color="auto" w:fill="C6EFCE"/>
            <w:noWrap/>
          </w:tcPr>
          <w:p w14:paraId="396D2067" w14:textId="77777777" w:rsidR="00553430" w:rsidRDefault="00212577">
            <w:pPr>
              <w:pStyle w:val="P68B1DB1-Normal66"/>
              <w:spacing w:after="200" w:line="276" w:lineRule="auto"/>
              <w:jc w:val="center"/>
              <w:rPr>
                <w:noProof/>
              </w:rPr>
            </w:pPr>
            <w:r>
              <w:rPr>
                <w:noProof/>
              </w:rPr>
              <w:t>M</w:t>
            </w:r>
          </w:p>
        </w:tc>
        <w:tc>
          <w:tcPr>
            <w:tcW w:w="1680" w:type="dxa"/>
            <w:shd w:val="clear" w:color="auto" w:fill="C6EFCE"/>
            <w:noWrap/>
          </w:tcPr>
          <w:p w14:paraId="2A80D960" w14:textId="77777777" w:rsidR="00553430" w:rsidRDefault="00212577">
            <w:pPr>
              <w:pStyle w:val="P68B1DB1-Normal66"/>
              <w:spacing w:after="200" w:line="276" w:lineRule="auto"/>
              <w:rPr>
                <w:noProof/>
              </w:rPr>
            </w:pPr>
            <w:r>
              <w:rPr>
                <w:noProof/>
              </w:rPr>
              <w:t xml:space="preserve">Disponibilité numérique des informations sur les prestations de </w:t>
            </w:r>
            <w:r>
              <w:rPr>
                <w:noProof/>
              </w:rPr>
              <w:t>protection sociale au niveau national</w:t>
            </w:r>
          </w:p>
        </w:tc>
        <w:tc>
          <w:tcPr>
            <w:tcW w:w="2040" w:type="dxa"/>
            <w:shd w:val="clear" w:color="auto" w:fill="C6EFCE"/>
            <w:noWrap/>
          </w:tcPr>
          <w:p w14:paraId="2C1FF611" w14:textId="5F5A143A" w:rsidR="00553430" w:rsidRDefault="00212577">
            <w:pPr>
              <w:pStyle w:val="P68B1DB1-Normal66"/>
              <w:spacing w:after="200" w:line="276" w:lineRule="auto"/>
              <w:rPr>
                <w:noProof/>
              </w:rPr>
            </w:pPr>
            <w:r>
              <w:rPr>
                <w:noProof/>
              </w:rPr>
              <w:t>Application web développée et fonctionnelle pour fournir des informations sur les prestations sociales avec les critères et conditions mis en œuvre pour obtenir 12 types de prestations sociales dans un système de prote</w:t>
            </w:r>
            <w:r>
              <w:rPr>
                <w:noProof/>
              </w:rPr>
              <w:t>ction sociale au niveau national</w:t>
            </w:r>
          </w:p>
        </w:tc>
        <w:tc>
          <w:tcPr>
            <w:tcW w:w="960" w:type="dxa"/>
            <w:shd w:val="clear" w:color="auto" w:fill="C6EFCE"/>
            <w:noWrap/>
          </w:tcPr>
          <w:p w14:paraId="612FBADF" w14:textId="77777777" w:rsidR="00553430" w:rsidRDefault="00212577">
            <w:pPr>
              <w:pStyle w:val="P68B1DB1-Normal66"/>
              <w:spacing w:after="200" w:line="276" w:lineRule="auto"/>
              <w:jc w:val="center"/>
              <w:rPr>
                <w:noProof/>
              </w:rPr>
            </w:pPr>
            <w:r>
              <w:rPr>
                <w:noProof/>
              </w:rPr>
              <w:t> </w:t>
            </w:r>
          </w:p>
        </w:tc>
        <w:tc>
          <w:tcPr>
            <w:tcW w:w="1320" w:type="dxa"/>
            <w:shd w:val="clear" w:color="auto" w:fill="C6EFCE"/>
            <w:noWrap/>
          </w:tcPr>
          <w:p w14:paraId="7F20EEE6" w14:textId="77777777" w:rsidR="00553430" w:rsidRDefault="00212577">
            <w:pPr>
              <w:pStyle w:val="P68B1DB1-Normal66"/>
              <w:spacing w:after="200" w:line="276" w:lineRule="auto"/>
              <w:jc w:val="center"/>
              <w:rPr>
                <w:noProof/>
              </w:rPr>
            </w:pPr>
            <w:r>
              <w:rPr>
                <w:noProof/>
              </w:rPr>
              <w:t> </w:t>
            </w:r>
          </w:p>
        </w:tc>
        <w:tc>
          <w:tcPr>
            <w:tcW w:w="1080" w:type="dxa"/>
            <w:shd w:val="clear" w:color="auto" w:fill="C6EFCE"/>
            <w:noWrap/>
          </w:tcPr>
          <w:p w14:paraId="2D79F15B" w14:textId="77777777" w:rsidR="00553430" w:rsidRDefault="00212577">
            <w:pPr>
              <w:pStyle w:val="P68B1DB1-Normal66"/>
              <w:spacing w:after="200" w:line="276" w:lineRule="auto"/>
              <w:jc w:val="center"/>
              <w:rPr>
                <w:noProof/>
              </w:rPr>
            </w:pPr>
            <w:r>
              <w:rPr>
                <w:noProof/>
              </w:rPr>
              <w:t> </w:t>
            </w:r>
          </w:p>
        </w:tc>
        <w:tc>
          <w:tcPr>
            <w:tcW w:w="1020" w:type="dxa"/>
            <w:shd w:val="clear" w:color="auto" w:fill="C6EFCE"/>
            <w:noWrap/>
          </w:tcPr>
          <w:p w14:paraId="3A2CF704" w14:textId="77777777" w:rsidR="00553430" w:rsidRDefault="00212577">
            <w:pPr>
              <w:pStyle w:val="P68B1DB1-Normal66"/>
              <w:spacing w:after="200" w:line="276" w:lineRule="auto"/>
              <w:jc w:val="center"/>
              <w:rPr>
                <w:noProof/>
              </w:rPr>
            </w:pPr>
            <w:r>
              <w:rPr>
                <w:noProof/>
              </w:rPr>
              <w:t>T4</w:t>
            </w:r>
          </w:p>
        </w:tc>
        <w:tc>
          <w:tcPr>
            <w:tcW w:w="709" w:type="dxa"/>
            <w:shd w:val="clear" w:color="auto" w:fill="C6EFCE"/>
            <w:noWrap/>
          </w:tcPr>
          <w:p w14:paraId="6A0D2ED0" w14:textId="77777777" w:rsidR="00553430" w:rsidRDefault="00212577">
            <w:pPr>
              <w:pStyle w:val="P68B1DB1-Normal66"/>
              <w:spacing w:after="200" w:line="276" w:lineRule="auto"/>
              <w:jc w:val="center"/>
              <w:rPr>
                <w:noProof/>
              </w:rPr>
            </w:pPr>
            <w:r>
              <w:rPr>
                <w:noProof/>
              </w:rPr>
              <w:t>2024</w:t>
            </w:r>
          </w:p>
        </w:tc>
        <w:tc>
          <w:tcPr>
            <w:tcW w:w="2639" w:type="dxa"/>
            <w:shd w:val="clear" w:color="auto" w:fill="C6EFCE"/>
            <w:noWrap/>
          </w:tcPr>
          <w:p w14:paraId="16C9E404" w14:textId="72E7C52E" w:rsidR="00553430" w:rsidRDefault="00212577">
            <w:pPr>
              <w:pStyle w:val="P68B1DB1-Normal66"/>
              <w:spacing w:after="200" w:line="276" w:lineRule="auto"/>
              <w:rPr>
                <w:noProof/>
              </w:rPr>
            </w:pPr>
            <w:r>
              <w:rPr>
                <w:noProof/>
              </w:rPr>
              <w:t>Sur la base d'un dossier de projet et d'une spécification technique, une application web est développée et rendue accessible à tous les citoyens. La demande donne accès aux informations sur toutes les prestati</w:t>
            </w:r>
            <w:r>
              <w:rPr>
                <w:noProof/>
              </w:rPr>
              <w:t>ons de sécurité sociale existantes dans le système de protection sociale et à la possibilité indicative de les obtenir au niveau national. Les critères et conditions d'obtention de douze types de prestations sociales dans un système de protection sociale a</w:t>
            </w:r>
            <w:r>
              <w:rPr>
                <w:noProof/>
              </w:rPr>
              <w:t>u niveau national sont disponibles dans la demande.</w:t>
            </w:r>
          </w:p>
        </w:tc>
      </w:tr>
      <w:tr w:rsidR="00553430" w14:paraId="4DC2F704" w14:textId="77777777" w:rsidTr="00262866">
        <w:trPr>
          <w:trHeight w:val="282"/>
          <w:jc w:val="center"/>
        </w:trPr>
        <w:tc>
          <w:tcPr>
            <w:tcW w:w="1006" w:type="dxa"/>
            <w:shd w:val="clear" w:color="auto" w:fill="C6EFCE"/>
            <w:noWrap/>
          </w:tcPr>
          <w:p w14:paraId="7780EC7B" w14:textId="77777777" w:rsidR="00553430" w:rsidRDefault="00212577">
            <w:pPr>
              <w:pStyle w:val="P68B1DB1-Normal66"/>
              <w:spacing w:after="200" w:line="276" w:lineRule="auto"/>
              <w:jc w:val="center"/>
              <w:rPr>
                <w:noProof/>
              </w:rPr>
            </w:pPr>
            <w:r>
              <w:rPr>
                <w:noProof/>
              </w:rPr>
              <w:t>309</w:t>
            </w:r>
          </w:p>
        </w:tc>
        <w:tc>
          <w:tcPr>
            <w:tcW w:w="1272" w:type="dxa"/>
            <w:shd w:val="clear" w:color="auto" w:fill="C6EFCE"/>
            <w:noWrap/>
          </w:tcPr>
          <w:p w14:paraId="27FD2A83" w14:textId="77777777" w:rsidR="00553430" w:rsidRDefault="00212577">
            <w:pPr>
              <w:pStyle w:val="P68B1DB1-Normal66"/>
              <w:spacing w:after="200" w:line="276" w:lineRule="auto"/>
              <w:jc w:val="center"/>
              <w:rPr>
                <w:noProof/>
              </w:rPr>
            </w:pPr>
            <w:r>
              <w:rPr>
                <w:noProof/>
              </w:rPr>
              <w:t>C4.3. R2</w:t>
            </w:r>
          </w:p>
        </w:tc>
        <w:tc>
          <w:tcPr>
            <w:tcW w:w="1080" w:type="dxa"/>
            <w:shd w:val="clear" w:color="auto" w:fill="C6EFCE"/>
            <w:noWrap/>
          </w:tcPr>
          <w:p w14:paraId="3654B8EF" w14:textId="77777777" w:rsidR="00553430" w:rsidRDefault="00212577">
            <w:pPr>
              <w:pStyle w:val="P68B1DB1-Normal66"/>
              <w:spacing w:after="200" w:line="276" w:lineRule="auto"/>
              <w:jc w:val="center"/>
              <w:rPr>
                <w:noProof/>
              </w:rPr>
            </w:pPr>
            <w:r>
              <w:rPr>
                <w:noProof/>
              </w:rPr>
              <w:t>T</w:t>
            </w:r>
          </w:p>
        </w:tc>
        <w:tc>
          <w:tcPr>
            <w:tcW w:w="1680" w:type="dxa"/>
            <w:shd w:val="clear" w:color="auto" w:fill="C6EFCE"/>
            <w:noWrap/>
          </w:tcPr>
          <w:p w14:paraId="6B477E64" w14:textId="77777777" w:rsidR="00553430" w:rsidRDefault="00212577">
            <w:pPr>
              <w:pStyle w:val="P68B1DB1-Normal66"/>
              <w:spacing w:after="200" w:line="276" w:lineRule="auto"/>
              <w:rPr>
                <w:noProof/>
              </w:rPr>
            </w:pPr>
            <w:r>
              <w:rPr>
                <w:noProof/>
              </w:rPr>
              <w:t xml:space="preserve">Formation de professionnels du mentorat social </w:t>
            </w:r>
          </w:p>
        </w:tc>
        <w:tc>
          <w:tcPr>
            <w:tcW w:w="2040" w:type="dxa"/>
            <w:shd w:val="clear" w:color="auto" w:fill="C6EFCE"/>
            <w:noWrap/>
          </w:tcPr>
          <w:p w14:paraId="30C8ACCD" w14:textId="77777777" w:rsidR="00553430" w:rsidRDefault="00212577">
            <w:pPr>
              <w:pStyle w:val="P68B1DB1-Normal66"/>
              <w:spacing w:after="200" w:line="276" w:lineRule="auto"/>
              <w:rPr>
                <w:noProof/>
              </w:rPr>
            </w:pPr>
            <w:r>
              <w:rPr>
                <w:noProof/>
              </w:rPr>
              <w:t> </w:t>
            </w:r>
          </w:p>
        </w:tc>
        <w:tc>
          <w:tcPr>
            <w:tcW w:w="960" w:type="dxa"/>
            <w:shd w:val="clear" w:color="auto" w:fill="C6EFCE"/>
            <w:noWrap/>
          </w:tcPr>
          <w:p w14:paraId="1D9A12A9" w14:textId="77777777" w:rsidR="00553430" w:rsidRDefault="00212577">
            <w:pPr>
              <w:pStyle w:val="P68B1DB1-Normal66"/>
              <w:spacing w:after="200" w:line="276" w:lineRule="auto"/>
              <w:jc w:val="center"/>
              <w:rPr>
                <w:noProof/>
              </w:rPr>
            </w:pPr>
            <w:r>
              <w:rPr>
                <w:noProof/>
              </w:rPr>
              <w:t>Numéro</w:t>
            </w:r>
          </w:p>
        </w:tc>
        <w:tc>
          <w:tcPr>
            <w:tcW w:w="1320" w:type="dxa"/>
            <w:shd w:val="clear" w:color="auto" w:fill="C6EFCE"/>
            <w:noWrap/>
          </w:tcPr>
          <w:p w14:paraId="3ACA9D3C" w14:textId="77777777" w:rsidR="00553430" w:rsidRDefault="00212577">
            <w:pPr>
              <w:pStyle w:val="P68B1DB1-Normal66"/>
              <w:spacing w:after="200" w:line="276" w:lineRule="auto"/>
              <w:jc w:val="center"/>
              <w:rPr>
                <w:noProof/>
              </w:rPr>
            </w:pPr>
            <w:r>
              <w:rPr>
                <w:noProof/>
              </w:rPr>
              <w:t>0</w:t>
            </w:r>
          </w:p>
        </w:tc>
        <w:tc>
          <w:tcPr>
            <w:tcW w:w="1080" w:type="dxa"/>
            <w:shd w:val="clear" w:color="auto" w:fill="C6EFCE"/>
            <w:noWrap/>
          </w:tcPr>
          <w:p w14:paraId="09FED759" w14:textId="77777777" w:rsidR="00553430" w:rsidRDefault="00212577">
            <w:pPr>
              <w:pStyle w:val="P68B1DB1-Normal66"/>
              <w:spacing w:after="200" w:line="276" w:lineRule="auto"/>
              <w:jc w:val="center"/>
              <w:rPr>
                <w:noProof/>
              </w:rPr>
            </w:pPr>
            <w:r>
              <w:rPr>
                <w:noProof/>
              </w:rPr>
              <w:t>220</w:t>
            </w:r>
          </w:p>
        </w:tc>
        <w:tc>
          <w:tcPr>
            <w:tcW w:w="1020" w:type="dxa"/>
            <w:shd w:val="clear" w:color="auto" w:fill="C6EFCE"/>
            <w:noWrap/>
          </w:tcPr>
          <w:p w14:paraId="10982EED" w14:textId="77777777" w:rsidR="00553430" w:rsidRDefault="00212577">
            <w:pPr>
              <w:pStyle w:val="P68B1DB1-Normal66"/>
              <w:spacing w:after="200" w:line="276" w:lineRule="auto"/>
              <w:jc w:val="center"/>
              <w:rPr>
                <w:noProof/>
              </w:rPr>
            </w:pPr>
            <w:r>
              <w:rPr>
                <w:noProof/>
              </w:rPr>
              <w:t>T2</w:t>
            </w:r>
          </w:p>
        </w:tc>
        <w:tc>
          <w:tcPr>
            <w:tcW w:w="709" w:type="dxa"/>
            <w:shd w:val="clear" w:color="auto" w:fill="C6EFCE"/>
            <w:noWrap/>
          </w:tcPr>
          <w:p w14:paraId="394CF96A" w14:textId="77777777" w:rsidR="00553430" w:rsidRDefault="00212577">
            <w:pPr>
              <w:pStyle w:val="P68B1DB1-Normal66"/>
              <w:spacing w:after="200" w:line="276" w:lineRule="auto"/>
              <w:jc w:val="center"/>
              <w:rPr>
                <w:noProof/>
              </w:rPr>
            </w:pPr>
            <w:r>
              <w:rPr>
                <w:noProof/>
              </w:rPr>
              <w:t>2022</w:t>
            </w:r>
          </w:p>
        </w:tc>
        <w:tc>
          <w:tcPr>
            <w:tcW w:w="2639" w:type="dxa"/>
            <w:shd w:val="clear" w:color="auto" w:fill="C6EFCE"/>
            <w:noWrap/>
          </w:tcPr>
          <w:p w14:paraId="59091DA4" w14:textId="77777777" w:rsidR="00553430" w:rsidRDefault="00212577">
            <w:pPr>
              <w:pStyle w:val="P68B1DB1-Normal66"/>
              <w:spacing w:after="200" w:line="276" w:lineRule="auto"/>
              <w:rPr>
                <w:noProof/>
              </w:rPr>
            </w:pPr>
            <w:r>
              <w:rPr>
                <w:noProof/>
              </w:rPr>
              <w:t xml:space="preserve">La formation des mentors sociaux s’effectuera au moyen de 15 modules et sera complétée par 220 professionnels. Ce </w:t>
            </w:r>
            <w:r>
              <w:rPr>
                <w:noProof/>
              </w:rPr>
              <w:t xml:space="preserve">service suit les principes de la profession de travailleur social et complète les activités déjà existantes des centres de protection sociale. Elle répond à la nécessité de coopérer avec d’autres prestataires de services sociaux de proximité et d’associer </w:t>
            </w:r>
            <w:r>
              <w:rPr>
                <w:noProof/>
              </w:rPr>
              <w:t>activement les bénéficiaires des systèmes de protection sociale à la lutte contre leur propre exclusion sociale.</w:t>
            </w:r>
          </w:p>
        </w:tc>
      </w:tr>
      <w:tr w:rsidR="00553430" w14:paraId="05247A20" w14:textId="77777777" w:rsidTr="00262866">
        <w:trPr>
          <w:trHeight w:val="282"/>
          <w:jc w:val="center"/>
        </w:trPr>
        <w:tc>
          <w:tcPr>
            <w:tcW w:w="1006" w:type="dxa"/>
            <w:shd w:val="clear" w:color="auto" w:fill="C6EFCE"/>
            <w:noWrap/>
          </w:tcPr>
          <w:p w14:paraId="4B8B3782" w14:textId="77777777" w:rsidR="00553430" w:rsidRDefault="00212577">
            <w:pPr>
              <w:pStyle w:val="P68B1DB1-Normal66"/>
              <w:spacing w:after="200" w:line="276" w:lineRule="auto"/>
              <w:jc w:val="center"/>
              <w:rPr>
                <w:noProof/>
              </w:rPr>
            </w:pPr>
            <w:r>
              <w:rPr>
                <w:noProof/>
              </w:rPr>
              <w:t>310</w:t>
            </w:r>
          </w:p>
        </w:tc>
        <w:tc>
          <w:tcPr>
            <w:tcW w:w="1272" w:type="dxa"/>
            <w:shd w:val="clear" w:color="auto" w:fill="C6EFCE"/>
            <w:noWrap/>
          </w:tcPr>
          <w:p w14:paraId="36DD5503" w14:textId="77777777" w:rsidR="00553430" w:rsidRDefault="00212577">
            <w:pPr>
              <w:pStyle w:val="P68B1DB1-Normal66"/>
              <w:spacing w:after="200" w:line="276" w:lineRule="auto"/>
              <w:jc w:val="center"/>
              <w:rPr>
                <w:noProof/>
              </w:rPr>
            </w:pPr>
            <w:r>
              <w:rPr>
                <w:noProof/>
              </w:rPr>
              <w:t>C4.3. R2-I1</w:t>
            </w:r>
          </w:p>
        </w:tc>
        <w:tc>
          <w:tcPr>
            <w:tcW w:w="1080" w:type="dxa"/>
            <w:shd w:val="clear" w:color="auto" w:fill="C6EFCE"/>
            <w:noWrap/>
          </w:tcPr>
          <w:p w14:paraId="6413254F" w14:textId="77777777" w:rsidR="00553430" w:rsidRDefault="00212577">
            <w:pPr>
              <w:pStyle w:val="P68B1DB1-Normal66"/>
              <w:spacing w:after="200" w:line="276" w:lineRule="auto"/>
              <w:jc w:val="center"/>
              <w:rPr>
                <w:noProof/>
              </w:rPr>
            </w:pPr>
            <w:r>
              <w:rPr>
                <w:noProof/>
              </w:rPr>
              <w:t>T</w:t>
            </w:r>
          </w:p>
        </w:tc>
        <w:tc>
          <w:tcPr>
            <w:tcW w:w="1680" w:type="dxa"/>
            <w:shd w:val="clear" w:color="auto" w:fill="C6EFCE"/>
            <w:noWrap/>
          </w:tcPr>
          <w:p w14:paraId="4D8B4401" w14:textId="77777777" w:rsidR="00553430" w:rsidRDefault="00212577">
            <w:pPr>
              <w:pStyle w:val="P68B1DB1-Normal66"/>
              <w:spacing w:after="200" w:line="276" w:lineRule="auto"/>
              <w:rPr>
                <w:noProof/>
              </w:rPr>
            </w:pPr>
            <w:r>
              <w:rPr>
                <w:noProof/>
              </w:rPr>
              <w:t xml:space="preserve">Emploi de professionnels du mentorat social </w:t>
            </w:r>
          </w:p>
        </w:tc>
        <w:tc>
          <w:tcPr>
            <w:tcW w:w="2040" w:type="dxa"/>
            <w:shd w:val="clear" w:color="auto" w:fill="C6EFCE"/>
            <w:noWrap/>
          </w:tcPr>
          <w:p w14:paraId="72BCC150" w14:textId="77777777" w:rsidR="00553430" w:rsidRDefault="00212577">
            <w:pPr>
              <w:pStyle w:val="P68B1DB1-Normal66"/>
              <w:spacing w:after="200" w:line="276" w:lineRule="auto"/>
              <w:rPr>
                <w:noProof/>
              </w:rPr>
            </w:pPr>
            <w:r>
              <w:rPr>
                <w:noProof/>
              </w:rPr>
              <w:t xml:space="preserve"> </w:t>
            </w:r>
          </w:p>
        </w:tc>
        <w:tc>
          <w:tcPr>
            <w:tcW w:w="960" w:type="dxa"/>
            <w:shd w:val="clear" w:color="auto" w:fill="C6EFCE"/>
            <w:noWrap/>
          </w:tcPr>
          <w:p w14:paraId="4E5109EE" w14:textId="77777777" w:rsidR="00553430" w:rsidRDefault="00212577">
            <w:pPr>
              <w:pStyle w:val="P68B1DB1-Normal66"/>
              <w:spacing w:after="200" w:line="276" w:lineRule="auto"/>
              <w:jc w:val="center"/>
              <w:rPr>
                <w:noProof/>
              </w:rPr>
            </w:pPr>
            <w:r>
              <w:rPr>
                <w:noProof/>
              </w:rPr>
              <w:t>Numéro</w:t>
            </w:r>
          </w:p>
        </w:tc>
        <w:tc>
          <w:tcPr>
            <w:tcW w:w="1320" w:type="dxa"/>
            <w:shd w:val="clear" w:color="auto" w:fill="C6EFCE"/>
            <w:noWrap/>
          </w:tcPr>
          <w:p w14:paraId="15F6D0A5" w14:textId="77777777" w:rsidR="00553430" w:rsidRDefault="00212577">
            <w:pPr>
              <w:pStyle w:val="P68B1DB1-Normal66"/>
              <w:spacing w:after="200" w:line="276" w:lineRule="auto"/>
              <w:jc w:val="center"/>
              <w:rPr>
                <w:noProof/>
              </w:rPr>
            </w:pPr>
            <w:r>
              <w:rPr>
                <w:noProof/>
              </w:rPr>
              <w:t>0</w:t>
            </w:r>
          </w:p>
        </w:tc>
        <w:tc>
          <w:tcPr>
            <w:tcW w:w="1080" w:type="dxa"/>
            <w:shd w:val="clear" w:color="auto" w:fill="C6EFCE"/>
            <w:noWrap/>
          </w:tcPr>
          <w:p w14:paraId="38AF13F9" w14:textId="77777777" w:rsidR="00553430" w:rsidRDefault="00212577">
            <w:pPr>
              <w:pStyle w:val="P68B1DB1-Normal66"/>
              <w:spacing w:after="200" w:line="276" w:lineRule="auto"/>
              <w:jc w:val="center"/>
              <w:rPr>
                <w:noProof/>
              </w:rPr>
            </w:pPr>
            <w:r>
              <w:rPr>
                <w:noProof/>
              </w:rPr>
              <w:t>220</w:t>
            </w:r>
          </w:p>
        </w:tc>
        <w:tc>
          <w:tcPr>
            <w:tcW w:w="1020" w:type="dxa"/>
            <w:shd w:val="clear" w:color="auto" w:fill="C6EFCE"/>
            <w:noWrap/>
          </w:tcPr>
          <w:p w14:paraId="2F9DFC9E" w14:textId="77777777" w:rsidR="00553430" w:rsidRDefault="00212577">
            <w:pPr>
              <w:pStyle w:val="P68B1DB1-Normal66"/>
              <w:spacing w:after="200" w:line="276" w:lineRule="auto"/>
              <w:jc w:val="center"/>
              <w:rPr>
                <w:noProof/>
              </w:rPr>
            </w:pPr>
            <w:r>
              <w:rPr>
                <w:noProof/>
              </w:rPr>
              <w:t>T4</w:t>
            </w:r>
          </w:p>
        </w:tc>
        <w:tc>
          <w:tcPr>
            <w:tcW w:w="709" w:type="dxa"/>
            <w:shd w:val="clear" w:color="auto" w:fill="C6EFCE"/>
            <w:noWrap/>
          </w:tcPr>
          <w:p w14:paraId="5AF105F9" w14:textId="77777777" w:rsidR="00553430" w:rsidRDefault="00212577">
            <w:pPr>
              <w:pStyle w:val="P68B1DB1-Normal66"/>
              <w:spacing w:after="200" w:line="276" w:lineRule="auto"/>
              <w:jc w:val="center"/>
              <w:rPr>
                <w:noProof/>
              </w:rPr>
            </w:pPr>
            <w:r>
              <w:rPr>
                <w:noProof/>
              </w:rPr>
              <w:t>2025</w:t>
            </w:r>
          </w:p>
        </w:tc>
        <w:tc>
          <w:tcPr>
            <w:tcW w:w="2639" w:type="dxa"/>
            <w:shd w:val="clear" w:color="auto" w:fill="C6EFCE"/>
            <w:noWrap/>
          </w:tcPr>
          <w:p w14:paraId="6B7F13B8" w14:textId="77777777" w:rsidR="00553430" w:rsidRDefault="00212577">
            <w:pPr>
              <w:pStyle w:val="P68B1DB1-Normal66"/>
              <w:spacing w:after="200" w:line="276" w:lineRule="auto"/>
              <w:rPr>
                <w:noProof/>
              </w:rPr>
            </w:pPr>
            <w:r>
              <w:rPr>
                <w:noProof/>
              </w:rPr>
              <w:t xml:space="preserve">L'emploi de 220 professionnels du mentorat social dans l'ensemble des 21 services régionaux de l'Institut croate de travail social. </w:t>
            </w:r>
          </w:p>
        </w:tc>
      </w:tr>
      <w:tr w:rsidR="00553430" w14:paraId="151FE50F" w14:textId="77777777" w:rsidTr="00262866">
        <w:trPr>
          <w:trHeight w:val="282"/>
          <w:jc w:val="center"/>
        </w:trPr>
        <w:tc>
          <w:tcPr>
            <w:tcW w:w="1006" w:type="dxa"/>
            <w:shd w:val="clear" w:color="auto" w:fill="C6EFCE"/>
            <w:noWrap/>
          </w:tcPr>
          <w:p w14:paraId="636DCFE6" w14:textId="77777777" w:rsidR="00553430" w:rsidRDefault="00212577">
            <w:pPr>
              <w:pStyle w:val="P68B1DB1-Normal66"/>
              <w:spacing w:after="200" w:line="276" w:lineRule="auto"/>
              <w:jc w:val="center"/>
              <w:rPr>
                <w:noProof/>
              </w:rPr>
            </w:pPr>
            <w:r>
              <w:rPr>
                <w:noProof/>
              </w:rPr>
              <w:t>312</w:t>
            </w:r>
          </w:p>
        </w:tc>
        <w:tc>
          <w:tcPr>
            <w:tcW w:w="1272" w:type="dxa"/>
            <w:shd w:val="clear" w:color="auto" w:fill="C6EFCE"/>
            <w:noWrap/>
          </w:tcPr>
          <w:p w14:paraId="06CDA631" w14:textId="77777777" w:rsidR="00553430" w:rsidRDefault="00212577">
            <w:pPr>
              <w:pStyle w:val="P68B1DB1-Normal66"/>
              <w:spacing w:after="200" w:line="276" w:lineRule="auto"/>
              <w:jc w:val="center"/>
              <w:rPr>
                <w:noProof/>
              </w:rPr>
            </w:pPr>
            <w:r>
              <w:rPr>
                <w:noProof/>
              </w:rPr>
              <w:t>C4.3. R3</w:t>
            </w:r>
          </w:p>
        </w:tc>
        <w:tc>
          <w:tcPr>
            <w:tcW w:w="1080" w:type="dxa"/>
            <w:shd w:val="clear" w:color="auto" w:fill="C6EFCE"/>
            <w:noWrap/>
          </w:tcPr>
          <w:p w14:paraId="1A6D4E0A" w14:textId="77777777" w:rsidR="00553430" w:rsidRDefault="00212577">
            <w:pPr>
              <w:pStyle w:val="P68B1DB1-Normal66"/>
              <w:spacing w:after="200" w:line="276" w:lineRule="auto"/>
              <w:jc w:val="center"/>
              <w:rPr>
                <w:noProof/>
              </w:rPr>
            </w:pPr>
            <w:r>
              <w:rPr>
                <w:noProof/>
              </w:rPr>
              <w:t>M</w:t>
            </w:r>
          </w:p>
        </w:tc>
        <w:tc>
          <w:tcPr>
            <w:tcW w:w="1680" w:type="dxa"/>
            <w:shd w:val="clear" w:color="auto" w:fill="C6EFCE"/>
            <w:noWrap/>
          </w:tcPr>
          <w:p w14:paraId="6E579DDC" w14:textId="77777777" w:rsidR="00553430" w:rsidRDefault="00212577">
            <w:pPr>
              <w:pStyle w:val="P68B1DB1-Normal66"/>
              <w:spacing w:after="200" w:line="276" w:lineRule="auto"/>
              <w:rPr>
                <w:noProof/>
              </w:rPr>
            </w:pPr>
            <w:r>
              <w:rPr>
                <w:noProof/>
              </w:rPr>
              <w:t>Adoption du plan national pour le développement des services sociaux 2021-2027</w:t>
            </w:r>
          </w:p>
        </w:tc>
        <w:tc>
          <w:tcPr>
            <w:tcW w:w="2040" w:type="dxa"/>
            <w:shd w:val="clear" w:color="auto" w:fill="C6EFCE"/>
            <w:noWrap/>
          </w:tcPr>
          <w:p w14:paraId="32500506" w14:textId="77777777" w:rsidR="00553430" w:rsidRDefault="00212577">
            <w:pPr>
              <w:pStyle w:val="P68B1DB1-Normal66"/>
              <w:spacing w:after="200" w:line="276" w:lineRule="auto"/>
              <w:rPr>
                <w:noProof/>
              </w:rPr>
            </w:pPr>
            <w:r>
              <w:rPr>
                <w:noProof/>
              </w:rPr>
              <w:t xml:space="preserve">Adoption du plan national </w:t>
            </w:r>
            <w:r>
              <w:rPr>
                <w:noProof/>
              </w:rPr>
              <w:t>pour le développement des services sociaux 2021-2027</w:t>
            </w:r>
          </w:p>
        </w:tc>
        <w:tc>
          <w:tcPr>
            <w:tcW w:w="960" w:type="dxa"/>
            <w:shd w:val="clear" w:color="auto" w:fill="C6EFCE"/>
            <w:noWrap/>
          </w:tcPr>
          <w:p w14:paraId="42DD73A6" w14:textId="77777777" w:rsidR="00553430" w:rsidRDefault="00212577">
            <w:pPr>
              <w:pStyle w:val="P68B1DB1-Normal66"/>
              <w:spacing w:after="200" w:line="276" w:lineRule="auto"/>
              <w:jc w:val="center"/>
              <w:rPr>
                <w:noProof/>
              </w:rPr>
            </w:pPr>
            <w:r>
              <w:rPr>
                <w:noProof/>
              </w:rPr>
              <w:t> </w:t>
            </w:r>
          </w:p>
        </w:tc>
        <w:tc>
          <w:tcPr>
            <w:tcW w:w="1320" w:type="dxa"/>
            <w:shd w:val="clear" w:color="auto" w:fill="C6EFCE"/>
            <w:noWrap/>
          </w:tcPr>
          <w:p w14:paraId="44AA712F" w14:textId="77777777" w:rsidR="00553430" w:rsidRDefault="00212577">
            <w:pPr>
              <w:pStyle w:val="P68B1DB1-Normal66"/>
              <w:spacing w:after="200" w:line="276" w:lineRule="auto"/>
              <w:jc w:val="center"/>
              <w:rPr>
                <w:noProof/>
              </w:rPr>
            </w:pPr>
            <w:r>
              <w:rPr>
                <w:noProof/>
              </w:rPr>
              <w:t> </w:t>
            </w:r>
          </w:p>
        </w:tc>
        <w:tc>
          <w:tcPr>
            <w:tcW w:w="1080" w:type="dxa"/>
            <w:shd w:val="clear" w:color="auto" w:fill="C6EFCE"/>
            <w:noWrap/>
          </w:tcPr>
          <w:p w14:paraId="59C4F5A9" w14:textId="77777777" w:rsidR="00553430" w:rsidRDefault="00212577">
            <w:pPr>
              <w:pStyle w:val="P68B1DB1-Normal66"/>
              <w:spacing w:after="200" w:line="276" w:lineRule="auto"/>
              <w:jc w:val="center"/>
              <w:rPr>
                <w:noProof/>
              </w:rPr>
            </w:pPr>
            <w:r>
              <w:rPr>
                <w:noProof/>
              </w:rPr>
              <w:t> </w:t>
            </w:r>
          </w:p>
        </w:tc>
        <w:tc>
          <w:tcPr>
            <w:tcW w:w="1020" w:type="dxa"/>
            <w:shd w:val="clear" w:color="auto" w:fill="C6EFCE"/>
            <w:noWrap/>
          </w:tcPr>
          <w:p w14:paraId="74112936" w14:textId="77777777" w:rsidR="00553430" w:rsidRDefault="00212577">
            <w:pPr>
              <w:pStyle w:val="P68B1DB1-Normal66"/>
              <w:spacing w:after="200" w:line="276" w:lineRule="auto"/>
              <w:jc w:val="center"/>
              <w:rPr>
                <w:noProof/>
              </w:rPr>
            </w:pPr>
            <w:r>
              <w:rPr>
                <w:noProof/>
              </w:rPr>
              <w:t>T3</w:t>
            </w:r>
          </w:p>
        </w:tc>
        <w:tc>
          <w:tcPr>
            <w:tcW w:w="709" w:type="dxa"/>
            <w:shd w:val="clear" w:color="auto" w:fill="C6EFCE"/>
            <w:noWrap/>
          </w:tcPr>
          <w:p w14:paraId="5166EE22" w14:textId="77777777" w:rsidR="00553430" w:rsidRDefault="00212577">
            <w:pPr>
              <w:pStyle w:val="P68B1DB1-Normal66"/>
              <w:spacing w:after="200" w:line="276" w:lineRule="auto"/>
              <w:jc w:val="center"/>
              <w:rPr>
                <w:noProof/>
              </w:rPr>
            </w:pPr>
            <w:r>
              <w:rPr>
                <w:noProof/>
              </w:rPr>
              <w:t>2021</w:t>
            </w:r>
          </w:p>
        </w:tc>
        <w:tc>
          <w:tcPr>
            <w:tcW w:w="2639" w:type="dxa"/>
            <w:shd w:val="clear" w:color="auto" w:fill="C6EFCE"/>
            <w:noWrap/>
          </w:tcPr>
          <w:p w14:paraId="74CA6F61" w14:textId="77777777" w:rsidR="00553430" w:rsidRDefault="00212577">
            <w:pPr>
              <w:pStyle w:val="P68B1DB1-Normal59"/>
              <w:spacing w:after="200" w:line="276" w:lineRule="auto"/>
              <w:contextualSpacing/>
              <w:rPr>
                <w:rFonts w:ascii="Times New Roman" w:eastAsia="Calibri" w:hAnsi="Times New Roman" w:cs="Times New Roman"/>
                <w:noProof/>
              </w:rPr>
            </w:pPr>
            <w:r>
              <w:rPr>
                <w:rFonts w:ascii="Times New Roman" w:eastAsia="Calibri" w:hAnsi="Times New Roman" w:cs="Times New Roman"/>
                <w:noProof/>
                <w:color w:val="000000" w:themeColor="text1"/>
              </w:rPr>
              <w:t xml:space="preserve">Le plan national pour le développement des services sociaux 2021-2027 recense les priorités pour le développement des services sociaux et décrit les besoins de tous les groupes </w:t>
            </w:r>
            <w:r>
              <w:rPr>
                <w:rFonts w:ascii="Times New Roman" w:eastAsia="Calibri" w:hAnsi="Times New Roman" w:cs="Times New Roman"/>
                <w:noProof/>
                <w:color w:val="000000" w:themeColor="text1"/>
              </w:rPr>
              <w:t>d’utilisateurs en matière de différentes formes de soins, tant non institutionnels qu’institutionnels, en vue de parvenir à un plan de soins systématique et global adapté aux besoins des utilisateurs. Le plan doit également définir et fixer les critères né</w:t>
            </w:r>
            <w:r>
              <w:rPr>
                <w:rFonts w:ascii="Times New Roman" w:eastAsia="Calibri" w:hAnsi="Times New Roman" w:cs="Times New Roman"/>
                <w:noProof/>
                <w:color w:val="000000" w:themeColor="text1"/>
              </w:rPr>
              <w:t>cessaires pour développer les services de résidence, les services à domicile et les services communautaires ainsi que d'autres services qui améliorent la qualité de vie et permettent aux utilisateurs de rester plus longtemps dans leur maison et leur commun</w:t>
            </w:r>
            <w:r>
              <w:rPr>
                <w:rFonts w:ascii="Times New Roman" w:eastAsia="Calibri" w:hAnsi="Times New Roman" w:cs="Times New Roman"/>
                <w:noProof/>
                <w:color w:val="000000" w:themeColor="text1"/>
              </w:rPr>
              <w:t>auté. Le plan décrira également la mise en place d'un service de tutorat social, ainsi que la transition des services institutionnels vers des services à domicile et des services de proximité dans le domaine des soins aux personnes âgées, qui:</w:t>
            </w:r>
            <w:r>
              <w:rPr>
                <w:rFonts w:ascii="Times New Roman" w:hAnsi="Times New Roman" w:cs="Times New Roman"/>
                <w:noProof/>
              </w:rPr>
              <w:br/>
            </w:r>
            <w:r>
              <w:rPr>
                <w:rFonts w:ascii="Times New Roman" w:eastAsia="Calibri" w:hAnsi="Times New Roman" w:cs="Times New Roman"/>
                <w:noProof/>
                <w:color w:val="000000" w:themeColor="text1"/>
              </w:rPr>
              <w:t>-soutenir le</w:t>
            </w:r>
            <w:r>
              <w:rPr>
                <w:rFonts w:ascii="Times New Roman" w:eastAsia="Calibri" w:hAnsi="Times New Roman" w:cs="Times New Roman"/>
                <w:noProof/>
                <w:color w:val="000000" w:themeColor="text1"/>
              </w:rPr>
              <w:t xml:space="preserve"> développement de services à domicile et de services de proximité pour les soins de longue durée; </w:t>
            </w:r>
            <w:r>
              <w:rPr>
                <w:rFonts w:ascii="Times New Roman" w:hAnsi="Times New Roman" w:cs="Times New Roman"/>
                <w:noProof/>
              </w:rPr>
              <w:br/>
            </w:r>
            <w:r>
              <w:rPr>
                <w:rFonts w:ascii="Times New Roman" w:eastAsia="Calibri" w:hAnsi="Times New Roman" w:cs="Times New Roman"/>
                <w:noProof/>
                <w:color w:val="000000" w:themeColor="text1"/>
              </w:rPr>
              <w:t>-veiller à ce que les services institutionnels ne soient disponibles que pour les personnes âgées qui dépendent entièrement, sur le plan fonctionnel, des soi</w:t>
            </w:r>
            <w:r>
              <w:rPr>
                <w:rFonts w:ascii="Times New Roman" w:eastAsia="Calibri" w:hAnsi="Times New Roman" w:cs="Times New Roman"/>
                <w:noProof/>
                <w:color w:val="000000" w:themeColor="text1"/>
              </w:rPr>
              <w:t>ns institutionnels et dont les besoins ne peuvent être satisfaits par des services extra-institutionnels;</w:t>
            </w:r>
            <w:r>
              <w:rPr>
                <w:rFonts w:ascii="Times New Roman" w:hAnsi="Times New Roman" w:cs="Times New Roman"/>
                <w:noProof/>
              </w:rPr>
              <w:br/>
            </w:r>
            <w:r>
              <w:rPr>
                <w:rFonts w:ascii="Times New Roman" w:eastAsia="Calibri" w:hAnsi="Times New Roman" w:cs="Times New Roman"/>
                <w:noProof/>
                <w:color w:val="000000" w:themeColor="text1"/>
              </w:rPr>
              <w:t>-Introduire une planification des soins de type semi-résidentiel ou résidentiel, avec une forte préférence pour les services de soins à domicile en te</w:t>
            </w:r>
            <w:r>
              <w:rPr>
                <w:rFonts w:ascii="Times New Roman" w:eastAsia="Calibri" w:hAnsi="Times New Roman" w:cs="Times New Roman"/>
                <w:noProof/>
                <w:color w:val="000000" w:themeColor="text1"/>
              </w:rPr>
              <w:t>nant compte de la disponibilité des services et des besoins des utilisateurs.</w:t>
            </w:r>
          </w:p>
        </w:tc>
      </w:tr>
      <w:tr w:rsidR="00553430" w14:paraId="03BCBFE9" w14:textId="77777777" w:rsidTr="00262866">
        <w:trPr>
          <w:trHeight w:val="282"/>
          <w:jc w:val="center"/>
        </w:trPr>
        <w:tc>
          <w:tcPr>
            <w:tcW w:w="1006" w:type="dxa"/>
            <w:shd w:val="clear" w:color="auto" w:fill="C6EFCE"/>
            <w:noWrap/>
          </w:tcPr>
          <w:p w14:paraId="03A33E01" w14:textId="77777777" w:rsidR="00553430" w:rsidRDefault="00212577">
            <w:pPr>
              <w:pStyle w:val="P68B1DB1-Normal66"/>
              <w:spacing w:after="200" w:line="276" w:lineRule="auto"/>
              <w:jc w:val="center"/>
              <w:rPr>
                <w:noProof/>
              </w:rPr>
            </w:pPr>
            <w:r>
              <w:rPr>
                <w:noProof/>
              </w:rPr>
              <w:t>313</w:t>
            </w:r>
          </w:p>
        </w:tc>
        <w:tc>
          <w:tcPr>
            <w:tcW w:w="1272" w:type="dxa"/>
            <w:shd w:val="clear" w:color="auto" w:fill="C6EFCE"/>
            <w:noWrap/>
          </w:tcPr>
          <w:p w14:paraId="288E5FC4" w14:textId="77777777" w:rsidR="00553430" w:rsidRDefault="00212577">
            <w:pPr>
              <w:pStyle w:val="P68B1DB1-Normal66"/>
              <w:spacing w:after="200" w:line="276" w:lineRule="auto"/>
              <w:jc w:val="center"/>
              <w:rPr>
                <w:noProof/>
              </w:rPr>
            </w:pPr>
            <w:r>
              <w:rPr>
                <w:noProof/>
              </w:rPr>
              <w:t>C4.3. R3</w:t>
            </w:r>
          </w:p>
        </w:tc>
        <w:tc>
          <w:tcPr>
            <w:tcW w:w="1080" w:type="dxa"/>
            <w:shd w:val="clear" w:color="auto" w:fill="C6EFCE"/>
            <w:noWrap/>
          </w:tcPr>
          <w:p w14:paraId="78FCACE7" w14:textId="77777777" w:rsidR="00553430" w:rsidRDefault="00212577">
            <w:pPr>
              <w:pStyle w:val="P68B1DB1-Normal66"/>
              <w:spacing w:after="200" w:line="276" w:lineRule="auto"/>
              <w:jc w:val="center"/>
              <w:rPr>
                <w:noProof/>
              </w:rPr>
            </w:pPr>
            <w:r>
              <w:rPr>
                <w:noProof/>
              </w:rPr>
              <w:t>M</w:t>
            </w:r>
          </w:p>
        </w:tc>
        <w:tc>
          <w:tcPr>
            <w:tcW w:w="1680" w:type="dxa"/>
            <w:shd w:val="clear" w:color="auto" w:fill="C6EFCE"/>
            <w:noWrap/>
          </w:tcPr>
          <w:p w14:paraId="10821DCC" w14:textId="77777777" w:rsidR="00553430" w:rsidRDefault="00212577">
            <w:pPr>
              <w:pStyle w:val="P68B1DB1-Normal66"/>
              <w:spacing w:after="200" w:line="276" w:lineRule="auto"/>
              <w:rPr>
                <w:noProof/>
              </w:rPr>
            </w:pPr>
            <w:r>
              <w:rPr>
                <w:noProof/>
              </w:rPr>
              <w:t xml:space="preserve">Adoption de normes de traitement pour les assistants familiaux </w:t>
            </w:r>
          </w:p>
        </w:tc>
        <w:tc>
          <w:tcPr>
            <w:tcW w:w="2040" w:type="dxa"/>
            <w:shd w:val="clear" w:color="auto" w:fill="C6EFCE"/>
            <w:noWrap/>
          </w:tcPr>
          <w:p w14:paraId="6ABDC298" w14:textId="31C9A511" w:rsidR="00553430" w:rsidRDefault="00212577">
            <w:pPr>
              <w:pStyle w:val="P68B1DB1-Normal66"/>
              <w:spacing w:after="200" w:line="276" w:lineRule="auto"/>
              <w:rPr>
                <w:noProof/>
              </w:rPr>
            </w:pPr>
            <w:r>
              <w:rPr>
                <w:noProof/>
              </w:rPr>
              <w:t xml:space="preserve">Adoption de normes de traitement pour les assistants familiaux  </w:t>
            </w:r>
          </w:p>
        </w:tc>
        <w:tc>
          <w:tcPr>
            <w:tcW w:w="960" w:type="dxa"/>
            <w:shd w:val="clear" w:color="auto" w:fill="C6EFCE"/>
            <w:noWrap/>
          </w:tcPr>
          <w:p w14:paraId="0CDF36DC" w14:textId="77777777" w:rsidR="00553430" w:rsidRDefault="00212577">
            <w:pPr>
              <w:pStyle w:val="P68B1DB1-Normal66"/>
              <w:spacing w:after="200" w:line="276" w:lineRule="auto"/>
              <w:jc w:val="center"/>
              <w:rPr>
                <w:noProof/>
              </w:rPr>
            </w:pPr>
            <w:r>
              <w:rPr>
                <w:noProof/>
              </w:rPr>
              <w:t> </w:t>
            </w:r>
          </w:p>
        </w:tc>
        <w:tc>
          <w:tcPr>
            <w:tcW w:w="1320" w:type="dxa"/>
            <w:shd w:val="clear" w:color="auto" w:fill="C6EFCE"/>
            <w:noWrap/>
          </w:tcPr>
          <w:p w14:paraId="6A485024" w14:textId="77777777" w:rsidR="00553430" w:rsidRDefault="00212577">
            <w:pPr>
              <w:pStyle w:val="P68B1DB1-Normal66"/>
              <w:spacing w:after="200" w:line="276" w:lineRule="auto"/>
              <w:jc w:val="center"/>
              <w:rPr>
                <w:noProof/>
              </w:rPr>
            </w:pPr>
            <w:r>
              <w:rPr>
                <w:noProof/>
              </w:rPr>
              <w:t> </w:t>
            </w:r>
          </w:p>
        </w:tc>
        <w:tc>
          <w:tcPr>
            <w:tcW w:w="1080" w:type="dxa"/>
            <w:shd w:val="clear" w:color="auto" w:fill="C6EFCE"/>
            <w:noWrap/>
          </w:tcPr>
          <w:p w14:paraId="73375416" w14:textId="77777777" w:rsidR="00553430" w:rsidRDefault="00212577">
            <w:pPr>
              <w:pStyle w:val="P68B1DB1-Normal66"/>
              <w:spacing w:after="200" w:line="276" w:lineRule="auto"/>
              <w:jc w:val="center"/>
              <w:rPr>
                <w:noProof/>
              </w:rPr>
            </w:pPr>
            <w:r>
              <w:rPr>
                <w:noProof/>
              </w:rPr>
              <w:t> </w:t>
            </w:r>
          </w:p>
        </w:tc>
        <w:tc>
          <w:tcPr>
            <w:tcW w:w="1020" w:type="dxa"/>
            <w:shd w:val="clear" w:color="auto" w:fill="C6EFCE"/>
            <w:noWrap/>
          </w:tcPr>
          <w:p w14:paraId="2CA1B61F" w14:textId="77777777" w:rsidR="00553430" w:rsidRDefault="00212577">
            <w:pPr>
              <w:pStyle w:val="P68B1DB1-Normal66"/>
              <w:spacing w:after="200" w:line="276" w:lineRule="auto"/>
              <w:jc w:val="center"/>
              <w:rPr>
                <w:noProof/>
              </w:rPr>
            </w:pPr>
            <w:r>
              <w:rPr>
                <w:noProof/>
              </w:rPr>
              <w:t>T4</w:t>
            </w:r>
          </w:p>
        </w:tc>
        <w:tc>
          <w:tcPr>
            <w:tcW w:w="709" w:type="dxa"/>
            <w:shd w:val="clear" w:color="auto" w:fill="C6EFCE"/>
            <w:noWrap/>
          </w:tcPr>
          <w:p w14:paraId="52D48CEA" w14:textId="77777777" w:rsidR="00553430" w:rsidRDefault="00212577">
            <w:pPr>
              <w:pStyle w:val="P68B1DB1-Normal66"/>
              <w:spacing w:after="200" w:line="276" w:lineRule="auto"/>
              <w:jc w:val="center"/>
              <w:rPr>
                <w:noProof/>
              </w:rPr>
            </w:pPr>
            <w:r>
              <w:rPr>
                <w:noProof/>
              </w:rPr>
              <w:t>2022</w:t>
            </w:r>
          </w:p>
        </w:tc>
        <w:tc>
          <w:tcPr>
            <w:tcW w:w="2639" w:type="dxa"/>
            <w:shd w:val="clear" w:color="auto" w:fill="C6EFCE"/>
            <w:noWrap/>
          </w:tcPr>
          <w:p w14:paraId="3F2EDC0D" w14:textId="77777777" w:rsidR="00553430" w:rsidRDefault="00212577">
            <w:pPr>
              <w:pStyle w:val="P68B1DB1-Normal66"/>
              <w:spacing w:after="200" w:line="276" w:lineRule="auto"/>
              <w:rPr>
                <w:noProof/>
              </w:rPr>
            </w:pPr>
            <w:r>
              <w:rPr>
                <w:noProof/>
              </w:rPr>
              <w:t xml:space="preserve">Les normes </w:t>
            </w:r>
            <w:r>
              <w:rPr>
                <w:noProof/>
              </w:rPr>
              <w:t>élaborées pour réglementer les activités des assistants familiaux permettent la fourniture harmonisée de services sur place au domicile du bénéficiaire, en coopération avec d’autres parties prenantes au niveau local.</w:t>
            </w:r>
          </w:p>
        </w:tc>
      </w:tr>
      <w:tr w:rsidR="00553430" w14:paraId="67647A83" w14:textId="77777777" w:rsidTr="00262866">
        <w:trPr>
          <w:trHeight w:val="282"/>
          <w:jc w:val="center"/>
        </w:trPr>
        <w:tc>
          <w:tcPr>
            <w:tcW w:w="1006" w:type="dxa"/>
            <w:shd w:val="clear" w:color="auto" w:fill="C6EFCE"/>
            <w:noWrap/>
          </w:tcPr>
          <w:p w14:paraId="7B1AF14F" w14:textId="77777777" w:rsidR="00553430" w:rsidRDefault="00212577">
            <w:pPr>
              <w:pStyle w:val="P68B1DB1-Normal66"/>
              <w:spacing w:after="200" w:line="276" w:lineRule="auto"/>
              <w:jc w:val="center"/>
              <w:rPr>
                <w:noProof/>
              </w:rPr>
            </w:pPr>
            <w:r>
              <w:rPr>
                <w:noProof/>
              </w:rPr>
              <w:t>314</w:t>
            </w:r>
          </w:p>
        </w:tc>
        <w:tc>
          <w:tcPr>
            <w:tcW w:w="1272" w:type="dxa"/>
            <w:shd w:val="clear" w:color="auto" w:fill="C6EFCE"/>
            <w:noWrap/>
          </w:tcPr>
          <w:p w14:paraId="53A84F38" w14:textId="77777777" w:rsidR="00553430" w:rsidRDefault="00212577">
            <w:pPr>
              <w:pStyle w:val="P68B1DB1-Normal66"/>
              <w:spacing w:after="200" w:line="276" w:lineRule="auto"/>
              <w:jc w:val="center"/>
              <w:rPr>
                <w:noProof/>
              </w:rPr>
            </w:pPr>
            <w:r>
              <w:rPr>
                <w:noProof/>
              </w:rPr>
              <w:t>C4.3. R3-I1</w:t>
            </w:r>
          </w:p>
        </w:tc>
        <w:tc>
          <w:tcPr>
            <w:tcW w:w="1080" w:type="dxa"/>
            <w:shd w:val="clear" w:color="auto" w:fill="C6EFCE"/>
            <w:noWrap/>
          </w:tcPr>
          <w:p w14:paraId="7AF40A5B" w14:textId="77777777" w:rsidR="00553430" w:rsidRDefault="00212577">
            <w:pPr>
              <w:pStyle w:val="P68B1DB1-Normal66"/>
              <w:spacing w:after="200" w:line="276" w:lineRule="auto"/>
              <w:jc w:val="center"/>
              <w:rPr>
                <w:noProof/>
              </w:rPr>
            </w:pPr>
            <w:r>
              <w:rPr>
                <w:noProof/>
              </w:rPr>
              <w:t>T</w:t>
            </w:r>
          </w:p>
        </w:tc>
        <w:tc>
          <w:tcPr>
            <w:tcW w:w="1680" w:type="dxa"/>
            <w:shd w:val="clear" w:color="auto" w:fill="C6EFCE"/>
            <w:noWrap/>
          </w:tcPr>
          <w:p w14:paraId="7F3E3E4A" w14:textId="77777777" w:rsidR="00553430" w:rsidRDefault="00212577">
            <w:pPr>
              <w:pStyle w:val="P68B1DB1-Normal66"/>
              <w:spacing w:after="200" w:line="276" w:lineRule="auto"/>
              <w:rPr>
                <w:noProof/>
              </w:rPr>
            </w:pPr>
            <w:r>
              <w:rPr>
                <w:noProof/>
              </w:rPr>
              <w:t xml:space="preserve">Renforcement des </w:t>
            </w:r>
            <w:r>
              <w:rPr>
                <w:noProof/>
              </w:rPr>
              <w:t>capacités humaines en matière de prestation de services communautaires</w:t>
            </w:r>
          </w:p>
        </w:tc>
        <w:tc>
          <w:tcPr>
            <w:tcW w:w="2040" w:type="dxa"/>
            <w:shd w:val="clear" w:color="auto" w:fill="C6EFCE"/>
            <w:noWrap/>
          </w:tcPr>
          <w:p w14:paraId="11E89931" w14:textId="77777777" w:rsidR="00553430" w:rsidRDefault="00212577">
            <w:pPr>
              <w:pStyle w:val="P68B1DB1-Normal66"/>
              <w:spacing w:after="200" w:line="276" w:lineRule="auto"/>
              <w:rPr>
                <w:noProof/>
              </w:rPr>
            </w:pPr>
            <w:r>
              <w:rPr>
                <w:noProof/>
              </w:rPr>
              <w:t> </w:t>
            </w:r>
          </w:p>
        </w:tc>
        <w:tc>
          <w:tcPr>
            <w:tcW w:w="960" w:type="dxa"/>
            <w:shd w:val="clear" w:color="auto" w:fill="C6EFCE"/>
            <w:noWrap/>
          </w:tcPr>
          <w:p w14:paraId="2349AD77" w14:textId="77777777" w:rsidR="00553430" w:rsidRDefault="00212577">
            <w:pPr>
              <w:pStyle w:val="P68B1DB1-Normal66"/>
              <w:spacing w:after="200" w:line="276" w:lineRule="auto"/>
              <w:jc w:val="center"/>
              <w:rPr>
                <w:noProof/>
              </w:rPr>
            </w:pPr>
            <w:r>
              <w:rPr>
                <w:noProof/>
              </w:rPr>
              <w:t>Numéro</w:t>
            </w:r>
          </w:p>
        </w:tc>
        <w:tc>
          <w:tcPr>
            <w:tcW w:w="1320" w:type="dxa"/>
            <w:shd w:val="clear" w:color="auto" w:fill="C6EFCE"/>
            <w:noWrap/>
          </w:tcPr>
          <w:p w14:paraId="5C907EB4" w14:textId="77777777" w:rsidR="00553430" w:rsidRDefault="00212577">
            <w:pPr>
              <w:pStyle w:val="P68B1DB1-Normal66"/>
              <w:spacing w:after="200" w:line="276" w:lineRule="auto"/>
              <w:ind w:right="638"/>
              <w:jc w:val="center"/>
              <w:rPr>
                <w:noProof/>
              </w:rPr>
            </w:pPr>
            <w:r>
              <w:rPr>
                <w:noProof/>
              </w:rPr>
              <w:t>0</w:t>
            </w:r>
          </w:p>
        </w:tc>
        <w:tc>
          <w:tcPr>
            <w:tcW w:w="1080" w:type="dxa"/>
            <w:shd w:val="clear" w:color="auto" w:fill="C6EFCE"/>
            <w:noWrap/>
          </w:tcPr>
          <w:p w14:paraId="2E599C61" w14:textId="77777777" w:rsidR="00553430" w:rsidRDefault="00212577">
            <w:pPr>
              <w:pStyle w:val="P68B1DB1-Normal66"/>
              <w:spacing w:after="200" w:line="276" w:lineRule="auto"/>
              <w:jc w:val="center"/>
              <w:rPr>
                <w:noProof/>
              </w:rPr>
            </w:pPr>
            <w:r>
              <w:rPr>
                <w:noProof/>
              </w:rPr>
              <w:t>400</w:t>
            </w:r>
          </w:p>
        </w:tc>
        <w:tc>
          <w:tcPr>
            <w:tcW w:w="1020" w:type="dxa"/>
            <w:shd w:val="clear" w:color="auto" w:fill="C6EFCE"/>
            <w:noWrap/>
          </w:tcPr>
          <w:p w14:paraId="3ED0F8AD" w14:textId="77777777" w:rsidR="00553430" w:rsidRDefault="00212577">
            <w:pPr>
              <w:pStyle w:val="P68B1DB1-Normal66"/>
              <w:spacing w:after="200" w:line="276" w:lineRule="auto"/>
              <w:jc w:val="center"/>
              <w:rPr>
                <w:noProof/>
              </w:rPr>
            </w:pPr>
            <w:r>
              <w:rPr>
                <w:noProof/>
              </w:rPr>
              <w:t>T4</w:t>
            </w:r>
          </w:p>
        </w:tc>
        <w:tc>
          <w:tcPr>
            <w:tcW w:w="709" w:type="dxa"/>
            <w:shd w:val="clear" w:color="auto" w:fill="C6EFCE"/>
            <w:noWrap/>
          </w:tcPr>
          <w:p w14:paraId="71E0CA9A" w14:textId="77777777" w:rsidR="00553430" w:rsidRDefault="00212577">
            <w:pPr>
              <w:pStyle w:val="P68B1DB1-Normal66"/>
              <w:spacing w:after="200" w:line="276" w:lineRule="auto"/>
              <w:jc w:val="center"/>
              <w:rPr>
                <w:noProof/>
              </w:rPr>
            </w:pPr>
            <w:r>
              <w:rPr>
                <w:noProof/>
              </w:rPr>
              <w:t>2024</w:t>
            </w:r>
          </w:p>
        </w:tc>
        <w:tc>
          <w:tcPr>
            <w:tcW w:w="2639" w:type="dxa"/>
            <w:shd w:val="clear" w:color="auto" w:fill="C6EFCE"/>
            <w:noWrap/>
          </w:tcPr>
          <w:p w14:paraId="57C97A44" w14:textId="77777777" w:rsidR="00553430" w:rsidRDefault="00212577">
            <w:pPr>
              <w:pStyle w:val="P68B1DB1-Normal66"/>
              <w:spacing w:after="200" w:line="276" w:lineRule="auto"/>
              <w:rPr>
                <w:noProof/>
              </w:rPr>
            </w:pPr>
            <w:r>
              <w:rPr>
                <w:noProof/>
              </w:rPr>
              <w:t>La prévention de l'institutionnalisation est assurée par le recrutement de nouveaux professionnels dans les services sociaux pour fournir des services extra-insti</w:t>
            </w:r>
            <w:r>
              <w:rPr>
                <w:noProof/>
              </w:rPr>
              <w:t>tutionnels et par la formation et l'agrément de conseillers sur les mesures juridiques de protection de la famille. En particulier, une formation continue et ciblée et l’octroi de licences aux professionnels des institutions de protection sociale pour la m</w:t>
            </w:r>
            <w:r>
              <w:rPr>
                <w:noProof/>
              </w:rPr>
              <w:t>ise en œuvre des mesures légales de protection de la famille en faveur des enfants (éducation et octroi de licences pour un total de 750 professionnels des services sociaux – conseillers en matière de mesures légales de protection de la famille et formatio</w:t>
            </w:r>
            <w:r>
              <w:rPr>
                <w:noProof/>
              </w:rPr>
              <w:t>n de 30 assistants familiaux) sont effectués. Le nombre de 400 travailleurs professionnels est recruté dans les institutions de protection sociale et les prestataires de services sociaux.</w:t>
            </w:r>
          </w:p>
        </w:tc>
      </w:tr>
      <w:tr w:rsidR="00553430" w14:paraId="3820A945" w14:textId="77777777" w:rsidTr="00262866">
        <w:trPr>
          <w:trHeight w:val="282"/>
          <w:jc w:val="center"/>
        </w:trPr>
        <w:tc>
          <w:tcPr>
            <w:tcW w:w="1006" w:type="dxa"/>
            <w:shd w:val="clear" w:color="auto" w:fill="C6EFCE"/>
            <w:noWrap/>
          </w:tcPr>
          <w:p w14:paraId="14BCDE71" w14:textId="77777777" w:rsidR="00553430" w:rsidRDefault="00212577">
            <w:pPr>
              <w:pStyle w:val="P68B1DB1-Normal66"/>
              <w:spacing w:after="200" w:line="276" w:lineRule="auto"/>
              <w:jc w:val="center"/>
              <w:rPr>
                <w:noProof/>
              </w:rPr>
            </w:pPr>
            <w:r>
              <w:rPr>
                <w:noProof/>
              </w:rPr>
              <w:t>316</w:t>
            </w:r>
          </w:p>
        </w:tc>
        <w:tc>
          <w:tcPr>
            <w:tcW w:w="1272" w:type="dxa"/>
            <w:shd w:val="clear" w:color="auto" w:fill="C6EFCE"/>
            <w:noWrap/>
          </w:tcPr>
          <w:p w14:paraId="2CAE4947" w14:textId="77777777" w:rsidR="00553430" w:rsidRDefault="00212577">
            <w:pPr>
              <w:pStyle w:val="P68B1DB1-Normal66"/>
              <w:spacing w:after="200" w:line="276" w:lineRule="auto"/>
              <w:jc w:val="center"/>
              <w:rPr>
                <w:noProof/>
              </w:rPr>
            </w:pPr>
            <w:r>
              <w:rPr>
                <w:noProof/>
              </w:rPr>
              <w:t>C4.3. R3-I3</w:t>
            </w:r>
          </w:p>
        </w:tc>
        <w:tc>
          <w:tcPr>
            <w:tcW w:w="1080" w:type="dxa"/>
            <w:shd w:val="clear" w:color="auto" w:fill="C6EFCE"/>
            <w:noWrap/>
          </w:tcPr>
          <w:p w14:paraId="353DF36C" w14:textId="77777777" w:rsidR="00553430" w:rsidRDefault="00212577">
            <w:pPr>
              <w:pStyle w:val="P68B1DB1-Normal66"/>
              <w:spacing w:after="200" w:line="276" w:lineRule="auto"/>
              <w:jc w:val="center"/>
              <w:rPr>
                <w:noProof/>
              </w:rPr>
            </w:pPr>
            <w:r>
              <w:rPr>
                <w:noProof/>
              </w:rPr>
              <w:t>M</w:t>
            </w:r>
          </w:p>
        </w:tc>
        <w:tc>
          <w:tcPr>
            <w:tcW w:w="1680" w:type="dxa"/>
            <w:shd w:val="clear" w:color="auto" w:fill="C6EFCE"/>
            <w:noWrap/>
          </w:tcPr>
          <w:p w14:paraId="24B04CC7" w14:textId="77777777" w:rsidR="00553430" w:rsidRDefault="00212577">
            <w:pPr>
              <w:pStyle w:val="P68B1DB1-Normal66"/>
              <w:spacing w:after="200" w:line="276" w:lineRule="auto"/>
              <w:rPr>
                <w:noProof/>
              </w:rPr>
            </w:pPr>
            <w:r>
              <w:rPr>
                <w:noProof/>
              </w:rPr>
              <w:t xml:space="preserve">Calcul informatique des prix des services sociaux et des prestataires de services dans le réseau </w:t>
            </w:r>
          </w:p>
        </w:tc>
        <w:tc>
          <w:tcPr>
            <w:tcW w:w="2040" w:type="dxa"/>
            <w:shd w:val="clear" w:color="auto" w:fill="C6EFCE"/>
            <w:noWrap/>
          </w:tcPr>
          <w:p w14:paraId="1A7E4044" w14:textId="77777777" w:rsidR="00553430" w:rsidRDefault="00212577">
            <w:pPr>
              <w:pStyle w:val="P68B1DB1-Normal66"/>
              <w:spacing w:after="200" w:line="276" w:lineRule="auto"/>
              <w:rPr>
                <w:noProof/>
              </w:rPr>
            </w:pPr>
            <w:r>
              <w:rPr>
                <w:noProof/>
              </w:rPr>
              <w:t xml:space="preserve">Système informatique développé et fonctionnel pour le calcul des prix de tous les services sociaux et de tous les prestataires de services du réseau </w:t>
            </w:r>
          </w:p>
        </w:tc>
        <w:tc>
          <w:tcPr>
            <w:tcW w:w="960" w:type="dxa"/>
            <w:shd w:val="clear" w:color="auto" w:fill="C6EFCE"/>
            <w:noWrap/>
          </w:tcPr>
          <w:p w14:paraId="78743F99" w14:textId="77777777" w:rsidR="00553430" w:rsidRDefault="00212577">
            <w:pPr>
              <w:pStyle w:val="P68B1DB1-Normal66"/>
              <w:spacing w:after="200" w:line="276" w:lineRule="auto"/>
              <w:jc w:val="center"/>
              <w:rPr>
                <w:noProof/>
              </w:rPr>
            </w:pPr>
            <w:r>
              <w:rPr>
                <w:noProof/>
              </w:rPr>
              <w:t>Numéro</w:t>
            </w:r>
          </w:p>
        </w:tc>
        <w:tc>
          <w:tcPr>
            <w:tcW w:w="1320" w:type="dxa"/>
            <w:shd w:val="clear" w:color="auto" w:fill="C6EFCE"/>
            <w:noWrap/>
          </w:tcPr>
          <w:p w14:paraId="1EB8DB0D" w14:textId="77777777" w:rsidR="00553430" w:rsidRDefault="00212577">
            <w:pPr>
              <w:pStyle w:val="P68B1DB1-Normal66"/>
              <w:spacing w:after="200" w:line="276" w:lineRule="auto"/>
              <w:jc w:val="center"/>
              <w:rPr>
                <w:noProof/>
              </w:rPr>
            </w:pPr>
            <w:r>
              <w:rPr>
                <w:noProof/>
              </w:rPr>
              <w:t>0</w:t>
            </w:r>
          </w:p>
        </w:tc>
        <w:tc>
          <w:tcPr>
            <w:tcW w:w="1080" w:type="dxa"/>
            <w:shd w:val="clear" w:color="auto" w:fill="C6EFCE"/>
            <w:noWrap/>
          </w:tcPr>
          <w:p w14:paraId="34B84EFA" w14:textId="77777777" w:rsidR="00553430" w:rsidRDefault="00212577">
            <w:pPr>
              <w:pStyle w:val="P68B1DB1-Normal66"/>
              <w:spacing w:after="200" w:line="276" w:lineRule="auto"/>
              <w:jc w:val="center"/>
              <w:rPr>
                <w:noProof/>
              </w:rPr>
            </w:pPr>
            <w:r>
              <w:rPr>
                <w:noProof/>
              </w:rPr>
              <w:t>1</w:t>
            </w:r>
          </w:p>
        </w:tc>
        <w:tc>
          <w:tcPr>
            <w:tcW w:w="1020" w:type="dxa"/>
            <w:shd w:val="clear" w:color="auto" w:fill="C6EFCE"/>
            <w:noWrap/>
          </w:tcPr>
          <w:p w14:paraId="1DBA8AB7" w14:textId="77777777" w:rsidR="00553430" w:rsidRDefault="00212577">
            <w:pPr>
              <w:pStyle w:val="P68B1DB1-Normal66"/>
              <w:spacing w:after="200" w:line="276" w:lineRule="auto"/>
              <w:jc w:val="center"/>
              <w:rPr>
                <w:noProof/>
              </w:rPr>
            </w:pPr>
            <w:r>
              <w:rPr>
                <w:noProof/>
              </w:rPr>
              <w:t>T2</w:t>
            </w:r>
          </w:p>
        </w:tc>
        <w:tc>
          <w:tcPr>
            <w:tcW w:w="709" w:type="dxa"/>
            <w:shd w:val="clear" w:color="auto" w:fill="C6EFCE"/>
            <w:noWrap/>
          </w:tcPr>
          <w:p w14:paraId="1868434F" w14:textId="77777777" w:rsidR="00553430" w:rsidRDefault="00212577">
            <w:pPr>
              <w:pStyle w:val="P68B1DB1-Normal66"/>
              <w:spacing w:after="200" w:line="276" w:lineRule="auto"/>
              <w:jc w:val="center"/>
              <w:rPr>
                <w:noProof/>
              </w:rPr>
            </w:pPr>
            <w:r>
              <w:rPr>
                <w:noProof/>
              </w:rPr>
              <w:t>2023</w:t>
            </w:r>
          </w:p>
        </w:tc>
        <w:tc>
          <w:tcPr>
            <w:tcW w:w="2639" w:type="dxa"/>
            <w:shd w:val="clear" w:color="auto" w:fill="C6EFCE"/>
            <w:noWrap/>
          </w:tcPr>
          <w:p w14:paraId="72EAE358" w14:textId="77777777" w:rsidR="00553430" w:rsidRDefault="00212577">
            <w:pPr>
              <w:pStyle w:val="P68B1DB1-Normal66"/>
              <w:spacing w:after="200" w:line="276" w:lineRule="auto"/>
              <w:rPr>
                <w:noProof/>
              </w:rPr>
            </w:pPr>
            <w:r>
              <w:rPr>
                <w:noProof/>
              </w:rPr>
              <w:t>Système informatique de gestion des données développé pour collecter et analyser automatiquement les données et calculer les prix pour tous les types de services sociaux fournis et tous les prestataires de services sociaux du réseau. L’investiss</w:t>
            </w:r>
            <w:r>
              <w:rPr>
                <w:noProof/>
              </w:rPr>
              <w:t>ement finance les exigences en matière de logiciels, de matériel informatique et d’éducation pour permettre la pleine fonctionnalité de la solution.</w:t>
            </w:r>
          </w:p>
        </w:tc>
      </w:tr>
      <w:tr w:rsidR="00553430" w14:paraId="47C4A1BB" w14:textId="77777777" w:rsidTr="00262866">
        <w:trPr>
          <w:trHeight w:val="282"/>
          <w:jc w:val="center"/>
        </w:trPr>
        <w:tc>
          <w:tcPr>
            <w:tcW w:w="1006" w:type="dxa"/>
            <w:shd w:val="clear" w:color="auto" w:fill="C6EFCE"/>
            <w:noWrap/>
          </w:tcPr>
          <w:p w14:paraId="580A911C" w14:textId="77777777" w:rsidR="00553430" w:rsidRDefault="00212577">
            <w:pPr>
              <w:pStyle w:val="P68B1DB1-Normal66"/>
              <w:spacing w:after="200" w:line="276" w:lineRule="auto"/>
              <w:jc w:val="center"/>
              <w:rPr>
                <w:noProof/>
              </w:rPr>
            </w:pPr>
            <w:r>
              <w:rPr>
                <w:noProof/>
              </w:rPr>
              <w:t>317</w:t>
            </w:r>
          </w:p>
        </w:tc>
        <w:tc>
          <w:tcPr>
            <w:tcW w:w="1272" w:type="dxa"/>
            <w:shd w:val="clear" w:color="auto" w:fill="C6EFCE"/>
            <w:noWrap/>
          </w:tcPr>
          <w:p w14:paraId="286DBF3B" w14:textId="77777777" w:rsidR="00553430" w:rsidRDefault="00212577">
            <w:pPr>
              <w:pStyle w:val="P68B1DB1-Normal66"/>
              <w:spacing w:after="200" w:line="276" w:lineRule="auto"/>
              <w:jc w:val="center"/>
              <w:rPr>
                <w:noProof/>
              </w:rPr>
            </w:pPr>
            <w:r>
              <w:rPr>
                <w:noProof/>
              </w:rPr>
              <w:t>C4.3. R3-I4</w:t>
            </w:r>
          </w:p>
        </w:tc>
        <w:tc>
          <w:tcPr>
            <w:tcW w:w="1080" w:type="dxa"/>
            <w:shd w:val="clear" w:color="auto" w:fill="C6EFCE"/>
            <w:noWrap/>
          </w:tcPr>
          <w:p w14:paraId="154E0F08" w14:textId="77777777" w:rsidR="00553430" w:rsidRDefault="00212577">
            <w:pPr>
              <w:pStyle w:val="P68B1DB1-Normal66"/>
              <w:spacing w:after="200" w:line="276" w:lineRule="auto"/>
              <w:jc w:val="center"/>
              <w:rPr>
                <w:noProof/>
              </w:rPr>
            </w:pPr>
            <w:r>
              <w:rPr>
                <w:noProof/>
              </w:rPr>
              <w:t>T</w:t>
            </w:r>
          </w:p>
        </w:tc>
        <w:tc>
          <w:tcPr>
            <w:tcW w:w="1680" w:type="dxa"/>
            <w:shd w:val="clear" w:color="auto" w:fill="C6EFCE"/>
            <w:noWrap/>
          </w:tcPr>
          <w:p w14:paraId="6EA35C27" w14:textId="77777777" w:rsidR="00553430" w:rsidRDefault="00212577">
            <w:pPr>
              <w:pStyle w:val="P68B1DB1-Normal66"/>
              <w:spacing w:after="200" w:line="276" w:lineRule="auto"/>
              <w:rPr>
                <w:noProof/>
              </w:rPr>
            </w:pPr>
            <w:r>
              <w:rPr>
                <w:noProof/>
              </w:rPr>
              <w:t xml:space="preserve">Construction de centres de soins institutionnels, à domicile et communautaires pour les personnes âgées </w:t>
            </w:r>
          </w:p>
        </w:tc>
        <w:tc>
          <w:tcPr>
            <w:tcW w:w="2040" w:type="dxa"/>
            <w:shd w:val="clear" w:color="auto" w:fill="C6EFCE"/>
            <w:noWrap/>
          </w:tcPr>
          <w:p w14:paraId="0C13317E" w14:textId="77777777" w:rsidR="00553430" w:rsidRDefault="00212577">
            <w:pPr>
              <w:pStyle w:val="P68B1DB1-Normal66"/>
              <w:spacing w:after="200" w:line="276" w:lineRule="auto"/>
              <w:rPr>
                <w:noProof/>
              </w:rPr>
            </w:pPr>
            <w:r>
              <w:rPr>
                <w:noProof/>
              </w:rPr>
              <w:t xml:space="preserve"> </w:t>
            </w:r>
          </w:p>
        </w:tc>
        <w:tc>
          <w:tcPr>
            <w:tcW w:w="960" w:type="dxa"/>
            <w:shd w:val="clear" w:color="auto" w:fill="C6EFCE"/>
            <w:noWrap/>
          </w:tcPr>
          <w:p w14:paraId="575E62D9" w14:textId="77777777" w:rsidR="00553430" w:rsidRDefault="00212577">
            <w:pPr>
              <w:pStyle w:val="P68B1DB1-Normal66"/>
              <w:spacing w:after="200" w:line="276" w:lineRule="auto"/>
              <w:jc w:val="center"/>
              <w:rPr>
                <w:noProof/>
              </w:rPr>
            </w:pPr>
            <w:r>
              <w:rPr>
                <w:noProof/>
              </w:rPr>
              <w:t>Numéro</w:t>
            </w:r>
          </w:p>
        </w:tc>
        <w:tc>
          <w:tcPr>
            <w:tcW w:w="1320" w:type="dxa"/>
            <w:shd w:val="clear" w:color="auto" w:fill="C6EFCE"/>
            <w:noWrap/>
          </w:tcPr>
          <w:p w14:paraId="5B0301E3" w14:textId="77777777" w:rsidR="00553430" w:rsidRDefault="00212577">
            <w:pPr>
              <w:pStyle w:val="P68B1DB1-Normal66"/>
              <w:spacing w:after="200" w:line="276" w:lineRule="auto"/>
              <w:jc w:val="center"/>
              <w:rPr>
                <w:noProof/>
              </w:rPr>
            </w:pPr>
            <w:r>
              <w:rPr>
                <w:noProof/>
              </w:rPr>
              <w:t>0</w:t>
            </w:r>
          </w:p>
        </w:tc>
        <w:tc>
          <w:tcPr>
            <w:tcW w:w="1080" w:type="dxa"/>
            <w:shd w:val="clear" w:color="auto" w:fill="C6EFCE"/>
            <w:noWrap/>
          </w:tcPr>
          <w:p w14:paraId="1D6C4040" w14:textId="0B826F45" w:rsidR="00553430" w:rsidRDefault="00212577">
            <w:pPr>
              <w:pStyle w:val="P68B1DB1-Normal66"/>
              <w:spacing w:after="200" w:line="276" w:lineRule="auto"/>
              <w:jc w:val="center"/>
              <w:rPr>
                <w:noProof/>
              </w:rPr>
            </w:pPr>
            <w:r>
              <w:rPr>
                <w:noProof/>
              </w:rPr>
              <w:t>9</w:t>
            </w:r>
          </w:p>
        </w:tc>
        <w:tc>
          <w:tcPr>
            <w:tcW w:w="1020" w:type="dxa"/>
            <w:shd w:val="clear" w:color="auto" w:fill="C6EFCE"/>
            <w:noWrap/>
          </w:tcPr>
          <w:p w14:paraId="5CE9A879" w14:textId="77777777" w:rsidR="00553430" w:rsidRDefault="00212577">
            <w:pPr>
              <w:pStyle w:val="P68B1DB1-Normal66"/>
              <w:spacing w:after="200" w:line="276" w:lineRule="auto"/>
              <w:jc w:val="center"/>
              <w:rPr>
                <w:noProof/>
              </w:rPr>
            </w:pPr>
            <w:r>
              <w:rPr>
                <w:noProof/>
              </w:rPr>
              <w:t>T2</w:t>
            </w:r>
          </w:p>
        </w:tc>
        <w:tc>
          <w:tcPr>
            <w:tcW w:w="709" w:type="dxa"/>
            <w:shd w:val="clear" w:color="auto" w:fill="C6EFCE"/>
            <w:noWrap/>
          </w:tcPr>
          <w:p w14:paraId="0AF0FFE7" w14:textId="77777777" w:rsidR="00553430" w:rsidRDefault="00212577">
            <w:pPr>
              <w:pStyle w:val="P68B1DB1-Normal66"/>
              <w:spacing w:after="200" w:line="276" w:lineRule="auto"/>
              <w:jc w:val="center"/>
              <w:rPr>
                <w:noProof/>
              </w:rPr>
            </w:pPr>
            <w:r>
              <w:rPr>
                <w:noProof/>
              </w:rPr>
              <w:t>2026</w:t>
            </w:r>
          </w:p>
        </w:tc>
        <w:tc>
          <w:tcPr>
            <w:tcW w:w="2639" w:type="dxa"/>
            <w:shd w:val="clear" w:color="auto" w:fill="C6EFCE"/>
            <w:noWrap/>
          </w:tcPr>
          <w:p w14:paraId="5A960181" w14:textId="02B54211" w:rsidR="00553430" w:rsidRDefault="00212577">
            <w:pPr>
              <w:pStyle w:val="P68B1DB1-Normal66"/>
              <w:spacing w:after="200" w:line="276" w:lineRule="auto"/>
              <w:rPr>
                <w:noProof/>
              </w:rPr>
            </w:pPr>
            <w:r>
              <w:rPr>
                <w:noProof/>
              </w:rPr>
              <w:t>La construction de neuf centres pour personnes âgées pouvant accueillir 900 bénéficiaires, exclusivement pour les personnes qui dé</w:t>
            </w:r>
            <w:r>
              <w:rPr>
                <w:noProof/>
              </w:rPr>
              <w:t>pendent entièrement, sur le plan fonctionnel, des soins institutionnels et dont les besoins ne peuvent être satisfaits à domicile ou au niveau de la communauté. En outre, les centres pour personnes âgées doivent créer les conditions nécessaires pour fourni</w:t>
            </w:r>
            <w:r>
              <w:rPr>
                <w:noProof/>
              </w:rPr>
              <w:t>r des soins de proximité et des services extra-institutionnels aux personnes âgées vivant à domicile.</w:t>
            </w:r>
          </w:p>
        </w:tc>
      </w:tr>
    </w:tbl>
    <w:p w14:paraId="4FEC3C76" w14:textId="77777777" w:rsidR="00553430" w:rsidRDefault="00553430">
      <w:pPr>
        <w:rPr>
          <w:noProof/>
        </w:rPr>
      </w:pPr>
    </w:p>
    <w:p w14:paraId="21796245" w14:textId="77777777" w:rsidR="00553430" w:rsidRDefault="00553430">
      <w:pPr>
        <w:rPr>
          <w:noProof/>
        </w:rPr>
        <w:sectPr w:rsidR="00553430" w:rsidSect="00FA29B2">
          <w:headerReference w:type="even" r:id="rId345"/>
          <w:headerReference w:type="default" r:id="rId346"/>
          <w:footerReference w:type="even" r:id="rId347"/>
          <w:footerReference w:type="default" r:id="rId348"/>
          <w:headerReference w:type="first" r:id="rId349"/>
          <w:footerReference w:type="first" r:id="rId350"/>
          <w:pgSz w:w="16839" w:h="11907" w:orient="landscape"/>
          <w:pgMar w:top="1134" w:right="1134" w:bottom="1134" w:left="1134" w:header="567" w:footer="567" w:gutter="0"/>
          <w:cols w:space="708"/>
          <w:docGrid w:linePitch="360"/>
        </w:sectPr>
      </w:pPr>
    </w:p>
    <w:p w14:paraId="2E73BD0F" w14:textId="49B0A8D7" w:rsidR="00553430" w:rsidRDefault="00212577">
      <w:pPr>
        <w:pStyle w:val="paragraph"/>
        <w:spacing w:before="0" w:beforeAutospacing="0" w:after="0" w:afterAutospacing="0"/>
        <w:ind w:left="840"/>
        <w:jc w:val="both"/>
        <w:textAlignment w:val="baseline"/>
        <w:rPr>
          <w:noProof/>
          <w:szCs w:val="24"/>
          <w:u w:val="single"/>
        </w:rPr>
      </w:pPr>
      <w:r>
        <w:rPr>
          <w:rStyle w:val="normaltextrun"/>
          <w:b/>
          <w:noProof/>
          <w:szCs w:val="24"/>
          <w:u w:val="single"/>
        </w:rPr>
        <w:t xml:space="preserve">T.3. </w:t>
      </w:r>
      <w:r>
        <w:rPr>
          <w:noProof/>
          <w:szCs w:val="24"/>
          <w:u w:val="single"/>
        </w:rPr>
        <w:t xml:space="preserve"> </w:t>
      </w:r>
      <w:r>
        <w:rPr>
          <w:rStyle w:val="normaltextrun"/>
          <w:b/>
          <w:noProof/>
          <w:szCs w:val="24"/>
          <w:u w:val="single"/>
        </w:rPr>
        <w:t xml:space="preserve">Description des réformes et des investissements pour le prêt </w:t>
      </w:r>
    </w:p>
    <w:p w14:paraId="2928B1BB" w14:textId="4C397A6B" w:rsidR="00553430" w:rsidRDefault="00212577">
      <w:pPr>
        <w:pStyle w:val="paragraph"/>
        <w:spacing w:before="0" w:beforeAutospacing="0" w:after="0" w:afterAutospacing="0"/>
        <w:ind w:left="840"/>
        <w:jc w:val="both"/>
        <w:textAlignment w:val="baseline"/>
        <w:rPr>
          <w:rStyle w:val="eop"/>
          <w:noProof/>
          <w:szCs w:val="24"/>
        </w:rPr>
      </w:pPr>
      <w:r>
        <w:rPr>
          <w:rStyle w:val="normaltextrun"/>
          <w:noProof/>
          <w:szCs w:val="24"/>
        </w:rPr>
        <w:t xml:space="preserve"> </w:t>
      </w:r>
    </w:p>
    <w:p w14:paraId="19371F23" w14:textId="77777777" w:rsidR="00553430" w:rsidRDefault="00212577">
      <w:pPr>
        <w:pStyle w:val="P68B1DB1-Normal42"/>
        <w:keepNext/>
        <w:spacing w:line="240" w:lineRule="auto"/>
        <w:ind w:left="851"/>
        <w:jc w:val="both"/>
        <w:rPr>
          <w:noProof/>
        </w:rPr>
      </w:pPr>
      <w:r>
        <w:rPr>
          <w:noProof/>
        </w:rPr>
        <w:t xml:space="preserve">Investissement </w:t>
      </w:r>
      <w:r>
        <w:rPr>
          <w:noProof/>
        </w:rPr>
        <w:t>C4.3 R3-I2 - Améliorer la numérisation du système de protection sociale et relier les centres de protection sociale aux prestataires de services sociaux</w:t>
      </w:r>
    </w:p>
    <w:p w14:paraId="72B25123" w14:textId="77777777" w:rsidR="00553430" w:rsidRDefault="00212577">
      <w:pPr>
        <w:pStyle w:val="P68B1DB1-Normal133"/>
        <w:spacing w:line="240" w:lineRule="auto"/>
        <w:jc w:val="both"/>
        <w:rPr>
          <w:noProof/>
        </w:rPr>
      </w:pPr>
      <w:r>
        <w:rPr>
          <w:noProof/>
        </w:rPr>
        <w:t>L'objectif de cet investissement est de mettre à niveau l'application d'aide sociale à domicile qui gèr</w:t>
      </w:r>
      <w:r>
        <w:rPr>
          <w:noProof/>
        </w:rPr>
        <w:t>e et enregistre les procédures relatives à la reconnaissance des droits aux services sociaux par les prestataires de services individuels. L’investissement comprend l’intégration de l’application dans le système informatique unique de protection sociale fo</w:t>
      </w:r>
      <w:r>
        <w:rPr>
          <w:noProof/>
        </w:rPr>
        <w:t xml:space="preserve">urnissant une plateforme numérique unique pour le suivi et l’analyse des données sur les utilisateurs et les services de protection sociale. </w:t>
      </w:r>
    </w:p>
    <w:p w14:paraId="3DDF9A3C" w14:textId="77777777" w:rsidR="00553430" w:rsidRDefault="00212577">
      <w:pPr>
        <w:pStyle w:val="P68B1DB1-Normal132"/>
        <w:spacing w:line="240" w:lineRule="auto"/>
        <w:jc w:val="both"/>
        <w:rPr>
          <w:noProof/>
          <w:u w:val="single"/>
        </w:rPr>
      </w:pPr>
      <w:r>
        <w:rPr>
          <w:noProof/>
        </w:rPr>
        <w:t>L’investissement est achevé au plus tard le 31 décembre 2024. </w:t>
      </w:r>
    </w:p>
    <w:p w14:paraId="462CC6A4" w14:textId="77777777" w:rsidR="00553430" w:rsidRDefault="00553430">
      <w:pPr>
        <w:rPr>
          <w:noProof/>
        </w:rPr>
        <w:sectPr w:rsidR="00553430" w:rsidSect="00FA29B2">
          <w:headerReference w:type="even" r:id="rId351"/>
          <w:headerReference w:type="default" r:id="rId352"/>
          <w:footerReference w:type="even" r:id="rId353"/>
          <w:footerReference w:type="default" r:id="rId354"/>
          <w:headerReference w:type="first" r:id="rId355"/>
          <w:footerReference w:type="first" r:id="rId356"/>
          <w:pgSz w:w="11907" w:h="16839"/>
          <w:pgMar w:top="1134" w:right="1134" w:bottom="1134" w:left="1134" w:header="567" w:footer="567" w:gutter="0"/>
          <w:cols w:space="708"/>
          <w:docGrid w:linePitch="360"/>
        </w:sectPr>
      </w:pPr>
    </w:p>
    <w:p w14:paraId="3ECD490F" w14:textId="0F9DF6AD" w:rsidR="00553430" w:rsidRDefault="00212577">
      <w:pPr>
        <w:pStyle w:val="paragraph"/>
        <w:spacing w:before="0" w:beforeAutospacing="0" w:after="0" w:afterAutospacing="0"/>
        <w:ind w:left="839"/>
        <w:jc w:val="both"/>
        <w:textAlignment w:val="baseline"/>
        <w:rPr>
          <w:rStyle w:val="eop"/>
          <w:noProof/>
          <w:u w:val="single"/>
        </w:rPr>
      </w:pPr>
      <w:r>
        <w:rPr>
          <w:rStyle w:val="normaltextrun"/>
          <w:b/>
          <w:noProof/>
          <w:u w:val="single"/>
        </w:rPr>
        <w:t xml:space="preserve">T.4. Étapes, objectifs, indicateurs et calendrier du suivi et de la mise en œuvre du prêt </w:t>
      </w:r>
    </w:p>
    <w:p w14:paraId="6478A93A" w14:textId="77777777" w:rsidR="00553430" w:rsidRDefault="00553430">
      <w:pPr>
        <w:pStyle w:val="paragraph"/>
        <w:spacing w:before="0" w:beforeAutospacing="0" w:after="0" w:afterAutospacing="0"/>
        <w:ind w:left="839"/>
        <w:jc w:val="both"/>
        <w:textAlignment w:val="baseline"/>
        <w:rPr>
          <w:rFonts w:ascii="Segoe UI" w:hAnsi="Segoe UI" w:cs="Segoe UI"/>
          <w:noProof/>
          <w:sz w:val="18"/>
          <w:szCs w:val="18"/>
          <w:u w:val="single"/>
        </w:rPr>
      </w:pPr>
    </w:p>
    <w:tbl>
      <w:tblPr>
        <w:tblW w:w="15727" w:type="dxa"/>
        <w:jc w:val="center"/>
        <w:tblCellMar>
          <w:top w:w="28" w:type="dxa"/>
          <w:left w:w="28" w:type="dxa"/>
          <w:bottom w:w="28" w:type="dxa"/>
          <w:right w:w="28" w:type="dxa"/>
        </w:tblCellMar>
        <w:tblLook w:val="04A0" w:firstRow="1" w:lastRow="0" w:firstColumn="1" w:lastColumn="0" w:noHBand="0" w:noVBand="1"/>
      </w:tblPr>
      <w:tblGrid>
        <w:gridCol w:w="846"/>
        <w:gridCol w:w="1178"/>
        <w:gridCol w:w="1091"/>
        <w:gridCol w:w="1838"/>
        <w:gridCol w:w="2010"/>
        <w:gridCol w:w="975"/>
        <w:gridCol w:w="852"/>
        <w:gridCol w:w="826"/>
        <w:gridCol w:w="893"/>
        <w:gridCol w:w="942"/>
        <w:gridCol w:w="4470"/>
      </w:tblGrid>
      <w:tr w:rsidR="00553430" w14:paraId="4D082C38" w14:textId="77777777">
        <w:trPr>
          <w:trHeight w:val="634"/>
          <w:tblHeader/>
          <w:jc w:val="center"/>
        </w:trPr>
        <w:tc>
          <w:tcPr>
            <w:tcW w:w="846"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400FBAD" w14:textId="77777777" w:rsidR="00553430" w:rsidRDefault="00212577">
            <w:pPr>
              <w:pStyle w:val="P68B1DB1-Normal58"/>
              <w:spacing w:after="0" w:line="276" w:lineRule="auto"/>
              <w:jc w:val="center"/>
              <w:rPr>
                <w:bCs/>
                <w:noProof/>
              </w:rPr>
            </w:pPr>
            <w:r>
              <w:rPr>
                <w:noProof/>
              </w:rPr>
              <w:t>Numéro</w:t>
            </w:r>
          </w:p>
        </w:tc>
        <w:tc>
          <w:tcPr>
            <w:tcW w:w="1178"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34C3DB03" w14:textId="77777777" w:rsidR="00553430" w:rsidRDefault="00212577">
            <w:pPr>
              <w:pStyle w:val="P68B1DB1-Normal58"/>
              <w:spacing w:after="0" w:line="276" w:lineRule="auto"/>
              <w:jc w:val="center"/>
              <w:rPr>
                <w:bCs/>
                <w:noProof/>
              </w:rPr>
            </w:pPr>
            <w:r>
              <w:rPr>
                <w:noProof/>
              </w:rPr>
              <w:t>Mesure</w:t>
            </w:r>
          </w:p>
        </w:tc>
        <w:tc>
          <w:tcPr>
            <w:tcW w:w="1091"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58B5E0A6" w14:textId="77777777" w:rsidR="00553430" w:rsidRDefault="00212577">
            <w:pPr>
              <w:pStyle w:val="P68B1DB1-Normal58"/>
              <w:spacing w:after="0" w:line="276" w:lineRule="auto"/>
              <w:jc w:val="center"/>
              <w:rPr>
                <w:bCs/>
                <w:noProof/>
              </w:rPr>
            </w:pPr>
            <w:r>
              <w:rPr>
                <w:noProof/>
              </w:rPr>
              <w:t>Étape/cible</w:t>
            </w:r>
          </w:p>
        </w:tc>
        <w:tc>
          <w:tcPr>
            <w:tcW w:w="1838" w:type="dxa"/>
            <w:vMerge w:val="restart"/>
            <w:tcBorders>
              <w:top w:val="single" w:sz="4" w:space="0" w:color="auto"/>
              <w:left w:val="nil"/>
              <w:bottom w:val="single" w:sz="4" w:space="0" w:color="000000"/>
              <w:right w:val="single" w:sz="4" w:space="0" w:color="auto"/>
            </w:tcBorders>
            <w:shd w:val="clear" w:color="auto" w:fill="BDD7EE"/>
            <w:vAlign w:val="center"/>
            <w:hideMark/>
          </w:tcPr>
          <w:p w14:paraId="547822FC" w14:textId="77777777" w:rsidR="00553430" w:rsidRDefault="00212577">
            <w:pPr>
              <w:pStyle w:val="P68B1DB1-Normal58"/>
              <w:spacing w:after="0" w:line="276" w:lineRule="auto"/>
              <w:jc w:val="center"/>
              <w:rPr>
                <w:bCs/>
                <w:noProof/>
              </w:rPr>
            </w:pPr>
            <w:r>
              <w:rPr>
                <w:noProof/>
              </w:rPr>
              <w:t>Nom</w:t>
            </w:r>
          </w:p>
        </w:tc>
        <w:tc>
          <w:tcPr>
            <w:tcW w:w="201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FE2FFDB"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qualitatifs</w:t>
            </w:r>
            <w:r>
              <w:rPr>
                <w:rFonts w:ascii="Times New Roman" w:eastAsia="Calibri" w:hAnsi="Times New Roman" w:cs="Times New Roman"/>
                <w:noProof/>
              </w:rPr>
              <w:br/>
            </w:r>
            <w:r>
              <w:rPr>
                <w:rFonts w:ascii="Times New Roman" w:eastAsia="Times New Roman" w:hAnsi="Times New Roman" w:cs="Times New Roman"/>
                <w:b/>
                <w:noProof/>
              </w:rPr>
              <w:t>(pour les jalons)</w:t>
            </w:r>
          </w:p>
        </w:tc>
        <w:tc>
          <w:tcPr>
            <w:tcW w:w="2603" w:type="dxa"/>
            <w:gridSpan w:val="3"/>
            <w:tcBorders>
              <w:top w:val="single" w:sz="4" w:space="0" w:color="auto"/>
              <w:left w:val="nil"/>
              <w:bottom w:val="single" w:sz="4" w:space="0" w:color="auto"/>
              <w:right w:val="single" w:sz="4" w:space="0" w:color="auto"/>
            </w:tcBorders>
            <w:shd w:val="clear" w:color="auto" w:fill="BDD7EE"/>
            <w:vAlign w:val="center"/>
            <w:hideMark/>
          </w:tcPr>
          <w:p w14:paraId="627E3405"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eastAsia="Calibri" w:hAnsi="Times New Roman" w:cs="Times New Roman"/>
                <w:noProof/>
              </w:rPr>
              <w:br/>
            </w:r>
            <w:r>
              <w:rPr>
                <w:rFonts w:ascii="Times New Roman" w:eastAsia="Times New Roman" w:hAnsi="Times New Roman" w:cs="Times New Roman"/>
                <w:b/>
                <w:noProof/>
              </w:rPr>
              <w:t>(pour les objectifs)</w:t>
            </w:r>
          </w:p>
        </w:tc>
        <w:tc>
          <w:tcPr>
            <w:tcW w:w="1691" w:type="dxa"/>
            <w:gridSpan w:val="2"/>
            <w:tcBorders>
              <w:top w:val="single" w:sz="4" w:space="0" w:color="auto"/>
              <w:left w:val="nil"/>
              <w:bottom w:val="single" w:sz="4" w:space="0" w:color="auto"/>
              <w:right w:val="single" w:sz="4" w:space="0" w:color="auto"/>
            </w:tcBorders>
            <w:shd w:val="clear" w:color="auto" w:fill="BDD7EE"/>
            <w:vAlign w:val="center"/>
            <w:hideMark/>
          </w:tcPr>
          <w:p w14:paraId="1E9E9E40" w14:textId="77777777" w:rsidR="00553430" w:rsidRDefault="00212577">
            <w:pPr>
              <w:pStyle w:val="P68B1DB1-Normal58"/>
              <w:spacing w:after="0" w:line="276" w:lineRule="auto"/>
              <w:jc w:val="center"/>
              <w:rPr>
                <w:bCs/>
                <w:noProof/>
              </w:rPr>
            </w:pPr>
            <w:r>
              <w:rPr>
                <w:noProof/>
              </w:rPr>
              <w:t>Temps</w:t>
            </w:r>
          </w:p>
        </w:tc>
        <w:tc>
          <w:tcPr>
            <w:tcW w:w="44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29CF72" w14:textId="77777777" w:rsidR="00553430" w:rsidRDefault="00212577">
            <w:pPr>
              <w:pStyle w:val="P68B1DB1-Normal58"/>
              <w:spacing w:after="0" w:line="276" w:lineRule="auto"/>
              <w:jc w:val="center"/>
              <w:rPr>
                <w:bCs/>
                <w:noProof/>
              </w:rPr>
            </w:pPr>
            <w:r>
              <w:rPr>
                <w:noProof/>
              </w:rPr>
              <w:t>Description de</w:t>
            </w:r>
            <w:r>
              <w:rPr>
                <w:noProof/>
              </w:rPr>
              <w:t xml:space="preserve"> chaque jalon et cible</w:t>
            </w:r>
          </w:p>
        </w:tc>
      </w:tr>
      <w:tr w:rsidR="00553430" w14:paraId="1489CA10" w14:textId="77777777">
        <w:trPr>
          <w:trHeight w:val="502"/>
          <w:tblHeader/>
          <w:jc w:val="center"/>
        </w:trPr>
        <w:tc>
          <w:tcPr>
            <w:tcW w:w="846" w:type="dxa"/>
            <w:vMerge/>
            <w:tcBorders>
              <w:top w:val="single" w:sz="4" w:space="0" w:color="auto"/>
              <w:left w:val="single" w:sz="4" w:space="0" w:color="auto"/>
              <w:bottom w:val="single" w:sz="4" w:space="0" w:color="000000"/>
              <w:right w:val="single" w:sz="4" w:space="0" w:color="auto"/>
            </w:tcBorders>
            <w:hideMark/>
          </w:tcPr>
          <w:p w14:paraId="4D953816"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178" w:type="dxa"/>
            <w:vMerge/>
            <w:tcBorders>
              <w:top w:val="single" w:sz="4" w:space="0" w:color="auto"/>
              <w:left w:val="single" w:sz="4" w:space="0" w:color="auto"/>
              <w:bottom w:val="single" w:sz="4" w:space="0" w:color="000000"/>
              <w:right w:val="single" w:sz="4" w:space="0" w:color="auto"/>
            </w:tcBorders>
            <w:hideMark/>
          </w:tcPr>
          <w:p w14:paraId="7095725D"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91" w:type="dxa"/>
            <w:vMerge/>
            <w:tcBorders>
              <w:top w:val="single" w:sz="4" w:space="0" w:color="auto"/>
              <w:left w:val="single" w:sz="4" w:space="0" w:color="auto"/>
              <w:bottom w:val="single" w:sz="4" w:space="0" w:color="000000"/>
              <w:right w:val="single" w:sz="4" w:space="0" w:color="auto"/>
            </w:tcBorders>
            <w:hideMark/>
          </w:tcPr>
          <w:p w14:paraId="305159D7"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838" w:type="dxa"/>
            <w:vMerge/>
            <w:tcBorders>
              <w:top w:val="single" w:sz="4" w:space="0" w:color="auto"/>
              <w:left w:val="nil"/>
              <w:bottom w:val="single" w:sz="4" w:space="0" w:color="000000"/>
              <w:right w:val="single" w:sz="4" w:space="0" w:color="auto"/>
            </w:tcBorders>
            <w:hideMark/>
          </w:tcPr>
          <w:p w14:paraId="3BF050EB" w14:textId="77777777" w:rsidR="00553430" w:rsidRDefault="00553430">
            <w:pPr>
              <w:spacing w:after="0" w:line="276" w:lineRule="auto"/>
              <w:rPr>
                <w:rFonts w:ascii="Times New Roman" w:eastAsia="Times New Roman" w:hAnsi="Times New Roman" w:cs="Times New Roman"/>
                <w:b/>
                <w:noProof/>
                <w:sz w:val="20"/>
                <w:szCs w:val="20"/>
              </w:rPr>
            </w:pPr>
          </w:p>
        </w:tc>
        <w:tc>
          <w:tcPr>
            <w:tcW w:w="2010" w:type="dxa"/>
            <w:vMerge/>
            <w:tcBorders>
              <w:top w:val="single" w:sz="4" w:space="0" w:color="auto"/>
              <w:left w:val="single" w:sz="4" w:space="0" w:color="auto"/>
              <w:bottom w:val="single" w:sz="4" w:space="0" w:color="000000"/>
              <w:right w:val="single" w:sz="4" w:space="0" w:color="auto"/>
            </w:tcBorders>
            <w:hideMark/>
          </w:tcPr>
          <w:p w14:paraId="0D5D099C" w14:textId="77777777" w:rsidR="00553430" w:rsidRDefault="00553430">
            <w:pPr>
              <w:spacing w:after="0" w:line="276" w:lineRule="auto"/>
              <w:rPr>
                <w:rFonts w:ascii="Times New Roman" w:eastAsia="Times New Roman" w:hAnsi="Times New Roman" w:cs="Times New Roman"/>
                <w:b/>
                <w:noProof/>
                <w:sz w:val="20"/>
                <w:szCs w:val="20"/>
              </w:rPr>
            </w:pPr>
          </w:p>
        </w:tc>
        <w:tc>
          <w:tcPr>
            <w:tcW w:w="975" w:type="dxa"/>
            <w:tcBorders>
              <w:top w:val="nil"/>
              <w:left w:val="nil"/>
              <w:bottom w:val="single" w:sz="4" w:space="0" w:color="auto"/>
              <w:right w:val="single" w:sz="4" w:space="0" w:color="auto"/>
            </w:tcBorders>
            <w:shd w:val="clear" w:color="auto" w:fill="BDD7EE"/>
            <w:vAlign w:val="center"/>
            <w:hideMark/>
          </w:tcPr>
          <w:p w14:paraId="45466F07" w14:textId="77777777" w:rsidR="00553430" w:rsidRDefault="00212577">
            <w:pPr>
              <w:pStyle w:val="P68B1DB1-Normal58"/>
              <w:spacing w:after="0" w:line="276" w:lineRule="auto"/>
              <w:jc w:val="center"/>
              <w:rPr>
                <w:bCs/>
                <w:noProof/>
              </w:rPr>
            </w:pPr>
            <w:r>
              <w:rPr>
                <w:noProof/>
              </w:rPr>
              <w:t>Unité</w:t>
            </w:r>
          </w:p>
        </w:tc>
        <w:tc>
          <w:tcPr>
            <w:tcW w:w="802" w:type="dxa"/>
            <w:tcBorders>
              <w:top w:val="nil"/>
              <w:left w:val="nil"/>
              <w:bottom w:val="single" w:sz="4" w:space="0" w:color="auto"/>
              <w:right w:val="single" w:sz="4" w:space="0" w:color="auto"/>
            </w:tcBorders>
            <w:shd w:val="clear" w:color="auto" w:fill="BDD7EE"/>
            <w:vAlign w:val="center"/>
            <w:hideMark/>
          </w:tcPr>
          <w:p w14:paraId="3A1E32B7" w14:textId="77777777" w:rsidR="00553430" w:rsidRDefault="00212577">
            <w:pPr>
              <w:pStyle w:val="P68B1DB1-Normal58"/>
              <w:spacing w:after="0" w:line="276" w:lineRule="auto"/>
              <w:jc w:val="center"/>
              <w:rPr>
                <w:bCs/>
                <w:noProof/>
              </w:rPr>
            </w:pPr>
            <w:r>
              <w:rPr>
                <w:noProof/>
              </w:rPr>
              <w:t>Données de référence</w:t>
            </w:r>
          </w:p>
        </w:tc>
        <w:tc>
          <w:tcPr>
            <w:tcW w:w="826" w:type="dxa"/>
            <w:tcBorders>
              <w:top w:val="nil"/>
              <w:left w:val="nil"/>
              <w:bottom w:val="single" w:sz="4" w:space="0" w:color="auto"/>
              <w:right w:val="single" w:sz="4" w:space="0" w:color="auto"/>
            </w:tcBorders>
            <w:shd w:val="clear" w:color="auto" w:fill="BDD7EE"/>
            <w:vAlign w:val="center"/>
            <w:hideMark/>
          </w:tcPr>
          <w:p w14:paraId="338C61C9" w14:textId="77777777" w:rsidR="00553430" w:rsidRDefault="00212577">
            <w:pPr>
              <w:pStyle w:val="P68B1DB1-Normal58"/>
              <w:spacing w:after="0" w:line="276" w:lineRule="auto"/>
              <w:jc w:val="center"/>
              <w:rPr>
                <w:bCs/>
                <w:noProof/>
              </w:rPr>
            </w:pPr>
            <w:r>
              <w:rPr>
                <w:noProof/>
              </w:rPr>
              <w:t>Objectif</w:t>
            </w:r>
          </w:p>
        </w:tc>
        <w:tc>
          <w:tcPr>
            <w:tcW w:w="749" w:type="dxa"/>
            <w:tcBorders>
              <w:top w:val="nil"/>
              <w:left w:val="nil"/>
              <w:bottom w:val="single" w:sz="4" w:space="0" w:color="auto"/>
              <w:right w:val="single" w:sz="4" w:space="0" w:color="auto"/>
            </w:tcBorders>
            <w:shd w:val="clear" w:color="auto" w:fill="BDD7EE"/>
            <w:vAlign w:val="center"/>
            <w:hideMark/>
          </w:tcPr>
          <w:p w14:paraId="2B90248D" w14:textId="77777777" w:rsidR="00553430" w:rsidRDefault="00212577">
            <w:pPr>
              <w:pStyle w:val="P68B1DB1-Normal58"/>
              <w:spacing w:after="0" w:line="276" w:lineRule="auto"/>
              <w:jc w:val="center"/>
              <w:rPr>
                <w:bCs/>
                <w:noProof/>
              </w:rPr>
            </w:pPr>
            <w:r>
              <w:rPr>
                <w:noProof/>
              </w:rPr>
              <w:t>Trimestre</w:t>
            </w:r>
          </w:p>
        </w:tc>
        <w:tc>
          <w:tcPr>
            <w:tcW w:w="942" w:type="dxa"/>
            <w:tcBorders>
              <w:top w:val="nil"/>
              <w:left w:val="nil"/>
              <w:bottom w:val="single" w:sz="4" w:space="0" w:color="auto"/>
              <w:right w:val="single" w:sz="4" w:space="0" w:color="auto"/>
            </w:tcBorders>
            <w:shd w:val="clear" w:color="auto" w:fill="BDD7EE"/>
            <w:vAlign w:val="center"/>
            <w:hideMark/>
          </w:tcPr>
          <w:p w14:paraId="53D70878" w14:textId="77777777" w:rsidR="00553430" w:rsidRDefault="00212577">
            <w:pPr>
              <w:pStyle w:val="P68B1DB1-Normal58"/>
              <w:spacing w:after="0" w:line="276" w:lineRule="auto"/>
              <w:jc w:val="center"/>
              <w:rPr>
                <w:bCs/>
                <w:noProof/>
              </w:rPr>
            </w:pPr>
            <w:r>
              <w:rPr>
                <w:noProof/>
              </w:rPr>
              <w:t>Année</w:t>
            </w:r>
          </w:p>
        </w:tc>
        <w:tc>
          <w:tcPr>
            <w:tcW w:w="4470" w:type="dxa"/>
            <w:vMerge/>
            <w:tcBorders>
              <w:top w:val="single" w:sz="4" w:space="0" w:color="auto"/>
              <w:left w:val="single" w:sz="4" w:space="0" w:color="auto"/>
              <w:bottom w:val="single" w:sz="4" w:space="0" w:color="auto"/>
              <w:right w:val="single" w:sz="4" w:space="0" w:color="auto"/>
            </w:tcBorders>
            <w:hideMark/>
          </w:tcPr>
          <w:p w14:paraId="7B6CB5DD"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05AF9770" w14:textId="77777777">
        <w:trPr>
          <w:trHeight w:val="282"/>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05197526" w14:textId="77777777" w:rsidR="00553430" w:rsidRDefault="00212577">
            <w:pPr>
              <w:pStyle w:val="P68B1DB1-Normal66"/>
              <w:spacing w:after="200" w:line="276" w:lineRule="auto"/>
              <w:jc w:val="center"/>
              <w:rPr>
                <w:noProof/>
              </w:rPr>
            </w:pPr>
            <w:r>
              <w:rPr>
                <w:noProof/>
              </w:rPr>
              <w:t>3</w:t>
            </w:r>
            <w:r>
              <w:rPr>
                <w:noProof/>
              </w:rPr>
              <w:t>15</w:t>
            </w:r>
          </w:p>
        </w:tc>
        <w:tc>
          <w:tcPr>
            <w:tcW w:w="1178" w:type="dxa"/>
            <w:tcBorders>
              <w:top w:val="single" w:sz="4" w:space="0" w:color="auto"/>
              <w:left w:val="nil"/>
              <w:bottom w:val="single" w:sz="4" w:space="0" w:color="auto"/>
              <w:right w:val="single" w:sz="4" w:space="0" w:color="auto"/>
            </w:tcBorders>
            <w:shd w:val="clear" w:color="auto" w:fill="C6EFCE"/>
            <w:noWrap/>
          </w:tcPr>
          <w:p w14:paraId="3CAFE229" w14:textId="77777777" w:rsidR="00553430" w:rsidRDefault="00212577">
            <w:pPr>
              <w:pStyle w:val="P68B1DB1-Normal66"/>
              <w:spacing w:after="200" w:line="276" w:lineRule="auto"/>
              <w:jc w:val="center"/>
              <w:rPr>
                <w:noProof/>
              </w:rPr>
            </w:pPr>
            <w:r>
              <w:rPr>
                <w:noProof/>
              </w:rPr>
              <w:t>C4.3. R3-I2</w:t>
            </w:r>
          </w:p>
        </w:tc>
        <w:tc>
          <w:tcPr>
            <w:tcW w:w="1091" w:type="dxa"/>
            <w:tcBorders>
              <w:top w:val="single" w:sz="4" w:space="0" w:color="auto"/>
              <w:left w:val="nil"/>
              <w:bottom w:val="single" w:sz="4" w:space="0" w:color="auto"/>
              <w:right w:val="single" w:sz="4" w:space="0" w:color="auto"/>
            </w:tcBorders>
            <w:shd w:val="clear" w:color="auto" w:fill="C6EFCE"/>
            <w:noWrap/>
          </w:tcPr>
          <w:p w14:paraId="428410F1" w14:textId="77777777" w:rsidR="00553430" w:rsidRDefault="00212577">
            <w:pPr>
              <w:pStyle w:val="P68B1DB1-Normal66"/>
              <w:spacing w:after="200" w:line="276" w:lineRule="auto"/>
              <w:jc w:val="center"/>
              <w:rPr>
                <w:noProof/>
              </w:rPr>
            </w:pPr>
            <w:r>
              <w:rPr>
                <w:noProof/>
              </w:rPr>
              <w:t>T</w:t>
            </w:r>
          </w:p>
        </w:tc>
        <w:tc>
          <w:tcPr>
            <w:tcW w:w="1838" w:type="dxa"/>
            <w:tcBorders>
              <w:top w:val="single" w:sz="4" w:space="0" w:color="auto"/>
              <w:left w:val="nil"/>
              <w:bottom w:val="single" w:sz="4" w:space="0" w:color="auto"/>
              <w:right w:val="single" w:sz="4" w:space="0" w:color="auto"/>
            </w:tcBorders>
            <w:shd w:val="clear" w:color="auto" w:fill="C6EFCE"/>
            <w:noWrap/>
          </w:tcPr>
          <w:p w14:paraId="5F8AC36B" w14:textId="77777777" w:rsidR="00553430" w:rsidRDefault="00212577">
            <w:pPr>
              <w:pStyle w:val="P68B1DB1-Normal66"/>
              <w:spacing w:after="200" w:line="276" w:lineRule="auto"/>
              <w:rPr>
                <w:noProof/>
                <w:u w:val="single"/>
              </w:rPr>
            </w:pPr>
            <w:r>
              <w:rPr>
                <w:noProof/>
              </w:rPr>
              <w:t>Système d'information unique (système d'information SocSkrb)</w:t>
            </w:r>
            <w:r>
              <w:rPr>
                <w:noProof/>
                <w:u w:val="single"/>
              </w:rPr>
              <w:t xml:space="preserve"> </w:t>
            </w:r>
          </w:p>
        </w:tc>
        <w:tc>
          <w:tcPr>
            <w:tcW w:w="2010" w:type="dxa"/>
            <w:tcBorders>
              <w:top w:val="single" w:sz="4" w:space="0" w:color="auto"/>
              <w:left w:val="nil"/>
              <w:bottom w:val="single" w:sz="4" w:space="0" w:color="auto"/>
              <w:right w:val="single" w:sz="4" w:space="0" w:color="auto"/>
            </w:tcBorders>
            <w:shd w:val="clear" w:color="auto" w:fill="C6EFCE"/>
            <w:noWrap/>
          </w:tcPr>
          <w:p w14:paraId="6977BFDA" w14:textId="77777777" w:rsidR="00553430" w:rsidRDefault="00212577">
            <w:pPr>
              <w:pStyle w:val="P68B1DB1-Normal110"/>
              <w:spacing w:after="200" w:line="276" w:lineRule="auto"/>
              <w:rPr>
                <w:noProof/>
              </w:rPr>
            </w:pPr>
            <w:r>
              <w:rPr>
                <w:noProof/>
              </w:rPr>
              <w:t xml:space="preserve"> </w:t>
            </w:r>
          </w:p>
        </w:tc>
        <w:tc>
          <w:tcPr>
            <w:tcW w:w="975" w:type="dxa"/>
            <w:tcBorders>
              <w:top w:val="single" w:sz="4" w:space="0" w:color="auto"/>
              <w:left w:val="nil"/>
              <w:bottom w:val="single" w:sz="4" w:space="0" w:color="auto"/>
              <w:right w:val="single" w:sz="4" w:space="0" w:color="auto"/>
            </w:tcBorders>
            <w:shd w:val="clear" w:color="auto" w:fill="C6EFCE"/>
            <w:noWrap/>
          </w:tcPr>
          <w:p w14:paraId="3208022F" w14:textId="77777777" w:rsidR="00553430" w:rsidRDefault="00212577">
            <w:pPr>
              <w:pStyle w:val="P68B1DB1-Normal66"/>
              <w:spacing w:after="200" w:line="276" w:lineRule="auto"/>
              <w:jc w:val="center"/>
              <w:rPr>
                <w:noProof/>
              </w:rPr>
            </w:pPr>
            <w:r>
              <w:rPr>
                <w:noProof/>
              </w:rPr>
              <w:t>Numéro</w:t>
            </w:r>
          </w:p>
        </w:tc>
        <w:tc>
          <w:tcPr>
            <w:tcW w:w="802" w:type="dxa"/>
            <w:tcBorders>
              <w:top w:val="single" w:sz="4" w:space="0" w:color="auto"/>
              <w:left w:val="nil"/>
              <w:bottom w:val="single" w:sz="4" w:space="0" w:color="auto"/>
              <w:right w:val="single" w:sz="4" w:space="0" w:color="auto"/>
            </w:tcBorders>
            <w:shd w:val="clear" w:color="auto" w:fill="C6EFCE"/>
            <w:noWrap/>
          </w:tcPr>
          <w:p w14:paraId="7848A5CE" w14:textId="77777777" w:rsidR="00553430" w:rsidRDefault="00212577">
            <w:pPr>
              <w:pStyle w:val="P68B1DB1-Normal66"/>
              <w:spacing w:after="200" w:line="276" w:lineRule="auto"/>
              <w:jc w:val="center"/>
              <w:rPr>
                <w:noProof/>
              </w:rPr>
            </w:pPr>
            <w:r>
              <w:rPr>
                <w:noProof/>
              </w:rPr>
              <w:t>0</w:t>
            </w:r>
          </w:p>
        </w:tc>
        <w:tc>
          <w:tcPr>
            <w:tcW w:w="826" w:type="dxa"/>
            <w:tcBorders>
              <w:top w:val="single" w:sz="4" w:space="0" w:color="auto"/>
              <w:left w:val="nil"/>
              <w:bottom w:val="single" w:sz="4" w:space="0" w:color="auto"/>
              <w:right w:val="single" w:sz="4" w:space="0" w:color="auto"/>
            </w:tcBorders>
            <w:shd w:val="clear" w:color="auto" w:fill="C6EFCE"/>
            <w:noWrap/>
          </w:tcPr>
          <w:p w14:paraId="160DBCC9" w14:textId="77777777" w:rsidR="00553430" w:rsidRDefault="00212577">
            <w:pPr>
              <w:pStyle w:val="P68B1DB1-Normal66"/>
              <w:spacing w:after="200" w:line="276" w:lineRule="auto"/>
              <w:jc w:val="center"/>
              <w:rPr>
                <w:noProof/>
              </w:rPr>
            </w:pPr>
            <w:r>
              <w:rPr>
                <w:noProof/>
              </w:rPr>
              <w:t>1</w:t>
            </w:r>
          </w:p>
        </w:tc>
        <w:tc>
          <w:tcPr>
            <w:tcW w:w="749" w:type="dxa"/>
            <w:tcBorders>
              <w:top w:val="single" w:sz="4" w:space="0" w:color="auto"/>
              <w:left w:val="nil"/>
              <w:bottom w:val="single" w:sz="4" w:space="0" w:color="auto"/>
              <w:right w:val="single" w:sz="4" w:space="0" w:color="auto"/>
            </w:tcBorders>
            <w:shd w:val="clear" w:color="auto" w:fill="C6EFCE"/>
            <w:noWrap/>
          </w:tcPr>
          <w:p w14:paraId="281022B1" w14:textId="77777777" w:rsidR="00553430" w:rsidRDefault="00212577">
            <w:pPr>
              <w:pStyle w:val="P68B1DB1-Normal66"/>
              <w:spacing w:after="200" w:line="276" w:lineRule="auto"/>
              <w:jc w:val="center"/>
              <w:rPr>
                <w:noProof/>
              </w:rPr>
            </w:pPr>
            <w:r>
              <w:rPr>
                <w:noProof/>
              </w:rPr>
              <w:t>T4</w:t>
            </w:r>
          </w:p>
        </w:tc>
        <w:tc>
          <w:tcPr>
            <w:tcW w:w="942" w:type="dxa"/>
            <w:tcBorders>
              <w:top w:val="single" w:sz="4" w:space="0" w:color="auto"/>
              <w:left w:val="nil"/>
              <w:bottom w:val="single" w:sz="4" w:space="0" w:color="auto"/>
              <w:right w:val="single" w:sz="4" w:space="0" w:color="auto"/>
            </w:tcBorders>
            <w:shd w:val="clear" w:color="auto" w:fill="C6EFCE"/>
            <w:noWrap/>
          </w:tcPr>
          <w:p w14:paraId="0E0FB892" w14:textId="77777777" w:rsidR="00553430" w:rsidRDefault="00212577">
            <w:pPr>
              <w:pStyle w:val="P68B1DB1-Normal66"/>
              <w:spacing w:after="200" w:line="276" w:lineRule="auto"/>
              <w:jc w:val="center"/>
              <w:rPr>
                <w:noProof/>
              </w:rPr>
            </w:pPr>
            <w:r>
              <w:rPr>
                <w:noProof/>
              </w:rPr>
              <w:t>2024</w:t>
            </w:r>
          </w:p>
        </w:tc>
        <w:tc>
          <w:tcPr>
            <w:tcW w:w="4470" w:type="dxa"/>
            <w:tcBorders>
              <w:top w:val="single" w:sz="4" w:space="0" w:color="auto"/>
              <w:left w:val="nil"/>
              <w:bottom w:val="single" w:sz="4" w:space="0" w:color="auto"/>
              <w:right w:val="single" w:sz="4" w:space="0" w:color="auto"/>
            </w:tcBorders>
            <w:shd w:val="clear" w:color="auto" w:fill="C6EFCE"/>
            <w:noWrap/>
          </w:tcPr>
          <w:p w14:paraId="0C286B78" w14:textId="77777777" w:rsidR="00553430" w:rsidRDefault="00212577">
            <w:pPr>
              <w:pStyle w:val="P68B1DB1-Normal66"/>
              <w:spacing w:after="200" w:line="276" w:lineRule="auto"/>
              <w:rPr>
                <w:noProof/>
              </w:rPr>
            </w:pPr>
            <w:r>
              <w:rPr>
                <w:noProof/>
              </w:rPr>
              <w:t xml:space="preserve">L’objectif de cet investissement est de mettre à niveau l’application de protection sociale qui gère et enregistre les procédures relatives à la </w:t>
            </w:r>
            <w:r>
              <w:rPr>
                <w:noProof/>
              </w:rPr>
              <w:t>reconnaissance des droits aux services sociaux en un système informatique fonctionnel unique qui associera toutes les parties prenantes au processus de reconnaissance des droits et de fourniture de services à l’utilisateur, ce qui permettra le suivi et l’a</w:t>
            </w:r>
            <w:r>
              <w:rPr>
                <w:noProof/>
              </w:rPr>
              <w:t xml:space="preserve">nalyse des données sur les utilisateurs et les services du système de protection sociale, telles que les informations sur les places disponibles auprès des prestataires de services et les prix de leurs services. La solution logicielle développée doit être </w:t>
            </w:r>
            <w:r>
              <w:rPr>
                <w:noProof/>
              </w:rPr>
              <w:t>intégrée dans le système d'information SocSkrb existant utilisé par les centres de protection sociale. Enfin, cela permettra la connexion informatique de tous les centres de protection sociale avec les prestataires de services sociaux financés par le budge</w:t>
            </w:r>
            <w:r>
              <w:rPr>
                <w:noProof/>
              </w:rPr>
              <w:t>t de l'État.</w:t>
            </w:r>
          </w:p>
        </w:tc>
      </w:tr>
    </w:tbl>
    <w:p w14:paraId="3C516A0C" w14:textId="77777777" w:rsidR="00553430" w:rsidRDefault="00553430">
      <w:pPr>
        <w:pStyle w:val="paragraph"/>
        <w:spacing w:before="0" w:beforeAutospacing="0" w:after="0" w:afterAutospacing="0"/>
        <w:ind w:left="840"/>
        <w:jc w:val="both"/>
        <w:textAlignment w:val="baseline"/>
        <w:rPr>
          <w:rStyle w:val="eop"/>
          <w:noProof/>
          <w:color w:val="4F81BD"/>
        </w:rPr>
      </w:pPr>
    </w:p>
    <w:p w14:paraId="09625EFA" w14:textId="77777777" w:rsidR="00553430" w:rsidRDefault="00553430">
      <w:pPr>
        <w:rPr>
          <w:noProof/>
        </w:rPr>
      </w:pPr>
    </w:p>
    <w:p w14:paraId="1DE25B50" w14:textId="77777777" w:rsidR="00553430" w:rsidRDefault="00553430">
      <w:pPr>
        <w:keepNext/>
        <w:tabs>
          <w:tab w:val="left" w:pos="850"/>
        </w:tabs>
        <w:spacing w:before="360" w:line="240" w:lineRule="auto"/>
        <w:ind w:left="850" w:hanging="850"/>
        <w:jc w:val="both"/>
        <w:outlineLvl w:val="0"/>
        <w:rPr>
          <w:rFonts w:ascii="Times New Roman" w:eastAsia="Calibri" w:hAnsi="Times New Roman" w:cs="Times New Roman"/>
          <w:b/>
          <w:smallCaps/>
          <w:noProof/>
          <w:sz w:val="24"/>
          <w:szCs w:val="24"/>
        </w:rPr>
        <w:sectPr w:rsidR="00553430" w:rsidSect="00FA29B2">
          <w:headerReference w:type="even" r:id="rId357"/>
          <w:headerReference w:type="default" r:id="rId358"/>
          <w:footerReference w:type="even" r:id="rId359"/>
          <w:footerReference w:type="default" r:id="rId360"/>
          <w:headerReference w:type="first" r:id="rId361"/>
          <w:footerReference w:type="first" r:id="rId362"/>
          <w:pgSz w:w="16838" w:h="11906" w:orient="landscape"/>
          <w:pgMar w:top="1134" w:right="1134" w:bottom="1134" w:left="1134" w:header="567" w:footer="567" w:gutter="0"/>
          <w:cols w:space="708"/>
          <w:docGrid w:linePitch="360"/>
        </w:sectPr>
      </w:pPr>
    </w:p>
    <w:p w14:paraId="0FD5D246" w14:textId="77777777" w:rsidR="00553430" w:rsidRDefault="00212577">
      <w:pPr>
        <w:pStyle w:val="P68B1DB1-Normal32"/>
        <w:keepNext/>
        <w:tabs>
          <w:tab w:val="left" w:pos="850"/>
        </w:tabs>
        <w:spacing w:before="360" w:line="240" w:lineRule="auto"/>
        <w:ind w:left="850" w:hanging="850"/>
        <w:jc w:val="both"/>
        <w:outlineLvl w:val="0"/>
        <w:rPr>
          <w:noProof/>
        </w:rPr>
      </w:pPr>
      <w:r>
        <w:rPr>
          <w:noProof/>
        </w:rPr>
        <w:t>U. ÉLÉMENT 5.1: RENFORCEMENT DE LA RÉSILIENCE DU SYSTÈME DE SOINS DE SANTÉ</w:t>
      </w:r>
    </w:p>
    <w:p w14:paraId="18F0827A" w14:textId="77777777" w:rsidR="00553430" w:rsidRDefault="00212577">
      <w:pPr>
        <w:pStyle w:val="P68B1DB1-Normal33"/>
        <w:spacing w:line="240" w:lineRule="auto"/>
        <w:jc w:val="both"/>
        <w:rPr>
          <w:noProof/>
        </w:rPr>
      </w:pPr>
      <w:r>
        <w:rPr>
          <w:noProof/>
        </w:rPr>
        <w:t xml:space="preserve">Ce volet du plan croate pour la reprise et la résilience vise à relever les défis, aggravés par la </w:t>
      </w:r>
      <w:r>
        <w:rPr>
          <w:noProof/>
        </w:rPr>
        <w:t>pandémie de COVID-19, en ce qui concerne la résilience et la durabilité du système de soins de santé en lien avec une espérance de vie inférieure à la moyenne de l’UE et la faiblesse des soins préventifs, chroniques et de longue durée. L’objectif général d</w:t>
      </w:r>
      <w:r>
        <w:rPr>
          <w:noProof/>
        </w:rPr>
        <w:t xml:space="preserve">es réformes et des investissements dans ce volet est d’améliorer l’efficacité, la qualité, l’accessibilité et la viabilité financière du système de santé. </w:t>
      </w:r>
    </w:p>
    <w:p w14:paraId="5DCA3AE4" w14:textId="77777777" w:rsidR="00553430" w:rsidRDefault="00212577">
      <w:pPr>
        <w:pStyle w:val="P68B1DB1-Normal33"/>
        <w:spacing w:line="240" w:lineRule="auto"/>
        <w:jc w:val="both"/>
        <w:rPr>
          <w:noProof/>
        </w:rPr>
      </w:pPr>
      <w:r>
        <w:rPr>
          <w:noProof/>
        </w:rPr>
        <w:t>L'élément comprend les mesures suivantes:</w:t>
      </w:r>
    </w:p>
    <w:p w14:paraId="32421BFD" w14:textId="77777777" w:rsidR="00553430" w:rsidRDefault="00212577">
      <w:pPr>
        <w:pStyle w:val="P68B1DB1-Normal33"/>
        <w:numPr>
          <w:ilvl w:val="0"/>
          <w:numId w:val="76"/>
        </w:numPr>
        <w:spacing w:before="120" w:after="120" w:line="240" w:lineRule="auto"/>
        <w:jc w:val="both"/>
        <w:rPr>
          <w:noProof/>
        </w:rPr>
      </w:pPr>
      <w:r>
        <w:rPr>
          <w:noProof/>
        </w:rPr>
        <w:t>Introduction de nouveaux modèles de soins pour les patient</w:t>
      </w:r>
      <w:r>
        <w:rPr>
          <w:noProof/>
        </w:rPr>
        <w:t>s, avec un accent particulier sur les soins préventifs et chroniques des patients atteints de cancer;</w:t>
      </w:r>
    </w:p>
    <w:p w14:paraId="2D38869D" w14:textId="77777777" w:rsidR="00553430" w:rsidRDefault="00212577">
      <w:pPr>
        <w:pStyle w:val="P68B1DB1-Normal33"/>
        <w:numPr>
          <w:ilvl w:val="0"/>
          <w:numId w:val="76"/>
        </w:numPr>
        <w:spacing w:before="120" w:after="120" w:line="240" w:lineRule="auto"/>
        <w:jc w:val="both"/>
        <w:rPr>
          <w:noProof/>
        </w:rPr>
      </w:pPr>
      <w:r>
        <w:rPr>
          <w:noProof/>
        </w:rPr>
        <w:t>Intégration fonctionnelle des hôpitaux et renforcement des hôpitaux de jour aux niveaux secondaire et tertiaire (horizontal et vertical);</w:t>
      </w:r>
    </w:p>
    <w:p w14:paraId="6C90F65F" w14:textId="77777777" w:rsidR="00553430" w:rsidRDefault="00212577">
      <w:pPr>
        <w:pStyle w:val="P68B1DB1-Normal33"/>
        <w:numPr>
          <w:ilvl w:val="0"/>
          <w:numId w:val="76"/>
        </w:numPr>
        <w:spacing w:before="120" w:after="120" w:line="240" w:lineRule="auto"/>
        <w:jc w:val="both"/>
        <w:rPr>
          <w:noProof/>
        </w:rPr>
      </w:pPr>
      <w:r>
        <w:rPr>
          <w:noProof/>
        </w:rPr>
        <w:t>Accroître la par</w:t>
      </w:r>
      <w:r>
        <w:rPr>
          <w:noProof/>
        </w:rPr>
        <w:t>t des spécialistes de la famille dans le nombre total de médecins recrutés dans les équipes générales et familiales;</w:t>
      </w:r>
    </w:p>
    <w:p w14:paraId="10488357" w14:textId="77777777" w:rsidR="00553430" w:rsidRDefault="00212577">
      <w:pPr>
        <w:pStyle w:val="P68B1DB1-Normal33"/>
        <w:numPr>
          <w:ilvl w:val="0"/>
          <w:numId w:val="76"/>
        </w:numPr>
        <w:spacing w:before="120" w:after="120" w:line="240" w:lineRule="auto"/>
        <w:jc w:val="both"/>
        <w:rPr>
          <w:noProof/>
        </w:rPr>
      </w:pPr>
      <w:r>
        <w:rPr>
          <w:noProof/>
        </w:rPr>
        <w:t>améliorer le système numérisé de passation conjointe de marchés afin d’y inclure les hôpitaux de comté, en vue de réaliser d’importantes éc</w:t>
      </w:r>
      <w:r>
        <w:rPr>
          <w:noProof/>
        </w:rPr>
        <w:t>onomies dans le système et d’améliorer la qualité;</w:t>
      </w:r>
    </w:p>
    <w:p w14:paraId="48E35894" w14:textId="77777777" w:rsidR="00553430" w:rsidRDefault="00212577">
      <w:pPr>
        <w:pStyle w:val="P68B1DB1-Normal33"/>
        <w:numPr>
          <w:ilvl w:val="0"/>
          <w:numId w:val="76"/>
        </w:numPr>
        <w:spacing w:before="120" w:after="120" w:line="240" w:lineRule="auto"/>
        <w:jc w:val="both"/>
        <w:rPr>
          <w:noProof/>
        </w:rPr>
      </w:pPr>
      <w:r>
        <w:rPr>
          <w:noProof/>
        </w:rPr>
        <w:t>L'utilisation généralisée d'un système central de préparation dans 8 hôpitaux et l'introduction d'un système de distribution de thérapies unitaires dans 40 hôpitaux.</w:t>
      </w:r>
    </w:p>
    <w:p w14:paraId="54C9F38A" w14:textId="77777777" w:rsidR="00553430" w:rsidRDefault="00212577">
      <w:pPr>
        <w:pStyle w:val="P68B1DB1-Normal33"/>
        <w:spacing w:line="240" w:lineRule="auto"/>
        <w:jc w:val="both"/>
        <w:rPr>
          <w:noProof/>
        </w:rPr>
      </w:pPr>
      <w:r>
        <w:rPr>
          <w:noProof/>
        </w:rPr>
        <w:t>Le volet contribue à la mise en œuvre d</w:t>
      </w:r>
      <w:r>
        <w:rPr>
          <w:noProof/>
        </w:rPr>
        <w:t>e la recommandation par pays relative au renforcement de la résilience du système de santé, à une répartition géographique équilibrée du personnel et des établissements de santé, à une coopération plus étroite entre tous les niveaux d’administration et aux</w:t>
      </w:r>
      <w:r>
        <w:rPr>
          <w:noProof/>
        </w:rPr>
        <w:t xml:space="preserve"> investissements dans la santé en ligne (recommandation par pays 1.2, 2020), ainsi qu’à l’amélioration de l’accès aux infrastructures et services numériques (recommandation par pays 2.3, 2020) et à la promotion de l’acquisition de compétences (recommandati</w:t>
      </w:r>
      <w:r>
        <w:rPr>
          <w:noProof/>
        </w:rPr>
        <w:t>on par pays 2.4, 2020).</w:t>
      </w:r>
    </w:p>
    <w:p w14:paraId="6290E3CD" w14:textId="77777777" w:rsidR="00553430" w:rsidRDefault="00212577">
      <w:pPr>
        <w:pStyle w:val="P68B1DB1-Normal33"/>
        <w:spacing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w:t>
      </w:r>
      <w:r>
        <w:rPr>
          <w:noProof/>
        </w:rPr>
        <w:t>ation énoncées dans le plan pour la reprise et la résilience conformément aux orientations techniques DNSH (2021/C58/01).</w:t>
      </w:r>
    </w:p>
    <w:p w14:paraId="6B80142D" w14:textId="77777777" w:rsidR="00553430" w:rsidRDefault="00553430">
      <w:pPr>
        <w:spacing w:line="240" w:lineRule="auto"/>
        <w:jc w:val="both"/>
        <w:rPr>
          <w:rFonts w:ascii="Times New Roman" w:eastAsia="Calibri" w:hAnsi="Times New Roman" w:cs="Times New Roman"/>
          <w:noProof/>
          <w:sz w:val="24"/>
          <w:szCs w:val="24"/>
        </w:rPr>
      </w:pPr>
    </w:p>
    <w:p w14:paraId="2B92E0FC" w14:textId="77777777" w:rsidR="00553430" w:rsidRDefault="00212577">
      <w:pPr>
        <w:pStyle w:val="P68B1DB1-Normal57"/>
        <w:keepNext/>
        <w:spacing w:before="40" w:after="0" w:line="240" w:lineRule="auto"/>
        <w:ind w:left="851"/>
        <w:jc w:val="both"/>
        <w:outlineLvl w:val="1"/>
        <w:rPr>
          <w:noProof/>
        </w:rPr>
      </w:pPr>
      <w:r>
        <w:rPr>
          <w:noProof/>
        </w:rPr>
        <w:t xml:space="preserve">U.1. </w:t>
      </w:r>
      <w:r>
        <w:rPr>
          <w:noProof/>
        </w:rPr>
        <w:tab/>
        <w:t>Description des réformes et des investissements pour le soutien financier non remboursable</w:t>
      </w:r>
    </w:p>
    <w:p w14:paraId="3CCDE6E8" w14:textId="77777777" w:rsidR="00553430" w:rsidRDefault="00553430">
      <w:pPr>
        <w:spacing w:line="240" w:lineRule="auto"/>
        <w:ind w:left="850"/>
        <w:jc w:val="both"/>
        <w:rPr>
          <w:rFonts w:ascii="Times New Roman" w:eastAsia="Calibri" w:hAnsi="Times New Roman" w:cs="Times New Roman"/>
          <w:noProof/>
          <w:sz w:val="24"/>
          <w:szCs w:val="24"/>
          <w:u w:val="single"/>
        </w:rPr>
      </w:pPr>
    </w:p>
    <w:p w14:paraId="4220376F" w14:textId="77777777" w:rsidR="00553430" w:rsidRDefault="00212577">
      <w:pPr>
        <w:pStyle w:val="P68B1DB1-Normal42"/>
        <w:spacing w:line="240" w:lineRule="auto"/>
        <w:ind w:left="850"/>
        <w:jc w:val="both"/>
        <w:rPr>
          <w:noProof/>
        </w:rPr>
      </w:pPr>
      <w:r>
        <w:rPr>
          <w:noProof/>
        </w:rPr>
        <w:t xml:space="preserve">Réforme C5.1 R1 - Améliorer </w:t>
      </w:r>
      <w:r>
        <w:rPr>
          <w:noProof/>
        </w:rPr>
        <w:t>l'efficacité, la qualité et l'accessibilité du système de santé</w:t>
      </w:r>
    </w:p>
    <w:p w14:paraId="68FB7F67" w14:textId="77777777" w:rsidR="00553430" w:rsidRDefault="00212577">
      <w:pPr>
        <w:pStyle w:val="P68B1DB1-Normal33"/>
        <w:spacing w:line="240" w:lineRule="auto"/>
        <w:jc w:val="both"/>
        <w:rPr>
          <w:iCs/>
          <w:noProof/>
        </w:rPr>
      </w:pPr>
      <w:r>
        <w:rPr>
          <w:noProof/>
        </w:rPr>
        <w:t>L’objectif de cette mesure est d’accroître l’égalité d’accès aux soins de santé primaires, en particulier dans les zones rurales, reculées et insulaires, en améliorant la gamme et la qualité d</w:t>
      </w:r>
      <w:r>
        <w:rPr>
          <w:noProof/>
        </w:rPr>
        <w:t>es services au niveau des médecins de famille (médecins généralistes), réduisant ainsi la charge pesant sur les hôpitaux. Afin de mieux suivre les résultats en matière de santé, le cadre d’évaluation des performances du système de santé (HSPA) est établi p</w:t>
      </w:r>
      <w:r>
        <w:rPr>
          <w:noProof/>
        </w:rPr>
        <w:t xml:space="preserve">our contribuer à la création d’indicateurs de performance clés selon une méthodologie définie dans le but de lier les mesures aux objectifs fixés dans les documents de stratégie nationaux et les réformes, en améliorant l’actualité des données sur la santé </w:t>
      </w:r>
      <w:r>
        <w:rPr>
          <w:noProof/>
        </w:rPr>
        <w:t xml:space="preserve">disponibles pour l’analyse stratégique et stratégique. </w:t>
      </w:r>
    </w:p>
    <w:p w14:paraId="135389B5" w14:textId="77777777" w:rsidR="00553430" w:rsidRDefault="00212577">
      <w:pPr>
        <w:pStyle w:val="P68B1DB1-Normal33"/>
        <w:spacing w:line="240" w:lineRule="auto"/>
        <w:jc w:val="both"/>
        <w:rPr>
          <w:noProof/>
        </w:rPr>
      </w:pPr>
      <w:r>
        <w:rPr>
          <w:noProof/>
        </w:rPr>
        <w:t>La réforme est achevée au plus tard le 31 décembre 2023.</w:t>
      </w:r>
    </w:p>
    <w:p w14:paraId="06D69ED4" w14:textId="77777777" w:rsidR="00553430" w:rsidRDefault="00553430">
      <w:pPr>
        <w:spacing w:line="240" w:lineRule="auto"/>
        <w:ind w:left="850"/>
        <w:jc w:val="both"/>
        <w:rPr>
          <w:rFonts w:ascii="Times New Roman" w:eastAsia="Calibri" w:hAnsi="Times New Roman" w:cs="Times New Roman"/>
          <w:noProof/>
          <w:sz w:val="24"/>
          <w:szCs w:val="24"/>
          <w:u w:val="single"/>
        </w:rPr>
      </w:pPr>
    </w:p>
    <w:p w14:paraId="63FA1F44" w14:textId="77777777" w:rsidR="00553430" w:rsidRDefault="00553430">
      <w:pPr>
        <w:spacing w:line="240" w:lineRule="auto"/>
        <w:ind w:left="850"/>
        <w:jc w:val="both"/>
        <w:rPr>
          <w:rFonts w:ascii="Times New Roman" w:eastAsia="Calibri" w:hAnsi="Times New Roman" w:cs="Times New Roman"/>
          <w:noProof/>
          <w:sz w:val="24"/>
          <w:szCs w:val="24"/>
          <w:u w:val="single"/>
        </w:rPr>
      </w:pPr>
    </w:p>
    <w:p w14:paraId="7297D5B9" w14:textId="77777777" w:rsidR="00553430" w:rsidRDefault="00212577">
      <w:pPr>
        <w:pStyle w:val="P68B1DB1-Normal42"/>
        <w:spacing w:line="240" w:lineRule="auto"/>
        <w:ind w:left="850"/>
        <w:jc w:val="both"/>
        <w:rPr>
          <w:iCs/>
          <w:noProof/>
        </w:rPr>
      </w:pPr>
      <w:r>
        <w:rPr>
          <w:noProof/>
        </w:rPr>
        <w:t>Investissement C5.1 R1-I4 – Diagnostic d’images numériques du centre hospitalier clinique «KBC Split»</w:t>
      </w:r>
    </w:p>
    <w:p w14:paraId="45EF0894" w14:textId="77777777" w:rsidR="00553430" w:rsidRDefault="00212577">
      <w:pPr>
        <w:pStyle w:val="P68B1DB1-Normal33"/>
        <w:spacing w:line="240" w:lineRule="auto"/>
        <w:jc w:val="both"/>
        <w:rPr>
          <w:noProof/>
        </w:rPr>
      </w:pPr>
      <w:r>
        <w:rPr>
          <w:noProof/>
        </w:rPr>
        <w:t>L’objectif de cette mesure est d’amélio</w:t>
      </w:r>
      <w:r>
        <w:rPr>
          <w:noProof/>
        </w:rPr>
        <w:t>rer le diagnostic par image numérique de KBC Split, améliorant ainsi les soins de santé dans le domaine de la prévention, du traitement et du diagnostic des maladies. L’investissement vise à améliorer la qualité et l’accessibilité des soins de santé pour t</w:t>
      </w:r>
      <w:r>
        <w:rPr>
          <w:noProof/>
        </w:rPr>
        <w:t>outes les catégories de patients, à améliorer les résultats cliniques et à fournir des diagnostics plus précoces et de meilleure qualité, en particulier chez les patients pédiatriques et oncologiques. En particulier, elle numérise les services et les proce</w:t>
      </w:r>
      <w:r>
        <w:rPr>
          <w:noProof/>
        </w:rPr>
        <w:t>ssus de santé, garantit la transparence dans la fourniture des services de santé, optimise l’utilisation des ressources du système hospitalier et garantit la stabilité financière future. L’investissement doit adapter l’espace pour accueillir les équipement</w:t>
      </w:r>
      <w:r>
        <w:rPr>
          <w:noProof/>
        </w:rPr>
        <w:t>s médicaux nouvellement acquis, y compris la résonance magnétique 3T, l’angio-salle numérique de neurointervention DSA, la machine numérique de RTG diasscopique et la salle gastro-entérologique endoscopique.</w:t>
      </w:r>
    </w:p>
    <w:p w14:paraId="7E28DEAB" w14:textId="77777777" w:rsidR="00553430" w:rsidRDefault="00212577">
      <w:pPr>
        <w:pStyle w:val="P68B1DB1-Normal33"/>
        <w:spacing w:line="240" w:lineRule="auto"/>
        <w:jc w:val="both"/>
        <w:rPr>
          <w:iCs/>
          <w:noProof/>
        </w:rPr>
      </w:pPr>
      <w:r>
        <w:rPr>
          <w:noProof/>
        </w:rPr>
        <w:t>La mesure est achevée au plus tard le 31 décembr</w:t>
      </w:r>
      <w:r>
        <w:rPr>
          <w:noProof/>
        </w:rPr>
        <w:t>e 2022.</w:t>
      </w:r>
    </w:p>
    <w:p w14:paraId="00F33C36" w14:textId="77777777" w:rsidR="00553430" w:rsidRDefault="00212577">
      <w:pPr>
        <w:pStyle w:val="P68B1DB1-Normal42"/>
        <w:spacing w:line="240" w:lineRule="auto"/>
        <w:ind w:left="850"/>
        <w:jc w:val="both"/>
        <w:rPr>
          <w:noProof/>
        </w:rPr>
      </w:pPr>
      <w:r>
        <w:rPr>
          <w:noProof/>
        </w:rPr>
        <w:t>Investissement C5.1 R1-I5 - Construction et aménagement du bloc opératoire central de l’hôpital général «OB Varaždin»</w:t>
      </w:r>
    </w:p>
    <w:p w14:paraId="0E59A149" w14:textId="2CAD6BA6" w:rsidR="00553430" w:rsidRDefault="00212577">
      <w:pPr>
        <w:pStyle w:val="P68B1DB1-Normal33"/>
        <w:spacing w:line="240" w:lineRule="auto"/>
        <w:jc w:val="both"/>
        <w:rPr>
          <w:iCs/>
          <w:noProof/>
        </w:rPr>
      </w:pPr>
      <w:r>
        <w:rPr>
          <w:noProof/>
        </w:rPr>
        <w:t>L'objectif de l'investissement est d'optimiser les ressources du système de santé hospitalier, d'accroître la sécurité des patient</w:t>
      </w:r>
      <w:r>
        <w:rPr>
          <w:noProof/>
        </w:rPr>
        <w:t>s et de fournir des conditions adéquates pour le travail du personnel de santé. Cette mesure consiste en la construction et l'équipement d'un bloc d'exploitation central et la construction de couloirs de raccordement aux installations médicales existantes.</w:t>
      </w:r>
      <w:r>
        <w:rPr>
          <w:noProof/>
        </w:rPr>
        <w:t xml:space="preserve"> </w:t>
      </w:r>
    </w:p>
    <w:p w14:paraId="1F8D33CE" w14:textId="77777777" w:rsidR="00553430" w:rsidRDefault="00212577">
      <w:pPr>
        <w:pStyle w:val="P68B1DB1-Normal42"/>
        <w:spacing w:line="240" w:lineRule="auto"/>
        <w:ind w:left="850"/>
        <w:jc w:val="both"/>
        <w:rPr>
          <w:noProof/>
        </w:rPr>
      </w:pPr>
      <w:r>
        <w:rPr>
          <w:noProof/>
        </w:rPr>
        <w:t>Investissement C5.1 R1-I6 - Diagnostic d’images numériques Hôpital clinique «KB Dubrava»</w:t>
      </w:r>
    </w:p>
    <w:p w14:paraId="0709335A" w14:textId="7DED8743" w:rsidR="00553430" w:rsidRDefault="00212577">
      <w:pPr>
        <w:pStyle w:val="P68B1DB1-Normal33"/>
        <w:spacing w:line="240" w:lineRule="auto"/>
        <w:jc w:val="both"/>
        <w:rPr>
          <w:noProof/>
        </w:rPr>
      </w:pPr>
      <w:r>
        <w:rPr>
          <w:noProof/>
        </w:rPr>
        <w:t>L’objectif de cette mesure est d’acheter du matériel radiologique numérique pour l’Institut clinique de radiologie diagnostique et d’intervention KB Dubrava, qui fou</w:t>
      </w:r>
      <w:r>
        <w:rPr>
          <w:noProof/>
        </w:rPr>
        <w:t>rnit des services à plus de 350 000 patients. Dans l’ensemble, cet investissement devrait améliorer considérablement la qualité et l’accessibilité des soins de santé pour toutes les catégories de patients, améliorer le diagnostic, le traitement et le suivi</w:t>
      </w:r>
      <w:r>
        <w:rPr>
          <w:noProof/>
        </w:rPr>
        <w:t xml:space="preserve"> post-traitement, et donc les résultats cliniques pour tous les groupes de patients, y compris pour les patients nécessitant le traitement le plus complexe dans les cliniques et les unités organisationnelles de l’hôpital. En conséquence, la durée de l'hosp</w:t>
      </w:r>
      <w:r>
        <w:rPr>
          <w:noProof/>
        </w:rPr>
        <w:t xml:space="preserve">italisation, les complications, l'hospitalisation dans les unités de soins intensifs, les coûts des traitements et les listes d'attente devraient être réduits. L’investissement comprend l’achat d’un équipement de pointe. </w:t>
      </w:r>
    </w:p>
    <w:p w14:paraId="0703C6CC" w14:textId="77777777" w:rsidR="00553430" w:rsidRDefault="00212577">
      <w:pPr>
        <w:pStyle w:val="P68B1DB1-Normal33"/>
        <w:spacing w:line="240" w:lineRule="auto"/>
        <w:jc w:val="both"/>
        <w:rPr>
          <w:iCs/>
          <w:noProof/>
        </w:rPr>
      </w:pPr>
      <w:r>
        <w:rPr>
          <w:noProof/>
        </w:rPr>
        <w:t>La mesure est achevée au plus tard</w:t>
      </w:r>
      <w:r>
        <w:rPr>
          <w:noProof/>
        </w:rPr>
        <w:t xml:space="preserve"> le 30 juin 2023.</w:t>
      </w:r>
    </w:p>
    <w:p w14:paraId="36EE39B1" w14:textId="77777777" w:rsidR="00553430" w:rsidRDefault="00212577">
      <w:pPr>
        <w:pStyle w:val="P68B1DB1-Normal42"/>
        <w:spacing w:line="240" w:lineRule="auto"/>
        <w:ind w:left="850"/>
        <w:jc w:val="both"/>
        <w:rPr>
          <w:noProof/>
        </w:rPr>
      </w:pPr>
      <w:r>
        <w:rPr>
          <w:noProof/>
        </w:rPr>
        <w:t>Investissement C5.1 R1-I7 – Équipement de nouvelles installations pour l’hôpital de jour et la chirurgie d’une journée, admission intégrée à l’hôpital d’urgence et adaptation de la clinique de neurochirurgie du centre hospitalier clinique</w:t>
      </w:r>
      <w:r>
        <w:rPr>
          <w:noProof/>
        </w:rPr>
        <w:t xml:space="preserve"> «KBC Sestre Milosrdnice» </w:t>
      </w:r>
    </w:p>
    <w:p w14:paraId="6C28189F" w14:textId="77777777" w:rsidR="00553430" w:rsidRDefault="00212577">
      <w:pPr>
        <w:pStyle w:val="P68B1DB1-Normal33"/>
        <w:spacing w:line="240" w:lineRule="auto"/>
        <w:jc w:val="both"/>
        <w:rPr>
          <w:noProof/>
        </w:rPr>
      </w:pPr>
      <w:r>
        <w:rPr>
          <w:noProof/>
        </w:rPr>
        <w:t>L’objectif de cette mesure est d’augmenter la capacité de traitement des patients d’au moins 22 % par rapport au nombre de patients actuellement traités. L’investissement devrait améliorer considérablement la qualité des soins de</w:t>
      </w:r>
      <w:r>
        <w:rPr>
          <w:noProof/>
        </w:rPr>
        <w:t xml:space="preserve"> santé pour environ 700 000 patients traités par KBC, dont environ 300 000 représentent des urgences et environ 40 000 patients sont traités à l’hôpital de jour et en chirurgie. La mesure doit équiper de nouvelles installations pour l'hôpital de jour et la</w:t>
      </w:r>
      <w:r>
        <w:rPr>
          <w:noProof/>
        </w:rPr>
        <w:t xml:space="preserve"> chirurgie d'une journée et l'admission d'urgence hospitalière intégrée et adapter la clinique de neurochirurgie du centre hospitalier clinique (KBC) Sestre Milosrdnice. </w:t>
      </w:r>
    </w:p>
    <w:p w14:paraId="594581B3" w14:textId="77777777" w:rsidR="00553430" w:rsidRDefault="00212577">
      <w:pPr>
        <w:pStyle w:val="P68B1DB1-Normal33"/>
        <w:spacing w:line="240" w:lineRule="auto"/>
        <w:jc w:val="both"/>
        <w:rPr>
          <w:iCs/>
          <w:noProof/>
        </w:rPr>
      </w:pPr>
      <w:r>
        <w:rPr>
          <w:noProof/>
        </w:rPr>
        <w:t>La mesure est achevée au plus tard le 31 mars 2024.</w:t>
      </w:r>
    </w:p>
    <w:p w14:paraId="5A8D8645" w14:textId="77777777" w:rsidR="00553430" w:rsidRDefault="00212577">
      <w:pPr>
        <w:pStyle w:val="P68B1DB1-Normal42"/>
        <w:spacing w:line="240" w:lineRule="auto"/>
        <w:ind w:left="850"/>
        <w:jc w:val="both"/>
        <w:rPr>
          <w:noProof/>
        </w:rPr>
      </w:pPr>
      <w:r>
        <w:rPr>
          <w:noProof/>
        </w:rPr>
        <w:t>Investissement C5.1 R1-I8 – Trait</w:t>
      </w:r>
      <w:r>
        <w:rPr>
          <w:noProof/>
        </w:rPr>
        <w:t>ement préopératoire et traitement des patients atteints d’épilepsie pharmacorésistante à l’hôpital général «KB Dubrava»</w:t>
      </w:r>
    </w:p>
    <w:p w14:paraId="0264E188" w14:textId="77777777" w:rsidR="00553430" w:rsidRDefault="00212577">
      <w:pPr>
        <w:pStyle w:val="P68B1DB1-Normal33"/>
        <w:spacing w:line="240" w:lineRule="auto"/>
        <w:jc w:val="both"/>
        <w:rPr>
          <w:noProof/>
        </w:rPr>
      </w:pPr>
      <w:r>
        <w:rPr>
          <w:noProof/>
        </w:rPr>
        <w:t>L'objectif de cette mesure est le développement ultérieur de l'Institut de Neurologie KB Dubrava ainsi que les méthodes pré-opérationnel</w:t>
      </w:r>
      <w:r>
        <w:rPr>
          <w:noProof/>
        </w:rPr>
        <w:t xml:space="preserve">les et les traitements de l'épilepsie chez les patients pharmaco-résistants. L’investissement comprend l’acquisition d’équipements de pointe et l’adaptation de la capacité spatiale. </w:t>
      </w:r>
    </w:p>
    <w:p w14:paraId="732CD76D" w14:textId="77777777" w:rsidR="00553430" w:rsidRDefault="00212577">
      <w:pPr>
        <w:pStyle w:val="P68B1DB1-Normal33"/>
        <w:spacing w:line="240" w:lineRule="auto"/>
        <w:jc w:val="both"/>
        <w:rPr>
          <w:noProof/>
        </w:rPr>
      </w:pPr>
      <w:r>
        <w:rPr>
          <w:noProof/>
        </w:rPr>
        <w:t>La mesure est achevée au plus tard le 30 juin 2023.</w:t>
      </w:r>
    </w:p>
    <w:p w14:paraId="1A515335" w14:textId="77777777" w:rsidR="00553430" w:rsidRDefault="00212577">
      <w:pPr>
        <w:pStyle w:val="P68B1DB1-Normal42"/>
        <w:spacing w:line="240" w:lineRule="auto"/>
        <w:ind w:left="850"/>
        <w:jc w:val="both"/>
        <w:rPr>
          <w:noProof/>
        </w:rPr>
      </w:pPr>
      <w:r>
        <w:rPr>
          <w:noProof/>
        </w:rPr>
        <w:t>Investissement C5.1 R</w:t>
      </w:r>
      <w:r>
        <w:rPr>
          <w:noProof/>
        </w:rPr>
        <w:t>1-I9 – Développement du centre hospitalier clinique «KBC Zagreb», phase III – équipement en matériel médical et non médical</w:t>
      </w:r>
    </w:p>
    <w:p w14:paraId="3CF1E44E" w14:textId="77777777" w:rsidR="00553430" w:rsidRDefault="00212577">
      <w:pPr>
        <w:pStyle w:val="P68B1DB1-Normal33"/>
        <w:spacing w:line="240" w:lineRule="auto"/>
        <w:jc w:val="both"/>
        <w:rPr>
          <w:noProof/>
        </w:rPr>
      </w:pPr>
      <w:r>
        <w:rPr>
          <w:noProof/>
        </w:rPr>
        <w:t>L’objectif de cette mesure est de permettre l’application des technologies modernes et d’améliorer l’accès aux soins aux niveaux ter</w:t>
      </w:r>
      <w:r>
        <w:rPr>
          <w:noProof/>
        </w:rPr>
        <w:t xml:space="preserve">tiaire et quaternaire des soins de santé. Cette mesure consiste en l’achat d’équipements médicaux et non médicaux au centre hospitalier clinique (KBC) de Zagreb. </w:t>
      </w:r>
    </w:p>
    <w:p w14:paraId="26D06C30" w14:textId="77777777" w:rsidR="00553430" w:rsidRDefault="00212577">
      <w:pPr>
        <w:pStyle w:val="P68B1DB1-Normal42"/>
        <w:spacing w:line="240" w:lineRule="auto"/>
        <w:ind w:left="850"/>
        <w:jc w:val="both"/>
        <w:rPr>
          <w:noProof/>
        </w:rPr>
      </w:pPr>
      <w:r>
        <w:rPr>
          <w:noProof/>
        </w:rPr>
        <w:t xml:space="preserve">Réforme C5.1 R2 - Introduction d'un nouveau modèle de soins pour les principaux défis en </w:t>
      </w:r>
      <w:r>
        <w:rPr>
          <w:noProof/>
        </w:rPr>
        <w:t>matière de santé</w:t>
      </w:r>
    </w:p>
    <w:p w14:paraId="24D33DD6" w14:textId="77777777" w:rsidR="00553430" w:rsidRDefault="00212577">
      <w:pPr>
        <w:pStyle w:val="P68B1DB1-Normal33"/>
        <w:spacing w:line="240" w:lineRule="auto"/>
        <w:jc w:val="both"/>
        <w:rPr>
          <w:noProof/>
        </w:rPr>
      </w:pPr>
      <w:r>
        <w:rPr>
          <w:noProof/>
        </w:rPr>
        <w:t xml:space="preserve">L’objectif de cette mesure est d’améliorer et d’harmoniser la qualité des services de soins de santé. Cette mesure consiste à élaborer des lignes directrices cliniques électroniques intégrées. </w:t>
      </w:r>
    </w:p>
    <w:p w14:paraId="56F810C2" w14:textId="77777777" w:rsidR="00553430" w:rsidRDefault="00212577">
      <w:pPr>
        <w:pStyle w:val="P68B1DB1-Normal42"/>
        <w:spacing w:line="240" w:lineRule="auto"/>
        <w:ind w:left="850"/>
        <w:jc w:val="both"/>
        <w:rPr>
          <w:noProof/>
        </w:rPr>
      </w:pPr>
      <w:r>
        <w:rPr>
          <w:noProof/>
        </w:rPr>
        <w:t>Investissement C5.1 R2-I1 - Achat d'équipemen</w:t>
      </w:r>
      <w:r>
        <w:rPr>
          <w:noProof/>
        </w:rPr>
        <w:t>ts pour la prévention, le diagnostic et le traitement des patients atteints de cancer</w:t>
      </w:r>
    </w:p>
    <w:p w14:paraId="05A7D066" w14:textId="77777777" w:rsidR="00553430" w:rsidRDefault="00212577">
      <w:pPr>
        <w:pStyle w:val="P68B1DB1-Normal33"/>
        <w:spacing w:line="240" w:lineRule="auto"/>
        <w:jc w:val="both"/>
        <w:rPr>
          <w:iCs/>
          <w:noProof/>
        </w:rPr>
      </w:pPr>
      <w:r>
        <w:rPr>
          <w:noProof/>
        </w:rPr>
        <w:t>L’objectif de cette mesure est d’assurer sans délai un traitement optimal de tous les patients oncologiques en Croatie, en utilisant des techniques de radiothérapie moder</w:t>
      </w:r>
      <w:r>
        <w:rPr>
          <w:noProof/>
        </w:rPr>
        <w:t xml:space="preserve">nes. Cette mesure consiste en l’achat de matériel médical. </w:t>
      </w:r>
    </w:p>
    <w:p w14:paraId="11F29E71" w14:textId="77777777" w:rsidR="00553430" w:rsidRDefault="00212577">
      <w:pPr>
        <w:pStyle w:val="P68B1DB1-Normal42"/>
        <w:spacing w:line="240" w:lineRule="auto"/>
        <w:ind w:left="850"/>
        <w:jc w:val="both"/>
        <w:rPr>
          <w:noProof/>
        </w:rPr>
      </w:pPr>
      <w:r>
        <w:rPr>
          <w:noProof/>
        </w:rPr>
        <w:t>Investissement C5.1 R2-I2 - Acquisition et mise en œuvre d’équipements pour la mise en place du réseau oncologique national et de la base de données oncologique nationale</w:t>
      </w:r>
    </w:p>
    <w:p w14:paraId="23B5102C" w14:textId="53F25E22" w:rsidR="00553430" w:rsidRDefault="00212577">
      <w:pPr>
        <w:pStyle w:val="P68B1DB1-Normal33"/>
        <w:spacing w:line="240" w:lineRule="auto"/>
        <w:jc w:val="both"/>
        <w:rPr>
          <w:noProof/>
        </w:rPr>
      </w:pPr>
      <w:r>
        <w:rPr>
          <w:noProof/>
        </w:rPr>
        <w:t>L’objectif de cette mesur</w:t>
      </w:r>
      <w:r>
        <w:rPr>
          <w:noProof/>
        </w:rPr>
        <w:t>e est de créer un réseau national pour la base de données oncologique nationale, reliant et enregistrant les données des systèmes d’information hospitaliers et d’autres systèmes par automatisme. Cette mesure consiste à mettre en place une plateforme inform</w:t>
      </w:r>
      <w:r>
        <w:rPr>
          <w:noProof/>
        </w:rPr>
        <w:t xml:space="preserve">atique pour le suivi des patients oncologiques et à créer un </w:t>
      </w:r>
      <w:r>
        <w:rPr>
          <w:noProof/>
          <w:color w:val="000000" w:themeColor="text1"/>
        </w:rPr>
        <w:t>réseau oncologique national.</w:t>
      </w:r>
      <w:r>
        <w:rPr>
          <w:noProof/>
        </w:rPr>
        <w:t xml:space="preserve"> </w:t>
      </w:r>
    </w:p>
    <w:p w14:paraId="743A2785" w14:textId="77777777" w:rsidR="00553430" w:rsidRDefault="00212577">
      <w:pPr>
        <w:pStyle w:val="P68B1DB1-Normal42"/>
        <w:spacing w:line="240" w:lineRule="auto"/>
        <w:ind w:left="850"/>
        <w:jc w:val="both"/>
        <w:rPr>
          <w:noProof/>
        </w:rPr>
      </w:pPr>
      <w:r>
        <w:rPr>
          <w:noProof/>
        </w:rPr>
        <w:t>Réforme C5.1 R3 - Mise en place d'un système de gestion stratégique des ressources humaines en santé</w:t>
      </w:r>
    </w:p>
    <w:p w14:paraId="760B1AB7" w14:textId="77777777" w:rsidR="00553430" w:rsidRDefault="00212577">
      <w:pPr>
        <w:pStyle w:val="P68B1DB1-Normal33"/>
        <w:spacing w:line="240" w:lineRule="auto"/>
        <w:jc w:val="both"/>
        <w:rPr>
          <w:noProof/>
        </w:rPr>
      </w:pPr>
      <w:r>
        <w:rPr>
          <w:noProof/>
        </w:rPr>
        <w:t>Cette réforme vise à accroître l’accès aux soins de santé pour l</w:t>
      </w:r>
      <w:r>
        <w:rPr>
          <w:noProof/>
        </w:rPr>
        <w:t>es citoyens, en particulier ceux des zones rurales et moins densément peuplées, tout en améliorant l’efficacité de la médecine d’urgence et en garantissant un système de santé efficace et de qualité. Pour atteindre cet objectif, une formation spécialisée e</w:t>
      </w:r>
      <w:r>
        <w:rPr>
          <w:noProof/>
        </w:rPr>
        <w:t>st dispensée aux professionnels de la santé, notamment aux médecins au niveau des soins de santé primaires, ainsi qu’aux infirmières et aux techniciens dans le domaine de la médecine d’urgence, afin de parvenir à une répartition géographique équilibrée des</w:t>
      </w:r>
      <w:r>
        <w:rPr>
          <w:noProof/>
        </w:rPr>
        <w:t xml:space="preserve"> professionnels de la santé et à une occupation suffisante du réseau des services de santé publique. En outre, la réforme prévoit l’adoption du plan national de développement sanitaire 2021-2027, qui: </w:t>
      </w:r>
    </w:p>
    <w:p w14:paraId="230CD2FF" w14:textId="77777777" w:rsidR="00553430" w:rsidRDefault="00212577">
      <w:pPr>
        <w:pStyle w:val="P68B1DB1-Normal33"/>
        <w:spacing w:line="240" w:lineRule="auto"/>
        <w:ind w:left="850"/>
        <w:jc w:val="both"/>
        <w:rPr>
          <w:noProof/>
        </w:rPr>
      </w:pPr>
      <w:r>
        <w:rPr>
          <w:noProof/>
        </w:rPr>
        <w:t>Définir les besoins de développement pour parvenir à u</w:t>
      </w:r>
      <w:r>
        <w:rPr>
          <w:noProof/>
        </w:rPr>
        <w:t>n système de soins de santé flexible, efficace et géré de manière holistique;</w:t>
      </w:r>
    </w:p>
    <w:p w14:paraId="3E07457F" w14:textId="77777777" w:rsidR="00553430" w:rsidRDefault="00212577">
      <w:pPr>
        <w:pStyle w:val="P68B1DB1-Normal33"/>
        <w:spacing w:line="240" w:lineRule="auto"/>
        <w:ind w:left="850"/>
        <w:jc w:val="both"/>
        <w:rPr>
          <w:noProof/>
        </w:rPr>
      </w:pPr>
      <w:r>
        <w:rPr>
          <w:noProof/>
        </w:rPr>
        <w:t>- Indiquer les mesures de promotion de la santé et de prévention des maladies qui ont été couronnées de succès;</w:t>
      </w:r>
    </w:p>
    <w:p w14:paraId="3801F034" w14:textId="77777777" w:rsidR="00553430" w:rsidRDefault="00212577">
      <w:pPr>
        <w:pStyle w:val="P68B1DB1-Normal33"/>
        <w:spacing w:line="240" w:lineRule="auto"/>
        <w:ind w:left="850"/>
        <w:jc w:val="both"/>
        <w:rPr>
          <w:noProof/>
        </w:rPr>
      </w:pPr>
      <w:r>
        <w:rPr>
          <w:noProof/>
        </w:rPr>
        <w:t>- Introduire la coordination des prestataires de soins de santé et</w:t>
      </w:r>
      <w:r>
        <w:rPr>
          <w:noProof/>
        </w:rPr>
        <w:t xml:space="preserve"> la transformation des modèles de traitement et de réadaptation vers une gestion active des processus de soins à tous les stades et à tous les niveaux;</w:t>
      </w:r>
    </w:p>
    <w:p w14:paraId="3D68D747" w14:textId="77777777" w:rsidR="00553430" w:rsidRDefault="00212577">
      <w:pPr>
        <w:pStyle w:val="P68B1DB1-Normal33"/>
        <w:spacing w:line="240" w:lineRule="auto"/>
        <w:ind w:left="850"/>
        <w:jc w:val="both"/>
        <w:rPr>
          <w:noProof/>
        </w:rPr>
      </w:pPr>
      <w:r>
        <w:rPr>
          <w:noProof/>
        </w:rPr>
        <w:t>Définir l'intégration des services de santé et des soins sociaux et le développement de modèles intégrés</w:t>
      </w:r>
      <w:r>
        <w:rPr>
          <w:noProof/>
        </w:rPr>
        <w:t xml:space="preserve"> de soins de longue durée;</w:t>
      </w:r>
    </w:p>
    <w:p w14:paraId="7A179735" w14:textId="77777777" w:rsidR="00553430" w:rsidRDefault="00212577">
      <w:pPr>
        <w:pStyle w:val="P68B1DB1-Normal33"/>
        <w:spacing w:line="240" w:lineRule="auto"/>
        <w:ind w:left="850"/>
        <w:jc w:val="both"/>
        <w:rPr>
          <w:noProof/>
        </w:rPr>
      </w:pPr>
      <w:r>
        <w:rPr>
          <w:noProof/>
        </w:rPr>
        <w:t>- Introduire des mesures pour contrôler et améliorer la qualité des soins de santé et la sécurité des patients;</w:t>
      </w:r>
    </w:p>
    <w:p w14:paraId="7610B2FA" w14:textId="77777777" w:rsidR="00553430" w:rsidRDefault="00212577">
      <w:pPr>
        <w:pStyle w:val="P68B1DB1-Normal33"/>
        <w:spacing w:line="240" w:lineRule="auto"/>
        <w:ind w:left="850"/>
        <w:jc w:val="both"/>
        <w:rPr>
          <w:noProof/>
        </w:rPr>
      </w:pPr>
      <w:r>
        <w:rPr>
          <w:noProof/>
        </w:rPr>
        <w:t xml:space="preserve">- améliorer les dispositions en matière de gestion du personnel; </w:t>
      </w:r>
    </w:p>
    <w:p w14:paraId="79AF2238" w14:textId="77777777" w:rsidR="00553430" w:rsidRDefault="00212577">
      <w:pPr>
        <w:pStyle w:val="P68B1DB1-Normal33"/>
        <w:spacing w:line="240" w:lineRule="auto"/>
        <w:ind w:left="850"/>
        <w:jc w:val="both"/>
        <w:rPr>
          <w:noProof/>
        </w:rPr>
      </w:pPr>
      <w:r>
        <w:rPr>
          <w:noProof/>
        </w:rPr>
        <w:t>- Introduire des objectifs spécifiques qui contribu</w:t>
      </w:r>
      <w:r>
        <w:rPr>
          <w:noProof/>
        </w:rPr>
        <w:t xml:space="preserve">ent indirectement à la réalisation de l’objectif stratégique énoncé dans la stratégie nationale de réforme (SNR) d’ici à 2030. </w:t>
      </w:r>
    </w:p>
    <w:p w14:paraId="4EC0B2DB" w14:textId="77777777" w:rsidR="00553430" w:rsidRDefault="00212577">
      <w:pPr>
        <w:pStyle w:val="P68B1DB1-Normal33"/>
        <w:spacing w:line="240" w:lineRule="auto"/>
        <w:jc w:val="both"/>
        <w:rPr>
          <w:noProof/>
        </w:rPr>
      </w:pPr>
      <w:r>
        <w:rPr>
          <w:noProof/>
        </w:rPr>
        <w:t xml:space="preserve">L’augmentation de l’espérance de vie en matière de santé est due: </w:t>
      </w:r>
    </w:p>
    <w:p w14:paraId="519A66C8" w14:textId="77777777" w:rsidR="00553430" w:rsidRDefault="00212577">
      <w:pPr>
        <w:pStyle w:val="P68B1DB1-Normal33"/>
        <w:spacing w:line="240" w:lineRule="auto"/>
        <w:ind w:left="850"/>
        <w:jc w:val="both"/>
        <w:rPr>
          <w:noProof/>
        </w:rPr>
      </w:pPr>
      <w:r>
        <w:rPr>
          <w:noProof/>
        </w:rPr>
        <w:t>- promouvoir des modes de vie sains et la prévention des mala</w:t>
      </w:r>
      <w:r>
        <w:rPr>
          <w:noProof/>
        </w:rPr>
        <w:t>dies qui constituent un problème de santé publique majeur;</w:t>
      </w:r>
    </w:p>
    <w:p w14:paraId="2B65DDB9" w14:textId="77777777" w:rsidR="00553430" w:rsidRDefault="00212577">
      <w:pPr>
        <w:pStyle w:val="P68B1DB1-Normal33"/>
        <w:spacing w:line="240" w:lineRule="auto"/>
        <w:ind w:left="850"/>
        <w:jc w:val="both"/>
        <w:rPr>
          <w:noProof/>
        </w:rPr>
      </w:pPr>
      <w:r>
        <w:rPr>
          <w:noProof/>
        </w:rPr>
        <w:t xml:space="preserve">Améliorer la qualité des soins de santé en améliorant l'efficacité, la sécurité, l'accessibilité et l'intégration fonctionnelle de tous les niveaux et parties des soins de santé; </w:t>
      </w:r>
    </w:p>
    <w:p w14:paraId="7DF7DE97" w14:textId="77777777" w:rsidR="00553430" w:rsidRDefault="00212577">
      <w:pPr>
        <w:pStyle w:val="P68B1DB1-Normal33"/>
        <w:spacing w:line="240" w:lineRule="auto"/>
        <w:ind w:left="850"/>
        <w:jc w:val="both"/>
        <w:rPr>
          <w:noProof/>
        </w:rPr>
      </w:pPr>
      <w:r>
        <w:rPr>
          <w:noProof/>
        </w:rPr>
        <w:t>Introduction du n</w:t>
      </w:r>
      <w:r>
        <w:rPr>
          <w:noProof/>
        </w:rPr>
        <w:t>ouveau modèle de soins pour les principaux défis de santé tels que les maladies cardiovasculaires, oncologiques et rares, et le diabète pour prolonger la durée et améliorer la qualité de vie</w:t>
      </w:r>
    </w:p>
    <w:p w14:paraId="292345A3" w14:textId="77777777" w:rsidR="00553430" w:rsidRDefault="00212577">
      <w:pPr>
        <w:pStyle w:val="P68B1DB1-Normal33"/>
        <w:spacing w:line="240" w:lineRule="auto"/>
        <w:ind w:left="850"/>
        <w:jc w:val="both"/>
        <w:rPr>
          <w:noProof/>
        </w:rPr>
      </w:pPr>
      <w:r>
        <w:rPr>
          <w:noProof/>
        </w:rPr>
        <w:t>Faire du système de santé un lieu d'emploi souhaitable grâce à un</w:t>
      </w:r>
      <w:r>
        <w:rPr>
          <w:noProof/>
        </w:rPr>
        <w:t>e gouvernance stratégique, assurant ainsi le nombre et la répartition optimaux des employés dans le système de santé;</w:t>
      </w:r>
    </w:p>
    <w:p w14:paraId="49333E94" w14:textId="77777777" w:rsidR="00553430" w:rsidRDefault="00212577">
      <w:pPr>
        <w:pStyle w:val="P68B1DB1-Normal33"/>
        <w:spacing w:after="240" w:line="240" w:lineRule="auto"/>
        <w:ind w:left="851"/>
        <w:jc w:val="both"/>
        <w:rPr>
          <w:noProof/>
        </w:rPr>
      </w:pPr>
      <w:r>
        <w:rPr>
          <w:noProof/>
        </w:rPr>
        <w:t>- Améliorer le modèle de financement et de gestion du système de santé.</w:t>
      </w:r>
    </w:p>
    <w:p w14:paraId="4DF48EBA" w14:textId="77777777" w:rsidR="00553430" w:rsidRDefault="00212577">
      <w:pPr>
        <w:pStyle w:val="P68B1DB1-Normal33"/>
        <w:spacing w:line="240" w:lineRule="auto"/>
        <w:jc w:val="both"/>
        <w:rPr>
          <w:noProof/>
        </w:rPr>
      </w:pPr>
      <w:r>
        <w:rPr>
          <w:noProof/>
        </w:rPr>
        <w:t>La réforme est achevée au plus tard le 30 septembre 2021.</w:t>
      </w:r>
    </w:p>
    <w:p w14:paraId="3A14630B" w14:textId="77777777" w:rsidR="00553430" w:rsidRDefault="00212577">
      <w:pPr>
        <w:pStyle w:val="P68B1DB1-Normal42"/>
        <w:spacing w:line="240" w:lineRule="auto"/>
        <w:ind w:left="850"/>
        <w:jc w:val="both"/>
        <w:rPr>
          <w:noProof/>
        </w:rPr>
      </w:pPr>
      <w:r>
        <w:rPr>
          <w:noProof/>
        </w:rPr>
        <w:t>Investis</w:t>
      </w:r>
      <w:r>
        <w:rPr>
          <w:noProof/>
        </w:rPr>
        <w:t>sement C5.1 R3-I1 - Financement central des spécialisations</w:t>
      </w:r>
    </w:p>
    <w:p w14:paraId="3B285EEF" w14:textId="77777777" w:rsidR="00553430" w:rsidRDefault="00212577">
      <w:pPr>
        <w:pStyle w:val="P68B1DB1-Normal33"/>
        <w:spacing w:line="240" w:lineRule="auto"/>
        <w:jc w:val="both"/>
        <w:rPr>
          <w:noProof/>
        </w:rPr>
      </w:pPr>
      <w:r>
        <w:rPr>
          <w:noProof/>
        </w:rPr>
        <w:t>L’objectif de cette mesure est de veiller à ce que tous les services de santé soient suffisamment accessibles au public, compte tenu également de la pénurie de médecins. Cette mesure consiste à di</w:t>
      </w:r>
      <w:r>
        <w:rPr>
          <w:noProof/>
        </w:rPr>
        <w:t xml:space="preserve">spenser une formation spécialisée aux professionnels de la santé et aux médecins au niveau primaire de base des soins de santé, ainsi que dans le domaine de la santé publique. </w:t>
      </w:r>
    </w:p>
    <w:p w14:paraId="16CECAAC" w14:textId="77777777" w:rsidR="00553430" w:rsidRDefault="00212577">
      <w:pPr>
        <w:pStyle w:val="P68B1DB1-Normal42"/>
        <w:spacing w:line="240" w:lineRule="auto"/>
        <w:ind w:left="850"/>
        <w:jc w:val="both"/>
        <w:rPr>
          <w:noProof/>
        </w:rPr>
      </w:pPr>
      <w:r>
        <w:rPr>
          <w:noProof/>
        </w:rPr>
        <w:t xml:space="preserve">Investissement C5.1 R3-I2 - Formation spécialisée d'infirmières et de </w:t>
      </w:r>
      <w:r>
        <w:rPr>
          <w:noProof/>
        </w:rPr>
        <w:t>techniciens en médecine d'urgence</w:t>
      </w:r>
    </w:p>
    <w:p w14:paraId="1641E5C7" w14:textId="77777777" w:rsidR="00553430" w:rsidRDefault="00212577">
      <w:pPr>
        <w:pStyle w:val="P68B1DB1-Normal33"/>
        <w:spacing w:line="240" w:lineRule="auto"/>
        <w:jc w:val="both"/>
        <w:rPr>
          <w:noProof/>
        </w:rPr>
      </w:pPr>
      <w:r>
        <w:rPr>
          <w:noProof/>
        </w:rPr>
        <w:t>L’objectif de cette mesure est de permettre aux infirmières et aux techniciens en médecine d’urgence de travailler de manière indépendante dans les services médicaux d’urgence. Cette mesure consiste à fournir une formation</w:t>
      </w:r>
      <w:r>
        <w:rPr>
          <w:noProof/>
        </w:rPr>
        <w:t xml:space="preserve"> spécialisée aux infirmières et aux techniciens en médecine d'urgence. </w:t>
      </w:r>
    </w:p>
    <w:p w14:paraId="7918CD18" w14:textId="77777777" w:rsidR="00553430" w:rsidRDefault="00212577">
      <w:pPr>
        <w:pStyle w:val="P68B1DB1-Normal42"/>
        <w:spacing w:line="240" w:lineRule="auto"/>
        <w:ind w:left="850"/>
        <w:jc w:val="both"/>
        <w:rPr>
          <w:noProof/>
        </w:rPr>
      </w:pPr>
      <w:r>
        <w:rPr>
          <w:noProof/>
        </w:rPr>
        <w:t>Réforme C5.1 R4 - Assurer la viabilité financière du système de santé</w:t>
      </w:r>
    </w:p>
    <w:p w14:paraId="47810EB3" w14:textId="77777777" w:rsidR="00553430" w:rsidRDefault="00212577">
      <w:pPr>
        <w:pStyle w:val="P68B1DB1-Normal33"/>
        <w:spacing w:line="240" w:lineRule="auto"/>
        <w:jc w:val="both"/>
        <w:rPr>
          <w:iCs/>
          <w:noProof/>
        </w:rPr>
      </w:pPr>
      <w:r>
        <w:rPr>
          <w:noProof/>
        </w:rPr>
        <w:t>L’objectif de cette mesure est de remédier à l’augmentation insoutenable des arriérés, aux procédures incohérentes</w:t>
      </w:r>
      <w:r>
        <w:rPr>
          <w:noProof/>
        </w:rPr>
        <w:t xml:space="preserve"> et à l’achat de médicaments coûteux dans le système de santé, dans le but de parvenir à un système de santé publique financièrement viable, en appliquant une norme uniforme de préparation, de passation de marchés et de mise en œuvre des procédures qui inf</w:t>
      </w:r>
      <w:r>
        <w:rPr>
          <w:noProof/>
        </w:rPr>
        <w:t>luent sur les moyens et les possibilités de fournir des soins de santé. La réforme comprend la révision du cadre législatif constitué par la loi sur les soins de santé et la loi sur l’assurance maladie obligatoire, avec les éléments suivants:</w:t>
      </w:r>
    </w:p>
    <w:p w14:paraId="3D1DC1F8" w14:textId="77777777" w:rsidR="00553430" w:rsidRDefault="00212577">
      <w:pPr>
        <w:pStyle w:val="P68B1DB1-Normal33"/>
        <w:numPr>
          <w:ilvl w:val="0"/>
          <w:numId w:val="76"/>
        </w:numPr>
        <w:spacing w:before="120" w:after="120" w:line="240" w:lineRule="auto"/>
        <w:jc w:val="both"/>
        <w:rPr>
          <w:noProof/>
        </w:rPr>
      </w:pPr>
      <w:r>
        <w:rPr>
          <w:noProof/>
        </w:rPr>
        <w:t>l'amélioratio</w:t>
      </w:r>
      <w:r>
        <w:rPr>
          <w:noProof/>
        </w:rPr>
        <w:t xml:space="preserve">n de l'organisation des activités de médecine d'urgence de l'Institut de médecine d'urgence et l'exécution des tâches opérationnelles par l'intermédiaire d'unités organisationnelles définies; </w:t>
      </w:r>
    </w:p>
    <w:p w14:paraId="39A711DF" w14:textId="77777777" w:rsidR="00553430" w:rsidRDefault="00212577">
      <w:pPr>
        <w:pStyle w:val="P68B1DB1-Normal33"/>
        <w:numPr>
          <w:ilvl w:val="0"/>
          <w:numId w:val="76"/>
        </w:numPr>
        <w:spacing w:before="120" w:after="120" w:line="240" w:lineRule="auto"/>
        <w:jc w:val="both"/>
        <w:rPr>
          <w:noProof/>
        </w:rPr>
      </w:pPr>
      <w:r>
        <w:rPr>
          <w:noProof/>
        </w:rPr>
        <w:t>la réorganisation du service de santé publique dans le but d’ac</w:t>
      </w:r>
      <w:r>
        <w:rPr>
          <w:noProof/>
        </w:rPr>
        <w:t xml:space="preserve">croître son efficacité, en mettant particulièrement l’accent sur la prévention et le diagnostic précoce, l’amélioration de la réaction en cas d’urgence et de circonstances particulières (pandémies); </w:t>
      </w:r>
    </w:p>
    <w:p w14:paraId="59657C7D" w14:textId="77777777" w:rsidR="00553430" w:rsidRDefault="00212577">
      <w:pPr>
        <w:pStyle w:val="P68B1DB1-Normal33"/>
        <w:numPr>
          <w:ilvl w:val="0"/>
          <w:numId w:val="76"/>
        </w:numPr>
        <w:spacing w:before="120" w:after="120" w:line="240" w:lineRule="auto"/>
        <w:jc w:val="both"/>
        <w:rPr>
          <w:noProof/>
        </w:rPr>
      </w:pPr>
      <w:r>
        <w:rPr>
          <w:noProof/>
        </w:rPr>
        <w:t>transférer les droits de gestion des hôpitaux des comtés</w:t>
      </w:r>
      <w:r>
        <w:rPr>
          <w:noProof/>
        </w:rPr>
        <w:t xml:space="preserve"> et de la ville de Zagreb à la République de Croatie, afin de parvenir à une utilisation efficiente et efficace des capacités existantes, et améliorer la disponibilité et la qualité des soins de santé en réorganisant le modèle de gestion des hôpitaux;</w:t>
      </w:r>
    </w:p>
    <w:p w14:paraId="2565B781" w14:textId="77777777" w:rsidR="00553430" w:rsidRDefault="00212577">
      <w:pPr>
        <w:pStyle w:val="P68B1DB1-Normal33"/>
        <w:numPr>
          <w:ilvl w:val="0"/>
          <w:numId w:val="76"/>
        </w:numPr>
        <w:spacing w:before="120" w:after="120" w:line="240" w:lineRule="auto"/>
        <w:jc w:val="both"/>
        <w:rPr>
          <w:noProof/>
        </w:rPr>
      </w:pPr>
      <w:r>
        <w:rPr>
          <w:noProof/>
        </w:rPr>
        <w:t>racc</w:t>
      </w:r>
      <w:r>
        <w:rPr>
          <w:noProof/>
        </w:rPr>
        <w:t>ourcir le temps d’attente sur les listes d’attente pour les services médicaux individuels, optimiser et mieux répartir les ressources disponibles en matière de soins de santé provenant de l’assurance maladie obligatoire afin de rendre les services de santé</w:t>
      </w:r>
      <w:r>
        <w:rPr>
          <w:noProof/>
        </w:rPr>
        <w:t xml:space="preserve"> plus accessibles aux assurés;</w:t>
      </w:r>
    </w:p>
    <w:p w14:paraId="4A3D9F83" w14:textId="77777777" w:rsidR="00553430" w:rsidRDefault="00212577">
      <w:pPr>
        <w:pStyle w:val="P68B1DB1-Normal33"/>
        <w:numPr>
          <w:ilvl w:val="0"/>
          <w:numId w:val="76"/>
        </w:numPr>
        <w:spacing w:before="120" w:after="120" w:line="240" w:lineRule="auto"/>
        <w:jc w:val="both"/>
        <w:rPr>
          <w:noProof/>
        </w:rPr>
      </w:pPr>
      <w:r>
        <w:rPr>
          <w:noProof/>
        </w:rPr>
        <w:t>renforcer les dispositions en matière de gestion financière tout en garantissant le capital financier aux fins de la stabilité financière du système de santé publique;</w:t>
      </w:r>
    </w:p>
    <w:p w14:paraId="391D41A7" w14:textId="77777777" w:rsidR="00553430" w:rsidRDefault="00212577">
      <w:pPr>
        <w:pStyle w:val="P68B1DB1-Normal33"/>
        <w:numPr>
          <w:ilvl w:val="0"/>
          <w:numId w:val="76"/>
        </w:numPr>
        <w:spacing w:before="120" w:after="120" w:line="240" w:lineRule="auto"/>
        <w:jc w:val="both"/>
        <w:rPr>
          <w:noProof/>
        </w:rPr>
      </w:pPr>
      <w:r>
        <w:rPr>
          <w:noProof/>
        </w:rPr>
        <w:t xml:space="preserve">Modifications législatives visant à garantir l’exécution </w:t>
      </w:r>
      <w:r>
        <w:rPr>
          <w:noProof/>
        </w:rPr>
        <w:t xml:space="preserve">en temps utile des obligations de paiement de la caisse croate d’assurance maladie (HZZO). </w:t>
      </w:r>
    </w:p>
    <w:p w14:paraId="326C6E13" w14:textId="77777777" w:rsidR="00553430" w:rsidRDefault="00212577">
      <w:pPr>
        <w:pStyle w:val="P68B1DB1-Normal33"/>
        <w:spacing w:after="200" w:line="276" w:lineRule="auto"/>
        <w:rPr>
          <w:noProof/>
        </w:rPr>
      </w:pPr>
      <w:r>
        <w:rPr>
          <w:noProof/>
        </w:rPr>
        <w:t xml:space="preserve">La réforme atteint les objectifs suivants: </w:t>
      </w:r>
    </w:p>
    <w:p w14:paraId="04C7908B" w14:textId="77777777" w:rsidR="00553430" w:rsidRDefault="00212577">
      <w:pPr>
        <w:pStyle w:val="P68B1DB1-Normal33"/>
        <w:numPr>
          <w:ilvl w:val="0"/>
          <w:numId w:val="76"/>
        </w:numPr>
        <w:spacing w:after="200" w:line="276" w:lineRule="auto"/>
        <w:contextualSpacing/>
        <w:rPr>
          <w:noProof/>
        </w:rPr>
      </w:pPr>
      <w:r>
        <w:rPr>
          <w:noProof/>
        </w:rPr>
        <w:t>L’intégration fonctionnelle d’au moins huit hôpitaux doit être achevée;</w:t>
      </w:r>
    </w:p>
    <w:p w14:paraId="7700DC77" w14:textId="1961517F" w:rsidR="00553430" w:rsidRDefault="00212577">
      <w:pPr>
        <w:pStyle w:val="P68B1DB1-Normal33"/>
        <w:numPr>
          <w:ilvl w:val="0"/>
          <w:numId w:val="76"/>
        </w:numPr>
        <w:spacing w:after="200" w:line="276" w:lineRule="auto"/>
        <w:contextualSpacing/>
        <w:rPr>
          <w:noProof/>
        </w:rPr>
      </w:pPr>
      <w:r>
        <w:rPr>
          <w:noProof/>
        </w:rPr>
        <w:t>Au moins 85 % des catégories d’achat, représenta</w:t>
      </w:r>
      <w:r>
        <w:rPr>
          <w:noProof/>
        </w:rPr>
        <w:t xml:space="preserve">nt au moins 80 % des dépenses totales des hôpitaux gérés par l’État, ont fait l’objet d’une procédure conjointe de passation de marché. </w:t>
      </w:r>
    </w:p>
    <w:p w14:paraId="7716B55E" w14:textId="77777777" w:rsidR="00553430" w:rsidRDefault="00212577">
      <w:pPr>
        <w:pStyle w:val="P68B1DB1-Normal33"/>
        <w:spacing w:line="240" w:lineRule="auto"/>
        <w:jc w:val="both"/>
        <w:rPr>
          <w:noProof/>
        </w:rPr>
      </w:pPr>
      <w:r>
        <w:rPr>
          <w:noProof/>
        </w:rPr>
        <w:t>La réforme est achevée au plus tard le 31 décembre 2023.</w:t>
      </w:r>
    </w:p>
    <w:p w14:paraId="3D38C5F8" w14:textId="77777777" w:rsidR="00553430" w:rsidRDefault="00212577">
      <w:pPr>
        <w:pStyle w:val="P68B1DB1-Normal42"/>
        <w:spacing w:line="240" w:lineRule="auto"/>
        <w:ind w:left="850"/>
        <w:jc w:val="both"/>
        <w:rPr>
          <w:noProof/>
        </w:rPr>
      </w:pPr>
      <w:r>
        <w:rPr>
          <w:noProof/>
        </w:rPr>
        <w:t>Investissement C5.1 R4-I1 - Préparation centrale des préparati</w:t>
      </w:r>
      <w:r>
        <w:rPr>
          <w:noProof/>
        </w:rPr>
        <w:t>ons parentérales dans 8 hôpitaux croates</w:t>
      </w:r>
    </w:p>
    <w:p w14:paraId="460F8772" w14:textId="616937C8" w:rsidR="00553430" w:rsidRDefault="00212577">
      <w:pPr>
        <w:pStyle w:val="P68B1DB1-Normal33"/>
        <w:spacing w:line="240" w:lineRule="auto"/>
        <w:jc w:val="both"/>
        <w:rPr>
          <w:noProof/>
        </w:rPr>
      </w:pPr>
      <w:r>
        <w:rPr>
          <w:noProof/>
        </w:rPr>
        <w:t>L’objectif de cette mesure est de réduire les coûts et d’assurer le plus haut niveau de sécurité dans l’utilisation des médicaments parentéraux, de prévenir les erreurs de médication, de prolonger les jours d’hospit</w:t>
      </w:r>
      <w:r>
        <w:rPr>
          <w:noProof/>
        </w:rPr>
        <w:t xml:space="preserve">alisation et de réduire la charge pesant sur les médecins et les infirmières du service hospitalier. Cette mesure consiste à mettre en place un système central de préparation des préparations parentérales dans les hôpitaux. </w:t>
      </w:r>
    </w:p>
    <w:p w14:paraId="5CCBFDC6" w14:textId="77777777" w:rsidR="00553430" w:rsidRDefault="00212577">
      <w:pPr>
        <w:pStyle w:val="P68B1DB1-Normal42"/>
        <w:spacing w:line="240" w:lineRule="auto"/>
        <w:ind w:left="850"/>
        <w:jc w:val="both"/>
        <w:rPr>
          <w:noProof/>
        </w:rPr>
      </w:pPr>
      <w:r>
        <w:rPr>
          <w:noProof/>
        </w:rPr>
        <w:t>Investissement C5.1 R4-I2 - Mis</w:t>
      </w:r>
      <w:r>
        <w:rPr>
          <w:noProof/>
        </w:rPr>
        <w:t>e en place d'un système de distribution de thérapies unitaires dans 40 hôpitaux croates</w:t>
      </w:r>
    </w:p>
    <w:p w14:paraId="18D37B36" w14:textId="77777777" w:rsidR="00553430" w:rsidRDefault="00212577">
      <w:pPr>
        <w:pStyle w:val="P68B1DB1-Normal33"/>
        <w:spacing w:line="240" w:lineRule="auto"/>
        <w:jc w:val="both"/>
        <w:rPr>
          <w:noProof/>
          <w:u w:val="single"/>
        </w:rPr>
      </w:pPr>
      <w:r>
        <w:rPr>
          <w:noProof/>
        </w:rPr>
        <w:t xml:space="preserve">L’objectif de cette mesure est de contribuer à accroître la sécurité des patients, à prévenir les erreurs de médication, à contrôler les stocks de médicaments et à </w:t>
      </w:r>
      <w:r>
        <w:rPr>
          <w:noProof/>
        </w:rPr>
        <w:t>accroître la sensibilisation des patients, dans le but d’améliorer les résultats globaux du traitement. Cette mesure consiste en l'introduction d'un système de distribution de thérapies unitaires dans les hôpitaux.</w:t>
      </w:r>
    </w:p>
    <w:p w14:paraId="042A77C6" w14:textId="77777777" w:rsidR="00553430" w:rsidRDefault="00212577">
      <w:pPr>
        <w:pStyle w:val="P68B1DB1-Normal42"/>
        <w:spacing w:line="240" w:lineRule="auto"/>
        <w:ind w:left="850"/>
        <w:jc w:val="both"/>
        <w:rPr>
          <w:noProof/>
        </w:rPr>
      </w:pPr>
      <w:r>
        <w:rPr>
          <w:noProof/>
        </w:rPr>
        <w:t xml:space="preserve">Investissement C5.1 R4-I3 - Numérisation </w:t>
      </w:r>
      <w:r>
        <w:rPr>
          <w:noProof/>
        </w:rPr>
        <w:t>du suivi des médicaments dans les établissements de soins de santé aux niveaux secondaire et tertiaire</w:t>
      </w:r>
    </w:p>
    <w:p w14:paraId="6C41A066" w14:textId="77777777" w:rsidR="00553430" w:rsidRDefault="00212577">
      <w:pPr>
        <w:pStyle w:val="P68B1DB1-Normal33"/>
        <w:spacing w:after="240" w:line="240" w:lineRule="auto"/>
        <w:jc w:val="both"/>
        <w:rPr>
          <w:noProof/>
        </w:rPr>
      </w:pPr>
      <w:r>
        <w:rPr>
          <w:noProof/>
        </w:rPr>
        <w:t>L’objectif de cette mesure est la numérisation de la filière des médicaments afin de permettre au système de santé croate de surveiller la consommation d</w:t>
      </w:r>
      <w:r>
        <w:rPr>
          <w:noProof/>
        </w:rPr>
        <w:t>e médicaments. Cette mesure consiste à fournir une solution informatique fonctionnelle intégrée pour la surveillance complète des médicaments dans le système hospitalier, de la pharmacie au patient.</w:t>
      </w:r>
    </w:p>
    <w:p w14:paraId="2CB34F1C" w14:textId="77777777" w:rsidR="00553430" w:rsidRDefault="00212577">
      <w:pPr>
        <w:pStyle w:val="P68B1DB1-Normal42"/>
        <w:spacing w:line="240" w:lineRule="auto"/>
        <w:ind w:left="850"/>
        <w:jc w:val="both"/>
        <w:rPr>
          <w:noProof/>
        </w:rPr>
      </w:pPr>
      <w:r>
        <w:rPr>
          <w:noProof/>
        </w:rPr>
        <w:t>Investissement C5.1 R4-I4 - Développement d’un système de</w:t>
      </w:r>
      <w:r>
        <w:rPr>
          <w:noProof/>
        </w:rPr>
        <w:t xml:space="preserve"> surveillance et de prévention des pénuries de médicaments en Croatie</w:t>
      </w:r>
    </w:p>
    <w:p w14:paraId="75EEA7EE" w14:textId="77777777" w:rsidR="00553430" w:rsidRDefault="00212577">
      <w:pPr>
        <w:pStyle w:val="P68B1DB1-Normal33"/>
        <w:spacing w:line="240" w:lineRule="auto"/>
        <w:jc w:val="both"/>
        <w:rPr>
          <w:noProof/>
        </w:rPr>
      </w:pPr>
      <w:r>
        <w:rPr>
          <w:noProof/>
        </w:rPr>
        <w:t>L’objectif de cette mesure est d’introduire une gestion ciblée des données des stocks de médicaments qui vise à permettre une plus grande efficacité dans l’acquisition de médicaments. La</w:t>
      </w:r>
      <w:r>
        <w:rPr>
          <w:noProof/>
        </w:rPr>
        <w:t xml:space="preserve"> mesure établit un système opérationnel précis de surveillance et d'analyse du chiffre d'affaires de certains médicaments. </w:t>
      </w:r>
    </w:p>
    <w:p w14:paraId="5FAD4F98" w14:textId="77777777" w:rsidR="00553430" w:rsidRDefault="00212577">
      <w:pPr>
        <w:pStyle w:val="P68B1DB1-Normal42"/>
        <w:spacing w:line="240" w:lineRule="auto"/>
        <w:ind w:left="850"/>
        <w:jc w:val="both"/>
        <w:rPr>
          <w:noProof/>
        </w:rPr>
      </w:pPr>
      <w:r>
        <w:rPr>
          <w:noProof/>
        </w:rPr>
        <w:t xml:space="preserve">Investissement C5.1 R4-I5 - Mise en place d'un système de suivi des résultats du traitement pour les soins ambulatoires, en mettant l'accent sur les patients chroniques dans les pharmacies publiques </w:t>
      </w:r>
    </w:p>
    <w:p w14:paraId="16D3570F" w14:textId="60B328C2" w:rsidR="00553430" w:rsidRDefault="00212577">
      <w:pPr>
        <w:pStyle w:val="P68B1DB1-Normal33"/>
        <w:spacing w:line="240" w:lineRule="auto"/>
        <w:jc w:val="both"/>
        <w:rPr>
          <w:noProof/>
        </w:rPr>
      </w:pPr>
      <w:r>
        <w:rPr>
          <w:noProof/>
        </w:rPr>
        <w:t>L'objectif de cette mesure est de parvenir à une planifi</w:t>
      </w:r>
      <w:r>
        <w:rPr>
          <w:noProof/>
        </w:rPr>
        <w:t>cation, un suivi et une évaluation plus systématiques du rapport coût-efficacité des investissements dans la pharmacothérapie des patients non hospitaliers. La mesure consiste à créer un programme de surveillance des résultats pour les patients dans les ph</w:t>
      </w:r>
      <w:r>
        <w:rPr>
          <w:noProof/>
        </w:rPr>
        <w:t>armacies publiques.</w:t>
      </w:r>
    </w:p>
    <w:p w14:paraId="44BF8FF3" w14:textId="77777777" w:rsidR="00553430" w:rsidRDefault="00212577">
      <w:pPr>
        <w:pStyle w:val="P68B1DB1-Normal42"/>
        <w:spacing w:line="240" w:lineRule="auto"/>
        <w:ind w:left="850"/>
        <w:jc w:val="both"/>
        <w:rPr>
          <w:noProof/>
        </w:rPr>
      </w:pPr>
      <w:r>
        <w:rPr>
          <w:noProof/>
        </w:rPr>
        <w:t>Réforme C5.1 R5 – Santé en ligne</w:t>
      </w:r>
    </w:p>
    <w:p w14:paraId="04022B48" w14:textId="77777777" w:rsidR="00553430" w:rsidRDefault="00212577">
      <w:pPr>
        <w:pStyle w:val="P68B1DB1-Normal33"/>
        <w:spacing w:line="240" w:lineRule="auto"/>
        <w:jc w:val="both"/>
        <w:rPr>
          <w:iCs/>
          <w:noProof/>
        </w:rPr>
      </w:pPr>
      <w:r>
        <w:rPr>
          <w:noProof/>
        </w:rPr>
        <w:t xml:space="preserve">L'objectif de cette mesure est d'améliorer la capacité de gestion grâce à une utilisation plus efficace des données et d'encourager des solutions de santé novatrices pour améliorer la gestion du système </w:t>
      </w:r>
      <w:r>
        <w:rPr>
          <w:noProof/>
        </w:rPr>
        <w:t>de santé. La réforme de la santé en ligne soutient les efforts visant à faire en sorte que toutes les personnes aient accès aux services de santé nécessaires (y compris la prévention, le traitement, la réadaptation et les soins palliatifs) de qualité suffi</w:t>
      </w:r>
      <w:r>
        <w:rPr>
          <w:noProof/>
        </w:rPr>
        <w:t>sante. La réforme comprend l'adoption du cadre télémédical national en vue:</w:t>
      </w:r>
    </w:p>
    <w:p w14:paraId="62432001" w14:textId="77777777" w:rsidR="00553430" w:rsidRDefault="00212577">
      <w:pPr>
        <w:pStyle w:val="P68B1DB1-Normal33"/>
        <w:numPr>
          <w:ilvl w:val="0"/>
          <w:numId w:val="76"/>
        </w:numPr>
        <w:spacing w:before="120" w:after="120" w:line="240" w:lineRule="auto"/>
        <w:jc w:val="both"/>
        <w:rPr>
          <w:noProof/>
        </w:rPr>
      </w:pPr>
      <w:r>
        <w:rPr>
          <w:noProof/>
        </w:rPr>
        <w:t>étendre le champ d’application des services télémédicaux et garantir l’interopérabilité avec le système national d’information sur la santé et l’adéquation aux futurs échanges tran</w:t>
      </w:r>
      <w:r>
        <w:rPr>
          <w:noProof/>
        </w:rPr>
        <w:t>sfrontaliers;</w:t>
      </w:r>
    </w:p>
    <w:p w14:paraId="442F9EB4" w14:textId="77777777" w:rsidR="00553430" w:rsidRDefault="00212577">
      <w:pPr>
        <w:pStyle w:val="P68B1DB1-Normal33"/>
        <w:numPr>
          <w:ilvl w:val="0"/>
          <w:numId w:val="76"/>
        </w:numPr>
        <w:spacing w:before="120" w:after="120" w:line="240" w:lineRule="auto"/>
        <w:jc w:val="both"/>
        <w:rPr>
          <w:noProof/>
        </w:rPr>
      </w:pPr>
      <w:r>
        <w:rPr>
          <w:noProof/>
        </w:rPr>
        <w:t>La transmission des paramètres vitaux du patient du service de santé d'urgence (HMS) au service hospitalier d'urgence conjoint (OHBP) et à la surveillance ambulatoire à distance.</w:t>
      </w:r>
    </w:p>
    <w:p w14:paraId="71E83F25" w14:textId="77777777" w:rsidR="00553430" w:rsidRDefault="00212577">
      <w:pPr>
        <w:pStyle w:val="P68B1DB1-Normal33"/>
        <w:numPr>
          <w:ilvl w:val="0"/>
          <w:numId w:val="76"/>
        </w:numPr>
        <w:spacing w:before="120" w:after="120" w:line="240" w:lineRule="auto"/>
        <w:jc w:val="both"/>
        <w:rPr>
          <w:noProof/>
        </w:rPr>
      </w:pPr>
      <w:r>
        <w:rPr>
          <w:noProof/>
        </w:rPr>
        <w:t>Mise en place d’une surveillance à distance des services de soi</w:t>
      </w:r>
      <w:r>
        <w:rPr>
          <w:noProof/>
        </w:rPr>
        <w:t>ns de santé d’urgence (SMU) et d’un plan d’action pour l’introduction de la surveillance et d’un cadre de suivi de la mise en œuvre, sur la base des documents «Analyse de la situation», «Cadre national» et «Plan d’action» fournis au titre de l’instrument d</w:t>
      </w:r>
      <w:r>
        <w:rPr>
          <w:noProof/>
        </w:rPr>
        <w:t>’appui technique associé.</w:t>
      </w:r>
    </w:p>
    <w:p w14:paraId="75CB73E3" w14:textId="77777777" w:rsidR="00553430" w:rsidRDefault="00212577">
      <w:pPr>
        <w:pStyle w:val="P68B1DB1-Normal33"/>
        <w:spacing w:line="240" w:lineRule="auto"/>
        <w:jc w:val="both"/>
        <w:rPr>
          <w:iCs/>
          <w:noProof/>
        </w:rPr>
      </w:pPr>
      <w:r>
        <w:rPr>
          <w:noProof/>
        </w:rPr>
        <w:t>Le système national de gestion de l'information en matière de santé en ligne comprend les fonctionnalités suivantes:</w:t>
      </w:r>
    </w:p>
    <w:p w14:paraId="1929B8A3" w14:textId="77777777" w:rsidR="00553430" w:rsidRDefault="00212577">
      <w:pPr>
        <w:pStyle w:val="P68B1DB1-Normal33"/>
        <w:numPr>
          <w:ilvl w:val="0"/>
          <w:numId w:val="76"/>
        </w:numPr>
        <w:spacing w:before="120" w:after="120" w:line="240" w:lineRule="auto"/>
        <w:jc w:val="both"/>
        <w:rPr>
          <w:noProof/>
        </w:rPr>
      </w:pPr>
      <w:r>
        <w:rPr>
          <w:noProof/>
        </w:rPr>
        <w:t>des rapports réguliers sur la santé de la population en tant que base pour des activités ciblées de prévention et</w:t>
      </w:r>
      <w:r>
        <w:rPr>
          <w:noProof/>
        </w:rPr>
        <w:t xml:space="preserve"> de gestion des maladies;</w:t>
      </w:r>
    </w:p>
    <w:p w14:paraId="709D11B7" w14:textId="77777777" w:rsidR="00553430" w:rsidRDefault="00212577">
      <w:pPr>
        <w:pStyle w:val="P68B1DB1-Normal33"/>
        <w:numPr>
          <w:ilvl w:val="0"/>
          <w:numId w:val="76"/>
        </w:numPr>
        <w:spacing w:before="120" w:after="120" w:line="240" w:lineRule="auto"/>
        <w:jc w:val="both"/>
        <w:rPr>
          <w:noProof/>
        </w:rPr>
      </w:pPr>
      <w:r>
        <w:rPr>
          <w:noProof/>
        </w:rPr>
        <w:t>renforcer les capacités nationales d’analyse des données, y compris l’intégration des prestataires de soins de santé et des interfaces patients avec les infrastructures et les pratiques existantes;</w:t>
      </w:r>
    </w:p>
    <w:p w14:paraId="54BD84C7" w14:textId="77777777" w:rsidR="00553430" w:rsidRDefault="00212577">
      <w:pPr>
        <w:pStyle w:val="P68B1DB1-Normal33"/>
        <w:numPr>
          <w:ilvl w:val="0"/>
          <w:numId w:val="76"/>
        </w:numPr>
        <w:spacing w:before="120" w:after="120" w:line="240" w:lineRule="auto"/>
        <w:jc w:val="both"/>
        <w:rPr>
          <w:noProof/>
        </w:rPr>
      </w:pPr>
      <w:r>
        <w:rPr>
          <w:noProof/>
        </w:rPr>
        <w:t>renforcer les capacités national</w:t>
      </w:r>
      <w:r>
        <w:rPr>
          <w:noProof/>
        </w:rPr>
        <w:t>es pour le déploiement de l’intelligence artificielle et du calcul à haute performance, en augmentant le niveau de cybersécurité dans le domaine de la santé en ligne et les compétences numériques avancées pour les professionnels de la santé, ainsi que pour</w:t>
      </w:r>
      <w:r>
        <w:rPr>
          <w:noProof/>
        </w:rPr>
        <w:t xml:space="preserve"> les patients, au moyen de technologies avancées, en particulier l’intelligence artificielle;</w:t>
      </w:r>
    </w:p>
    <w:p w14:paraId="059BA455" w14:textId="77777777" w:rsidR="00553430" w:rsidRDefault="00212577">
      <w:pPr>
        <w:pStyle w:val="P68B1DB1-Normal33"/>
        <w:numPr>
          <w:ilvl w:val="0"/>
          <w:numId w:val="76"/>
        </w:numPr>
        <w:spacing w:before="120" w:after="120" w:line="240" w:lineRule="auto"/>
        <w:jc w:val="both"/>
        <w:rPr>
          <w:noProof/>
        </w:rPr>
      </w:pPr>
      <w:r>
        <w:rPr>
          <w:noProof/>
        </w:rPr>
        <w:t>Permettre le développement de nouveaux services de santé basés sur des données collectées anonymement disponibles dans le système de santé.</w:t>
      </w:r>
    </w:p>
    <w:p w14:paraId="3EFC02C8" w14:textId="77777777" w:rsidR="00553430" w:rsidRDefault="00212577">
      <w:pPr>
        <w:pStyle w:val="P68B1DB1-Normal33"/>
        <w:spacing w:line="240" w:lineRule="auto"/>
        <w:jc w:val="both"/>
        <w:rPr>
          <w:noProof/>
        </w:rPr>
      </w:pPr>
      <w:r>
        <w:rPr>
          <w:noProof/>
        </w:rPr>
        <w:t>Cinq investissements d</w:t>
      </w:r>
      <w:r>
        <w:rPr>
          <w:noProof/>
        </w:rPr>
        <w:t xml:space="preserve">'accompagnement (C5.1 R5-I1 à I5) soutiendront la réforme. </w:t>
      </w:r>
    </w:p>
    <w:p w14:paraId="65038B72" w14:textId="77777777" w:rsidR="00553430" w:rsidRDefault="00212577">
      <w:pPr>
        <w:pStyle w:val="P68B1DB1-Normal33"/>
        <w:spacing w:line="240" w:lineRule="auto"/>
        <w:jc w:val="both"/>
        <w:rPr>
          <w:noProof/>
        </w:rPr>
      </w:pPr>
      <w:r>
        <w:rPr>
          <w:noProof/>
        </w:rPr>
        <w:t>La réforme est achevée au plus tard le 31 décembre 2022.</w:t>
      </w:r>
    </w:p>
    <w:p w14:paraId="5409779E" w14:textId="77777777" w:rsidR="00553430" w:rsidRDefault="00212577">
      <w:pPr>
        <w:pStyle w:val="P68B1DB1-Normal42"/>
        <w:spacing w:line="240" w:lineRule="auto"/>
        <w:ind w:left="850"/>
        <w:jc w:val="both"/>
        <w:rPr>
          <w:noProof/>
        </w:rPr>
      </w:pPr>
      <w:r>
        <w:rPr>
          <w:noProof/>
        </w:rPr>
        <w:t>Investissement C5.1 R5-I1 - Intégration numérique des salles d'opération et de la chirurgie robotique à KBC Split</w:t>
      </w:r>
    </w:p>
    <w:p w14:paraId="0A3ED51F" w14:textId="77777777" w:rsidR="00553430" w:rsidRDefault="00212577">
      <w:pPr>
        <w:pStyle w:val="P68B1DB1-Normal33"/>
        <w:spacing w:line="240" w:lineRule="auto"/>
        <w:jc w:val="both"/>
        <w:rPr>
          <w:noProof/>
        </w:rPr>
      </w:pPr>
      <w:r>
        <w:rPr>
          <w:noProof/>
        </w:rPr>
        <w:t>L’objectif de cette mesur</w:t>
      </w:r>
      <w:r>
        <w:rPr>
          <w:noProof/>
        </w:rPr>
        <w:t>e est de permettre de traiter de manière globale les patients atteints de maladies malignes et d’intégrer des mesures d’optimisation des soins de santé. De cette façon, l'investissement devrait améliorer les résultats en matière de santé grâce à l'introduc</w:t>
      </w:r>
      <w:r>
        <w:rPr>
          <w:noProof/>
        </w:rPr>
        <w:t xml:space="preserve">tion d'un nouveau modèle de soins pour les patients, en particulier de nouveaux traitements chirurgicaux de pointe. L’investissement porte sur la numérisation des salles d’opération et l’achat d’équipements pour le traitement avancé du cancer à </w:t>
      </w:r>
      <w:r>
        <w:rPr>
          <w:noProof/>
          <w:u w:val="single"/>
        </w:rPr>
        <w:t>KBC Split.</w:t>
      </w:r>
    </w:p>
    <w:p w14:paraId="2782CF3E" w14:textId="77777777" w:rsidR="00553430" w:rsidRDefault="00212577">
      <w:pPr>
        <w:pStyle w:val="P68B1DB1-Normal33"/>
        <w:spacing w:line="240" w:lineRule="auto"/>
        <w:jc w:val="both"/>
        <w:rPr>
          <w:noProof/>
        </w:rPr>
      </w:pPr>
      <w:r>
        <w:rPr>
          <w:noProof/>
        </w:rPr>
        <w:t>La mesure est achevée au plus tard le 30 juin 2024.</w:t>
      </w:r>
    </w:p>
    <w:p w14:paraId="60555437" w14:textId="77777777" w:rsidR="00553430" w:rsidRDefault="00212577">
      <w:pPr>
        <w:pStyle w:val="P68B1DB1-Normal42"/>
        <w:spacing w:line="240" w:lineRule="auto"/>
        <w:ind w:left="850"/>
        <w:jc w:val="both"/>
        <w:rPr>
          <w:noProof/>
        </w:rPr>
      </w:pPr>
      <w:r>
        <w:rPr>
          <w:noProof/>
        </w:rPr>
        <w:t>Investissement C5.1 R5-I2 – TELECORDIS</w:t>
      </w:r>
    </w:p>
    <w:p w14:paraId="448CA1E4" w14:textId="77777777" w:rsidR="00553430" w:rsidRDefault="00212577">
      <w:pPr>
        <w:pStyle w:val="P68B1DB1-Normal33"/>
        <w:spacing w:line="240" w:lineRule="auto"/>
        <w:jc w:val="both"/>
        <w:rPr>
          <w:noProof/>
          <w:u w:val="single"/>
        </w:rPr>
      </w:pPr>
      <w:r>
        <w:rPr>
          <w:noProof/>
        </w:rPr>
        <w:t>L’objectif de cette mesure est de numériser les services de cardiologie afin de permettre un suivi continu de l’état des patients, en particulier ceux atteints de ma</w:t>
      </w:r>
      <w:r>
        <w:rPr>
          <w:noProof/>
        </w:rPr>
        <w:t>ladies cardiaques chroniques. On s'attend à ce que des services de diagnostic cardiologique rapides et accessibles au niveau des soins primaires aident à la détection rapide des problèmes de santé cardiaque des patients, au traitement opportun et approprié</w:t>
      </w:r>
      <w:r>
        <w:rPr>
          <w:noProof/>
        </w:rPr>
        <w:t xml:space="preserve"> et à la surveillance continue de leur état de santé. En outre, le service télémédical ECG Holter fournira aux patients des zones reculées et rurales un accès à des soins spécialisés, augmentant ainsi considérablement la disponibilité de services de santé </w:t>
      </w:r>
      <w:r>
        <w:rPr>
          <w:noProof/>
        </w:rPr>
        <w:t>spécialisés dans les centres ambulatoires locaux, améliorant les performances des spécialistes, améliorant les résultats des patients, réduisant les listes d’attente et le coût de la fourniture de services de soins de santé. L’investissement comprend la nu</w:t>
      </w:r>
      <w:r>
        <w:rPr>
          <w:noProof/>
        </w:rPr>
        <w:t xml:space="preserve">mérisation des processus de diagnostic et permet le partage des données avec des centres spécialisés dispersés. </w:t>
      </w:r>
    </w:p>
    <w:p w14:paraId="622B6E7C" w14:textId="77777777" w:rsidR="00553430" w:rsidRDefault="00212577">
      <w:pPr>
        <w:pStyle w:val="P68B1DB1-Normal33"/>
        <w:spacing w:line="240" w:lineRule="auto"/>
        <w:jc w:val="both"/>
        <w:rPr>
          <w:noProof/>
          <w:u w:val="single"/>
        </w:rPr>
      </w:pPr>
      <w:r>
        <w:rPr>
          <w:noProof/>
        </w:rPr>
        <w:t>La mesure est achevée au plus tard le 31 mars 2023.</w:t>
      </w:r>
    </w:p>
    <w:p w14:paraId="373A6FE7" w14:textId="77777777" w:rsidR="00553430" w:rsidRDefault="00212577">
      <w:pPr>
        <w:pStyle w:val="P68B1DB1-Normal42"/>
        <w:spacing w:line="240" w:lineRule="auto"/>
        <w:ind w:left="850"/>
        <w:jc w:val="both"/>
        <w:rPr>
          <w:noProof/>
        </w:rPr>
      </w:pPr>
      <w:r>
        <w:rPr>
          <w:noProof/>
        </w:rPr>
        <w:t>Investissement C5.1 R5-I3 – Télétransfusion</w:t>
      </w:r>
    </w:p>
    <w:p w14:paraId="57E3B720" w14:textId="77777777" w:rsidR="00553430" w:rsidRDefault="00212577">
      <w:pPr>
        <w:pStyle w:val="P68B1DB1-Normal33"/>
        <w:spacing w:line="240" w:lineRule="auto"/>
        <w:jc w:val="both"/>
        <w:rPr>
          <w:noProof/>
        </w:rPr>
      </w:pPr>
      <w:r>
        <w:rPr>
          <w:noProof/>
        </w:rPr>
        <w:t xml:space="preserve">L’objectif de cette mesure est de numériser le </w:t>
      </w:r>
      <w:r>
        <w:rPr>
          <w:noProof/>
        </w:rPr>
        <w:t>service de transfusion et de garantir la disponibilité d’un spécialiste de la transfusion de garde pour tous les établissements hospitaliers de soins de santé disposant d’unités de transfusion, contribuant ainsi à un fort développement du service de télémé</w:t>
      </w:r>
      <w:r>
        <w:rPr>
          <w:noProof/>
        </w:rPr>
        <w:t xml:space="preserve">decine par la transmission numérique de données médicales et renforçant l’interconnexion de tous les établissements hospitaliers avec les unités de transfusion. </w:t>
      </w:r>
    </w:p>
    <w:p w14:paraId="55F52808" w14:textId="77777777" w:rsidR="00553430" w:rsidRDefault="00212577">
      <w:pPr>
        <w:pStyle w:val="P68B1DB1-Normal33"/>
        <w:spacing w:line="240" w:lineRule="auto"/>
        <w:jc w:val="both"/>
        <w:rPr>
          <w:noProof/>
          <w:u w:val="single"/>
        </w:rPr>
      </w:pPr>
      <w:r>
        <w:rPr>
          <w:noProof/>
        </w:rPr>
        <w:t>La mesure est achevée au plus tard le 31 décembre 2022.</w:t>
      </w:r>
    </w:p>
    <w:p w14:paraId="390D99D7" w14:textId="77777777" w:rsidR="00553430" w:rsidRDefault="00212577">
      <w:pPr>
        <w:pStyle w:val="P68B1DB1-Normal42"/>
        <w:spacing w:line="240" w:lineRule="auto"/>
        <w:ind w:left="850"/>
        <w:jc w:val="both"/>
        <w:rPr>
          <w:noProof/>
        </w:rPr>
      </w:pPr>
      <w:r>
        <w:rPr>
          <w:noProof/>
        </w:rPr>
        <w:t>Investissement C5.1 R5-I4 – Numérisati</w:t>
      </w:r>
      <w:r>
        <w:rPr>
          <w:noProof/>
        </w:rPr>
        <w:t>on et intégration de salles d’opération équipées de chirurgie robotique au centre hospitalier clinique «KBC Sestre Milosrdnice»</w:t>
      </w:r>
    </w:p>
    <w:p w14:paraId="59D3AC43" w14:textId="77777777" w:rsidR="00553430" w:rsidRDefault="00212577">
      <w:pPr>
        <w:pStyle w:val="P68B1DB1-Normal33"/>
        <w:spacing w:line="240" w:lineRule="auto"/>
        <w:jc w:val="both"/>
        <w:rPr>
          <w:noProof/>
        </w:rPr>
      </w:pPr>
      <w:r>
        <w:rPr>
          <w:noProof/>
        </w:rPr>
        <w:t>L’objectif de cette mesure est la numérisation des salles d’opération et l’achat d’équipements de traitement avancés pour de nou</w:t>
      </w:r>
      <w:r>
        <w:rPr>
          <w:noProof/>
        </w:rPr>
        <w:t>veaux traitements chirurgicaux modernes. La numérisation et l’intégration des salles d’opération modifient la planification, la documentation, le stockage et le partage des données sur les patients ainsi que les types et les méthodes de traitement opératio</w:t>
      </w:r>
      <w:r>
        <w:rPr>
          <w:noProof/>
        </w:rPr>
        <w:t xml:space="preserve">nnel. La chirurgie robotisée améliore la qualité du traitement chirurgical, accroît la sécurité des patients, améliore la transparence du traitement, améliore le contrôle des coûts et les résultats en matière de santé, renforce et consolide les ressources </w:t>
      </w:r>
      <w:r>
        <w:rPr>
          <w:noProof/>
        </w:rPr>
        <w:t xml:space="preserve">essentielles en matière d’infrastructures d’information sur la santé, instaure un système de services de santé sans support papier et contribue à la transition numérique. </w:t>
      </w:r>
    </w:p>
    <w:p w14:paraId="28847A68" w14:textId="77777777" w:rsidR="00553430" w:rsidRDefault="00212577">
      <w:pPr>
        <w:pStyle w:val="P68B1DB1-Normal33"/>
        <w:spacing w:line="240" w:lineRule="auto"/>
        <w:jc w:val="both"/>
        <w:rPr>
          <w:noProof/>
          <w:u w:val="single"/>
        </w:rPr>
      </w:pPr>
      <w:r>
        <w:rPr>
          <w:noProof/>
        </w:rPr>
        <w:t>La mesure est achevée au plus tard le 31 mars 2024.</w:t>
      </w:r>
    </w:p>
    <w:p w14:paraId="7D58A91E" w14:textId="77777777" w:rsidR="00553430" w:rsidRDefault="00212577">
      <w:pPr>
        <w:pStyle w:val="P68B1DB1-Normal42"/>
        <w:spacing w:line="240" w:lineRule="auto"/>
        <w:ind w:left="850"/>
        <w:jc w:val="both"/>
        <w:rPr>
          <w:noProof/>
        </w:rPr>
      </w:pPr>
      <w:r>
        <w:rPr>
          <w:noProof/>
        </w:rPr>
        <w:t xml:space="preserve">Investissement C5.1 R5-I5 – </w:t>
      </w:r>
      <w:r>
        <w:rPr>
          <w:noProof/>
        </w:rPr>
        <w:t>Numérisation et équipement des unités de diagnostic de l’hôpital clinique «KB Merkur»</w:t>
      </w:r>
    </w:p>
    <w:p w14:paraId="4D5CCCB9" w14:textId="77777777" w:rsidR="00553430" w:rsidRDefault="00212577">
      <w:pPr>
        <w:pStyle w:val="P68B1DB1-Normal33"/>
        <w:spacing w:line="240" w:lineRule="auto"/>
        <w:jc w:val="both"/>
        <w:rPr>
          <w:noProof/>
        </w:rPr>
      </w:pPr>
      <w:r>
        <w:rPr>
          <w:noProof/>
        </w:rPr>
        <w:t>L’objectif de cette mesure est de numériser et d’équiper les unités de diagnostic, de faciliter le suivi des procédures de développement du diagnostic et de fournir un se</w:t>
      </w:r>
      <w:r>
        <w:rPr>
          <w:noProof/>
        </w:rPr>
        <w:t>rvice de meilleure qualité aux patients. L’investissement comprend l’achat de dispositifs à la pointe de la technologie.</w:t>
      </w:r>
    </w:p>
    <w:p w14:paraId="7C26B38A" w14:textId="77777777" w:rsidR="00553430" w:rsidRDefault="00212577">
      <w:pPr>
        <w:pStyle w:val="P68B1DB1-Normal33"/>
        <w:spacing w:line="240" w:lineRule="auto"/>
        <w:jc w:val="both"/>
        <w:rPr>
          <w:noProof/>
        </w:rPr>
      </w:pPr>
      <w:r>
        <w:rPr>
          <w:noProof/>
        </w:rPr>
        <w:t>La mesure est achevée au plus tard le 31 mars 2023.</w:t>
      </w:r>
    </w:p>
    <w:p w14:paraId="73C2A945" w14:textId="77777777" w:rsidR="00553430" w:rsidRDefault="00553430">
      <w:pPr>
        <w:spacing w:line="240" w:lineRule="auto"/>
        <w:ind w:left="850"/>
        <w:jc w:val="both"/>
        <w:rPr>
          <w:rFonts w:eastAsia="Calibri"/>
          <w:noProof/>
          <w:u w:val="single"/>
        </w:rPr>
      </w:pPr>
    </w:p>
    <w:p w14:paraId="0DE4AAE4" w14:textId="77777777" w:rsidR="00553430" w:rsidRDefault="00553430">
      <w:pPr>
        <w:rPr>
          <w:noProof/>
        </w:rPr>
        <w:sectPr w:rsidR="00553430" w:rsidSect="00FA29B2">
          <w:headerReference w:type="even" r:id="rId363"/>
          <w:headerReference w:type="default" r:id="rId364"/>
          <w:footerReference w:type="even" r:id="rId365"/>
          <w:footerReference w:type="default" r:id="rId366"/>
          <w:headerReference w:type="first" r:id="rId367"/>
          <w:footerReference w:type="first" r:id="rId368"/>
          <w:pgSz w:w="11906" w:h="16838"/>
          <w:pgMar w:top="1134" w:right="1134" w:bottom="1134" w:left="1134" w:header="567" w:footer="567" w:gutter="0"/>
          <w:cols w:space="708"/>
          <w:docGrid w:linePitch="360"/>
        </w:sectPr>
      </w:pPr>
    </w:p>
    <w:p w14:paraId="187C92D2" w14:textId="77777777" w:rsidR="00553430" w:rsidRDefault="00212577">
      <w:pPr>
        <w:pStyle w:val="P68B1DB1-Normal57"/>
        <w:keepNext/>
        <w:tabs>
          <w:tab w:val="num" w:pos="0"/>
        </w:tabs>
        <w:spacing w:before="40" w:after="0"/>
        <w:jc w:val="both"/>
        <w:outlineLvl w:val="1"/>
        <w:rPr>
          <w:noProof/>
        </w:rPr>
      </w:pPr>
      <w:r>
        <w:rPr>
          <w:noProof/>
        </w:rPr>
        <w:t xml:space="preserve">U.2. </w:t>
      </w:r>
      <w:r>
        <w:rPr>
          <w:noProof/>
        </w:rPr>
        <w:tab/>
        <w:t xml:space="preserve">Étapes, </w:t>
      </w:r>
      <w:r>
        <w:rPr>
          <w:noProof/>
        </w:rPr>
        <w:t>cibles, indicateurs et calendrier pour le suivi et la mise en œuvre du soutien financier non remboursable</w:t>
      </w:r>
    </w:p>
    <w:p w14:paraId="7E193948" w14:textId="77777777" w:rsidR="00553430" w:rsidRDefault="00553430">
      <w:pPr>
        <w:keepNext/>
        <w:tabs>
          <w:tab w:val="num" w:pos="0"/>
        </w:tabs>
        <w:spacing w:before="40" w:after="0"/>
        <w:jc w:val="both"/>
        <w:outlineLvl w:val="1"/>
        <w:rPr>
          <w:rFonts w:eastAsia="SimSun"/>
          <w:b/>
          <w:noProof/>
          <w:szCs w:val="24"/>
          <w:u w:val="single"/>
        </w:rPr>
      </w:pPr>
    </w:p>
    <w:tbl>
      <w:tblPr>
        <w:tblW w:w="15705" w:type="dxa"/>
        <w:jc w:val="center"/>
        <w:tblCellMar>
          <w:top w:w="28" w:type="dxa"/>
          <w:left w:w="28" w:type="dxa"/>
          <w:bottom w:w="28" w:type="dxa"/>
          <w:right w:w="28" w:type="dxa"/>
        </w:tblCellMar>
        <w:tblLook w:val="04A0" w:firstRow="1" w:lastRow="0" w:firstColumn="1" w:lastColumn="0" w:noHBand="0" w:noVBand="1"/>
      </w:tblPr>
      <w:tblGrid>
        <w:gridCol w:w="768"/>
        <w:gridCol w:w="1208"/>
        <w:gridCol w:w="1019"/>
        <w:gridCol w:w="1888"/>
        <w:gridCol w:w="1985"/>
        <w:gridCol w:w="1296"/>
        <w:gridCol w:w="1087"/>
        <w:gridCol w:w="976"/>
        <w:gridCol w:w="893"/>
        <w:gridCol w:w="895"/>
        <w:gridCol w:w="3827"/>
      </w:tblGrid>
      <w:tr w:rsidR="00553430" w14:paraId="5F302CA5" w14:textId="77777777">
        <w:trPr>
          <w:trHeight w:val="636"/>
          <w:tblHeader/>
          <w:jc w:val="center"/>
        </w:trPr>
        <w:tc>
          <w:tcPr>
            <w:tcW w:w="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8B78BCC" w14:textId="77777777" w:rsidR="00553430" w:rsidRDefault="00212577">
            <w:pPr>
              <w:pStyle w:val="P68B1DB1-Normal58"/>
              <w:spacing w:after="0" w:line="276" w:lineRule="auto"/>
              <w:jc w:val="center"/>
              <w:rPr>
                <w:bCs/>
                <w:noProof/>
              </w:rPr>
            </w:pPr>
            <w:r>
              <w:rPr>
                <w:noProof/>
              </w:rPr>
              <w:t>Numéro</w:t>
            </w:r>
          </w:p>
        </w:tc>
        <w:tc>
          <w:tcPr>
            <w:tcW w:w="120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7AE8B4" w14:textId="77777777" w:rsidR="00553430" w:rsidRDefault="00212577">
            <w:pPr>
              <w:pStyle w:val="P68B1DB1-Normal58"/>
              <w:spacing w:after="0" w:line="276" w:lineRule="auto"/>
              <w:jc w:val="center"/>
              <w:rPr>
                <w:bCs/>
                <w:noProof/>
              </w:rPr>
            </w:pPr>
            <w:r>
              <w:rPr>
                <w:noProof/>
              </w:rPr>
              <w:t>Mesure</w:t>
            </w:r>
          </w:p>
        </w:tc>
        <w:tc>
          <w:tcPr>
            <w:tcW w:w="101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A3E01D5" w14:textId="77777777" w:rsidR="00553430" w:rsidRDefault="00212577">
            <w:pPr>
              <w:pStyle w:val="P68B1DB1-Normal58"/>
              <w:spacing w:after="0" w:line="276" w:lineRule="auto"/>
              <w:jc w:val="center"/>
              <w:rPr>
                <w:bCs/>
                <w:noProof/>
              </w:rPr>
            </w:pPr>
            <w:r>
              <w:rPr>
                <w:noProof/>
              </w:rPr>
              <w:t>Étape/cible</w:t>
            </w:r>
          </w:p>
        </w:tc>
        <w:tc>
          <w:tcPr>
            <w:tcW w:w="18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7D903F2" w14:textId="77777777" w:rsidR="00553430" w:rsidRDefault="00212577">
            <w:pPr>
              <w:pStyle w:val="P68B1DB1-Normal58"/>
              <w:spacing w:after="0" w:line="276" w:lineRule="auto"/>
              <w:jc w:val="center"/>
              <w:rPr>
                <w:bCs/>
                <w:noProof/>
              </w:rPr>
            </w:pPr>
            <w:r>
              <w:rPr>
                <w:noProof/>
              </w:rPr>
              <w:t>Nom</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B794444"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qualitatifs</w:t>
            </w:r>
            <w:r>
              <w:rPr>
                <w:rFonts w:ascii="Times New Roman" w:eastAsia="Calibri" w:hAnsi="Times New Roman" w:cs="Times New Roman"/>
                <w:noProof/>
              </w:rPr>
              <w:br/>
            </w:r>
            <w:r>
              <w:rPr>
                <w:rFonts w:ascii="Times New Roman" w:eastAsia="Times New Roman" w:hAnsi="Times New Roman" w:cs="Times New Roman"/>
                <w:b/>
                <w:noProof/>
              </w:rPr>
              <w:t>(pour les jalons)</w:t>
            </w:r>
          </w:p>
        </w:tc>
        <w:tc>
          <w:tcPr>
            <w:tcW w:w="335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63CA704"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eastAsia="Calibri" w:hAnsi="Times New Roman" w:cs="Times New Roman"/>
                <w:noProof/>
              </w:rPr>
              <w:br/>
            </w:r>
            <w:r>
              <w:rPr>
                <w:rFonts w:ascii="Times New Roman" w:eastAsia="Times New Roman" w:hAnsi="Times New Roman" w:cs="Times New Roman"/>
                <w:b/>
                <w:noProof/>
              </w:rPr>
              <w:t>(pour les objectifs)</w:t>
            </w:r>
          </w:p>
        </w:tc>
        <w:tc>
          <w:tcPr>
            <w:tcW w:w="1651" w:type="dxa"/>
            <w:gridSpan w:val="2"/>
            <w:tcBorders>
              <w:top w:val="single" w:sz="4" w:space="0" w:color="auto"/>
              <w:left w:val="nil"/>
              <w:bottom w:val="single" w:sz="4" w:space="0" w:color="auto"/>
              <w:right w:val="single" w:sz="4" w:space="0" w:color="auto"/>
            </w:tcBorders>
            <w:shd w:val="clear" w:color="auto" w:fill="BDD7EE"/>
            <w:vAlign w:val="center"/>
            <w:hideMark/>
          </w:tcPr>
          <w:p w14:paraId="4FE014C7" w14:textId="77777777" w:rsidR="00553430" w:rsidRDefault="00212577">
            <w:pPr>
              <w:pStyle w:val="P68B1DB1-Normal58"/>
              <w:spacing w:after="0" w:line="276" w:lineRule="auto"/>
              <w:jc w:val="center"/>
              <w:rPr>
                <w:bCs/>
                <w:noProof/>
              </w:rPr>
            </w:pPr>
            <w:r>
              <w:rPr>
                <w:noProof/>
              </w:rPr>
              <w:t>Temps</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89E557" w14:textId="77777777" w:rsidR="00553430" w:rsidRDefault="00212577">
            <w:pPr>
              <w:pStyle w:val="P68B1DB1-Normal58"/>
              <w:spacing w:after="0" w:line="276" w:lineRule="auto"/>
              <w:jc w:val="center"/>
              <w:rPr>
                <w:bCs/>
                <w:noProof/>
              </w:rPr>
            </w:pPr>
            <w:r>
              <w:rPr>
                <w:noProof/>
              </w:rPr>
              <w:t xml:space="preserve">Description de chaque </w:t>
            </w:r>
            <w:r>
              <w:rPr>
                <w:noProof/>
              </w:rPr>
              <w:t>jalon et cible</w:t>
            </w:r>
          </w:p>
        </w:tc>
      </w:tr>
      <w:tr w:rsidR="00553430" w14:paraId="235F46AF" w14:textId="77777777">
        <w:trPr>
          <w:trHeight w:val="362"/>
          <w:tblHeader/>
          <w:jc w:val="center"/>
        </w:trPr>
        <w:tc>
          <w:tcPr>
            <w:tcW w:w="768" w:type="dxa"/>
            <w:vMerge/>
            <w:tcBorders>
              <w:top w:val="single" w:sz="4" w:space="0" w:color="auto"/>
              <w:left w:val="single" w:sz="4" w:space="0" w:color="auto"/>
              <w:bottom w:val="single" w:sz="4" w:space="0" w:color="auto"/>
              <w:right w:val="single" w:sz="4" w:space="0" w:color="auto"/>
            </w:tcBorders>
            <w:hideMark/>
          </w:tcPr>
          <w:p w14:paraId="562DA150"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208" w:type="dxa"/>
            <w:vMerge/>
            <w:tcBorders>
              <w:top w:val="single" w:sz="4" w:space="0" w:color="auto"/>
              <w:left w:val="single" w:sz="4" w:space="0" w:color="auto"/>
              <w:bottom w:val="single" w:sz="4" w:space="0" w:color="auto"/>
              <w:right w:val="single" w:sz="4" w:space="0" w:color="auto"/>
            </w:tcBorders>
            <w:hideMark/>
          </w:tcPr>
          <w:p w14:paraId="2F925F11"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19" w:type="dxa"/>
            <w:vMerge/>
            <w:tcBorders>
              <w:top w:val="single" w:sz="4" w:space="0" w:color="auto"/>
              <w:left w:val="single" w:sz="4" w:space="0" w:color="auto"/>
              <w:bottom w:val="single" w:sz="4" w:space="0" w:color="auto"/>
              <w:right w:val="single" w:sz="4" w:space="0" w:color="auto"/>
            </w:tcBorders>
            <w:hideMark/>
          </w:tcPr>
          <w:p w14:paraId="1D55E353"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888" w:type="dxa"/>
            <w:vMerge/>
            <w:tcBorders>
              <w:top w:val="single" w:sz="4" w:space="0" w:color="auto"/>
              <w:left w:val="single" w:sz="4" w:space="0" w:color="auto"/>
              <w:bottom w:val="single" w:sz="4" w:space="0" w:color="auto"/>
              <w:right w:val="single" w:sz="4" w:space="0" w:color="auto"/>
            </w:tcBorders>
            <w:hideMark/>
          </w:tcPr>
          <w:p w14:paraId="02FE99F5" w14:textId="77777777" w:rsidR="00553430" w:rsidRDefault="00553430">
            <w:pPr>
              <w:spacing w:after="0" w:line="276" w:lineRule="auto"/>
              <w:rPr>
                <w:rFonts w:ascii="Times New Roman" w:eastAsia="Times New Roman" w:hAnsi="Times New Roman" w:cs="Times New Roman"/>
                <w:b/>
                <w:noProof/>
                <w:sz w:val="20"/>
                <w:szCs w:val="20"/>
              </w:rPr>
            </w:pPr>
          </w:p>
        </w:tc>
        <w:tc>
          <w:tcPr>
            <w:tcW w:w="1985" w:type="dxa"/>
            <w:vMerge/>
            <w:tcBorders>
              <w:top w:val="single" w:sz="4" w:space="0" w:color="auto"/>
              <w:left w:val="single" w:sz="4" w:space="0" w:color="auto"/>
              <w:bottom w:val="single" w:sz="4" w:space="0" w:color="auto"/>
              <w:right w:val="single" w:sz="4" w:space="0" w:color="auto"/>
            </w:tcBorders>
            <w:hideMark/>
          </w:tcPr>
          <w:p w14:paraId="7C650552" w14:textId="77777777" w:rsidR="00553430" w:rsidRDefault="00553430">
            <w:pPr>
              <w:spacing w:after="0" w:line="276" w:lineRule="auto"/>
              <w:rPr>
                <w:rFonts w:ascii="Times New Roman" w:eastAsia="Times New Roman" w:hAnsi="Times New Roman" w:cs="Times New Roman"/>
                <w:b/>
                <w:noProof/>
                <w:sz w:val="20"/>
                <w:szCs w:val="20"/>
              </w:rPr>
            </w:pPr>
          </w:p>
        </w:tc>
        <w:tc>
          <w:tcPr>
            <w:tcW w:w="129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A8A1945" w14:textId="77777777" w:rsidR="00553430" w:rsidRDefault="00212577">
            <w:pPr>
              <w:pStyle w:val="P68B1DB1-Normal58"/>
              <w:spacing w:after="0" w:line="276" w:lineRule="auto"/>
              <w:jc w:val="center"/>
              <w:rPr>
                <w:bCs/>
                <w:noProof/>
              </w:rPr>
            </w:pPr>
            <w:r>
              <w:rPr>
                <w:noProof/>
              </w:rPr>
              <w:t>Unité</w:t>
            </w:r>
          </w:p>
        </w:tc>
        <w:tc>
          <w:tcPr>
            <w:tcW w:w="10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EF84E00" w14:textId="77777777" w:rsidR="00553430" w:rsidRDefault="00212577">
            <w:pPr>
              <w:pStyle w:val="P68B1DB1-Normal58"/>
              <w:spacing w:after="0" w:line="276" w:lineRule="auto"/>
              <w:jc w:val="center"/>
              <w:rPr>
                <w:bCs/>
                <w:noProof/>
              </w:rPr>
            </w:pPr>
            <w:r>
              <w:rPr>
                <w:noProof/>
              </w:rPr>
              <w:t>Données de référence</w:t>
            </w:r>
          </w:p>
        </w:tc>
        <w:tc>
          <w:tcPr>
            <w:tcW w:w="9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6D518FD" w14:textId="77777777" w:rsidR="00553430" w:rsidRDefault="00212577">
            <w:pPr>
              <w:pStyle w:val="P68B1DB1-Normal58"/>
              <w:spacing w:after="0" w:line="276" w:lineRule="auto"/>
              <w:jc w:val="center"/>
              <w:rPr>
                <w:bCs/>
                <w:noProof/>
              </w:rPr>
            </w:pPr>
            <w:r>
              <w:rPr>
                <w:noProof/>
              </w:rPr>
              <w:t>Objectif</w:t>
            </w:r>
          </w:p>
        </w:tc>
        <w:tc>
          <w:tcPr>
            <w:tcW w:w="75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82C6439" w14:textId="77777777" w:rsidR="00553430" w:rsidRDefault="00212577">
            <w:pPr>
              <w:pStyle w:val="P68B1DB1-Normal58"/>
              <w:spacing w:after="0" w:line="276" w:lineRule="auto"/>
              <w:jc w:val="center"/>
              <w:rPr>
                <w:bCs/>
                <w:noProof/>
              </w:rPr>
            </w:pPr>
            <w:r>
              <w:rPr>
                <w:noProof/>
              </w:rPr>
              <w:t>Trimestre</w:t>
            </w:r>
          </w:p>
        </w:tc>
        <w:tc>
          <w:tcPr>
            <w:tcW w:w="89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A0DAF08" w14:textId="77777777" w:rsidR="00553430" w:rsidRDefault="00212577">
            <w:pPr>
              <w:pStyle w:val="P68B1DB1-Normal58"/>
              <w:spacing w:after="0" w:line="276" w:lineRule="auto"/>
              <w:jc w:val="center"/>
              <w:rPr>
                <w:bCs/>
                <w:noProof/>
              </w:rPr>
            </w:pPr>
            <w:r>
              <w:rPr>
                <w:noProof/>
              </w:rPr>
              <w:t>Année</w:t>
            </w:r>
          </w:p>
        </w:tc>
        <w:tc>
          <w:tcPr>
            <w:tcW w:w="3827" w:type="dxa"/>
            <w:vMerge/>
            <w:tcBorders>
              <w:top w:val="single" w:sz="4" w:space="0" w:color="auto"/>
              <w:bottom w:val="single" w:sz="4" w:space="0" w:color="auto"/>
              <w:right w:val="single" w:sz="4" w:space="0" w:color="auto"/>
            </w:tcBorders>
            <w:hideMark/>
          </w:tcPr>
          <w:p w14:paraId="1A0094F5"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7E70AEB5"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9276C96" w14:textId="77777777" w:rsidR="00553430" w:rsidRDefault="00212577">
            <w:pPr>
              <w:pStyle w:val="P68B1DB1-Normal66"/>
              <w:spacing w:after="0" w:line="276" w:lineRule="auto"/>
              <w:jc w:val="center"/>
              <w:rPr>
                <w:noProof/>
              </w:rPr>
            </w:pPr>
            <w:r>
              <w:rPr>
                <w:noProof/>
              </w:rPr>
              <w:t>318</w:t>
            </w:r>
          </w:p>
        </w:tc>
        <w:tc>
          <w:tcPr>
            <w:tcW w:w="1208" w:type="dxa"/>
            <w:tcBorders>
              <w:top w:val="single" w:sz="4" w:space="0" w:color="auto"/>
              <w:left w:val="nil"/>
              <w:bottom w:val="single" w:sz="4" w:space="0" w:color="auto"/>
              <w:right w:val="single" w:sz="4" w:space="0" w:color="auto"/>
            </w:tcBorders>
            <w:shd w:val="clear" w:color="auto" w:fill="C6EFCE"/>
            <w:noWrap/>
          </w:tcPr>
          <w:p w14:paraId="187D7523" w14:textId="77777777" w:rsidR="00553430" w:rsidRDefault="00212577">
            <w:pPr>
              <w:pStyle w:val="P68B1DB1-Normal66"/>
              <w:spacing w:after="200" w:line="276" w:lineRule="auto"/>
              <w:jc w:val="center"/>
              <w:rPr>
                <w:noProof/>
              </w:rPr>
            </w:pPr>
            <w:r>
              <w:rPr>
                <w:noProof/>
              </w:rPr>
              <w:t>C5.1. R1</w:t>
            </w:r>
          </w:p>
        </w:tc>
        <w:tc>
          <w:tcPr>
            <w:tcW w:w="1019" w:type="dxa"/>
            <w:tcBorders>
              <w:top w:val="single" w:sz="4" w:space="0" w:color="auto"/>
              <w:left w:val="nil"/>
              <w:bottom w:val="single" w:sz="4" w:space="0" w:color="auto"/>
              <w:right w:val="single" w:sz="4" w:space="0" w:color="auto"/>
            </w:tcBorders>
            <w:shd w:val="clear" w:color="auto" w:fill="C6EFCE"/>
            <w:noWrap/>
          </w:tcPr>
          <w:p w14:paraId="20036D80" w14:textId="77777777" w:rsidR="00553430" w:rsidRDefault="00212577">
            <w:pPr>
              <w:pStyle w:val="P68B1DB1-Normal66"/>
              <w:spacing w:after="200" w:line="276" w:lineRule="auto"/>
              <w:jc w:val="center"/>
              <w:rPr>
                <w:noProof/>
              </w:rPr>
            </w:pPr>
            <w:r>
              <w:rPr>
                <w:noProof/>
              </w:rPr>
              <w:t>M</w:t>
            </w:r>
          </w:p>
        </w:tc>
        <w:tc>
          <w:tcPr>
            <w:tcW w:w="1888" w:type="dxa"/>
            <w:tcBorders>
              <w:top w:val="single" w:sz="4" w:space="0" w:color="auto"/>
              <w:left w:val="nil"/>
              <w:bottom w:val="single" w:sz="4" w:space="0" w:color="auto"/>
              <w:right w:val="single" w:sz="4" w:space="0" w:color="auto"/>
            </w:tcBorders>
            <w:shd w:val="clear" w:color="auto" w:fill="C6EFCE"/>
            <w:noWrap/>
          </w:tcPr>
          <w:p w14:paraId="3E8C7A4D" w14:textId="77777777" w:rsidR="00553430" w:rsidRDefault="00212577">
            <w:pPr>
              <w:pStyle w:val="P68B1DB1-Normal66"/>
              <w:spacing w:after="200" w:line="276" w:lineRule="auto"/>
              <w:rPr>
                <w:noProof/>
              </w:rPr>
            </w:pPr>
            <w:r>
              <w:rPr>
                <w:noProof/>
              </w:rPr>
              <w:t xml:space="preserve">Adoption du cadre d’évaluation des performances du système de santé (HSPA) </w:t>
            </w:r>
          </w:p>
        </w:tc>
        <w:tc>
          <w:tcPr>
            <w:tcW w:w="1985" w:type="dxa"/>
            <w:tcBorders>
              <w:top w:val="single" w:sz="4" w:space="0" w:color="auto"/>
              <w:left w:val="nil"/>
              <w:bottom w:val="single" w:sz="4" w:space="0" w:color="auto"/>
              <w:right w:val="single" w:sz="4" w:space="0" w:color="auto"/>
            </w:tcBorders>
            <w:shd w:val="clear" w:color="auto" w:fill="C6EFCE"/>
            <w:noWrap/>
          </w:tcPr>
          <w:p w14:paraId="2E3CBBA8" w14:textId="77777777" w:rsidR="00553430" w:rsidRDefault="00212577">
            <w:pPr>
              <w:pStyle w:val="P68B1DB1-Normal66"/>
              <w:spacing w:after="200" w:line="276" w:lineRule="auto"/>
              <w:rPr>
                <w:noProof/>
              </w:rPr>
            </w:pPr>
            <w:r>
              <w:rPr>
                <w:noProof/>
              </w:rPr>
              <w:t>Entrée en vigueur du cadre d’évaluation des performances du système de santé</w:t>
            </w:r>
          </w:p>
        </w:tc>
        <w:tc>
          <w:tcPr>
            <w:tcW w:w="1296" w:type="dxa"/>
            <w:tcBorders>
              <w:top w:val="single" w:sz="4" w:space="0" w:color="auto"/>
              <w:left w:val="nil"/>
              <w:bottom w:val="single" w:sz="4" w:space="0" w:color="auto"/>
              <w:right w:val="single" w:sz="4" w:space="0" w:color="auto"/>
            </w:tcBorders>
            <w:shd w:val="clear" w:color="auto" w:fill="C6EFCE"/>
            <w:noWrap/>
          </w:tcPr>
          <w:p w14:paraId="6AF7F425" w14:textId="77777777" w:rsidR="00553430" w:rsidRDefault="00212577">
            <w:pPr>
              <w:pStyle w:val="P68B1DB1-Normal66"/>
              <w:spacing w:after="200" w:line="276" w:lineRule="auto"/>
              <w:jc w:val="center"/>
              <w:rPr>
                <w:noProof/>
              </w:rPr>
            </w:pPr>
            <w:r>
              <w:rPr>
                <w:noProof/>
              </w:rPr>
              <w:t> </w:t>
            </w:r>
          </w:p>
        </w:tc>
        <w:tc>
          <w:tcPr>
            <w:tcW w:w="1087" w:type="dxa"/>
            <w:tcBorders>
              <w:top w:val="single" w:sz="4" w:space="0" w:color="auto"/>
              <w:left w:val="nil"/>
              <w:bottom w:val="single" w:sz="4" w:space="0" w:color="auto"/>
              <w:right w:val="single" w:sz="4" w:space="0" w:color="auto"/>
            </w:tcBorders>
            <w:shd w:val="clear" w:color="auto" w:fill="C6EFCE"/>
            <w:noWrap/>
          </w:tcPr>
          <w:p w14:paraId="455E20A8" w14:textId="77777777" w:rsidR="00553430" w:rsidRDefault="00212577">
            <w:pPr>
              <w:pStyle w:val="P68B1DB1-Normal66"/>
              <w:spacing w:after="200" w:line="276" w:lineRule="auto"/>
              <w:jc w:val="center"/>
              <w:rPr>
                <w:noProof/>
              </w:rPr>
            </w:pPr>
            <w:r>
              <w:rPr>
                <w:noProof/>
              </w:rPr>
              <w:t> </w:t>
            </w:r>
          </w:p>
        </w:tc>
        <w:tc>
          <w:tcPr>
            <w:tcW w:w="976" w:type="dxa"/>
            <w:tcBorders>
              <w:top w:val="single" w:sz="4" w:space="0" w:color="auto"/>
              <w:left w:val="nil"/>
              <w:bottom w:val="single" w:sz="4" w:space="0" w:color="auto"/>
              <w:right w:val="single" w:sz="4" w:space="0" w:color="auto"/>
            </w:tcBorders>
            <w:shd w:val="clear" w:color="auto" w:fill="C6EFCE"/>
            <w:noWrap/>
          </w:tcPr>
          <w:p w14:paraId="4717B88E" w14:textId="77777777" w:rsidR="00553430" w:rsidRDefault="00212577">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740FEC29" w14:textId="77777777" w:rsidR="00553430" w:rsidRDefault="00212577">
            <w:pPr>
              <w:pStyle w:val="P68B1DB1-Normal66"/>
              <w:spacing w:after="200" w:line="276" w:lineRule="auto"/>
              <w:jc w:val="center"/>
              <w:rPr>
                <w:noProof/>
              </w:rPr>
            </w:pPr>
            <w:r>
              <w:rPr>
                <w:noProof/>
              </w:rPr>
              <w:t>T3</w:t>
            </w:r>
          </w:p>
        </w:tc>
        <w:tc>
          <w:tcPr>
            <w:tcW w:w="895" w:type="dxa"/>
            <w:tcBorders>
              <w:top w:val="single" w:sz="4" w:space="0" w:color="auto"/>
              <w:left w:val="nil"/>
              <w:bottom w:val="single" w:sz="4" w:space="0" w:color="auto"/>
              <w:right w:val="single" w:sz="4" w:space="0" w:color="auto"/>
            </w:tcBorders>
            <w:shd w:val="clear" w:color="auto" w:fill="C6EFCE"/>
            <w:noWrap/>
          </w:tcPr>
          <w:p w14:paraId="21E3D32A" w14:textId="77777777" w:rsidR="00553430" w:rsidRDefault="00212577">
            <w:pPr>
              <w:pStyle w:val="P68B1DB1-Normal66"/>
              <w:spacing w:after="200" w:line="276" w:lineRule="auto"/>
              <w:jc w:val="center"/>
              <w:rPr>
                <w:noProof/>
              </w:rPr>
            </w:pPr>
            <w:r>
              <w:rPr>
                <w:noProof/>
              </w:rPr>
              <w:t>2022</w:t>
            </w:r>
          </w:p>
        </w:tc>
        <w:tc>
          <w:tcPr>
            <w:tcW w:w="3827" w:type="dxa"/>
            <w:tcBorders>
              <w:top w:val="single" w:sz="4" w:space="0" w:color="auto"/>
              <w:left w:val="nil"/>
              <w:bottom w:val="single" w:sz="4" w:space="0" w:color="auto"/>
              <w:right w:val="single" w:sz="4" w:space="0" w:color="auto"/>
            </w:tcBorders>
            <w:shd w:val="clear" w:color="auto" w:fill="C6EFCE"/>
            <w:noWrap/>
          </w:tcPr>
          <w:p w14:paraId="3C28A5E2" w14:textId="77777777" w:rsidR="00553430" w:rsidRDefault="00212577">
            <w:pPr>
              <w:pStyle w:val="P68B1DB1-Normal66"/>
              <w:spacing w:after="200" w:line="276" w:lineRule="auto"/>
              <w:rPr>
                <w:noProof/>
              </w:rPr>
            </w:pPr>
            <w:r>
              <w:rPr>
                <w:noProof/>
              </w:rPr>
              <w:t>L’évaluation des performances du système de santé (HSPA) établit un cadre de mesure des performances en matière de santé, définit des indicateurs de performance clés selon une méthodologie d’évaluation définie, liée au processus de mise en relation des me</w:t>
            </w:r>
            <w:r>
              <w:rPr>
                <w:noProof/>
              </w:rPr>
              <w:t xml:space="preserve">sures avec les objectifs fixés dans les documents de stratégie nationaux et les réformes, à l’actualité des données et à l’amélioration du suivi des résultats en matière de santé. </w:t>
            </w:r>
          </w:p>
        </w:tc>
      </w:tr>
      <w:tr w:rsidR="00553430" w14:paraId="5A00C92F" w14:textId="77777777">
        <w:trPr>
          <w:trHeight w:val="283"/>
          <w:jc w:val="center"/>
        </w:trPr>
        <w:tc>
          <w:tcPr>
            <w:tcW w:w="768" w:type="dxa"/>
            <w:tcBorders>
              <w:top w:val="nil"/>
              <w:left w:val="single" w:sz="4" w:space="0" w:color="auto"/>
              <w:bottom w:val="single" w:sz="4" w:space="0" w:color="auto"/>
              <w:right w:val="single" w:sz="4" w:space="0" w:color="auto"/>
            </w:tcBorders>
            <w:shd w:val="clear" w:color="auto" w:fill="C6EFCE"/>
            <w:noWrap/>
          </w:tcPr>
          <w:p w14:paraId="43EB4D44" w14:textId="77777777" w:rsidR="00553430" w:rsidRDefault="00212577">
            <w:pPr>
              <w:pStyle w:val="P68B1DB1-Normal66"/>
              <w:spacing w:after="0" w:line="276" w:lineRule="auto"/>
              <w:jc w:val="center"/>
              <w:rPr>
                <w:noProof/>
              </w:rPr>
            </w:pPr>
            <w:r>
              <w:rPr>
                <w:noProof/>
              </w:rPr>
              <w:t>319</w:t>
            </w:r>
          </w:p>
        </w:tc>
        <w:tc>
          <w:tcPr>
            <w:tcW w:w="1208" w:type="dxa"/>
            <w:tcBorders>
              <w:top w:val="nil"/>
              <w:left w:val="nil"/>
              <w:bottom w:val="single" w:sz="4" w:space="0" w:color="auto"/>
              <w:right w:val="single" w:sz="4" w:space="0" w:color="auto"/>
            </w:tcBorders>
            <w:shd w:val="clear" w:color="auto" w:fill="C6EFCE"/>
            <w:noWrap/>
          </w:tcPr>
          <w:p w14:paraId="34FFF8C1" w14:textId="77777777" w:rsidR="00553430" w:rsidRDefault="00212577">
            <w:pPr>
              <w:pStyle w:val="P68B1DB1-Normal66"/>
              <w:spacing w:after="200" w:line="276" w:lineRule="auto"/>
              <w:jc w:val="center"/>
              <w:rPr>
                <w:noProof/>
              </w:rPr>
            </w:pPr>
            <w:r>
              <w:rPr>
                <w:noProof/>
              </w:rPr>
              <w:t>C5.1. R1</w:t>
            </w:r>
          </w:p>
        </w:tc>
        <w:tc>
          <w:tcPr>
            <w:tcW w:w="1019" w:type="dxa"/>
            <w:tcBorders>
              <w:top w:val="nil"/>
              <w:left w:val="nil"/>
              <w:bottom w:val="single" w:sz="4" w:space="0" w:color="auto"/>
              <w:right w:val="single" w:sz="4" w:space="0" w:color="auto"/>
            </w:tcBorders>
            <w:shd w:val="clear" w:color="auto" w:fill="C6EFCE"/>
            <w:noWrap/>
          </w:tcPr>
          <w:p w14:paraId="5AF6CFCA" w14:textId="77777777" w:rsidR="00553430" w:rsidRDefault="00212577">
            <w:pPr>
              <w:pStyle w:val="P68B1DB1-Normal66"/>
              <w:spacing w:after="200" w:line="276" w:lineRule="auto"/>
              <w:jc w:val="center"/>
              <w:rPr>
                <w:noProof/>
              </w:rPr>
            </w:pPr>
            <w:r>
              <w:rPr>
                <w:noProof/>
              </w:rPr>
              <w:t>T</w:t>
            </w:r>
          </w:p>
        </w:tc>
        <w:tc>
          <w:tcPr>
            <w:tcW w:w="1888" w:type="dxa"/>
            <w:tcBorders>
              <w:top w:val="nil"/>
              <w:left w:val="nil"/>
              <w:bottom w:val="single" w:sz="4" w:space="0" w:color="auto"/>
              <w:right w:val="single" w:sz="4" w:space="0" w:color="auto"/>
            </w:tcBorders>
            <w:shd w:val="clear" w:color="auto" w:fill="C6EFCE"/>
            <w:noWrap/>
          </w:tcPr>
          <w:p w14:paraId="498E63C1" w14:textId="77777777" w:rsidR="00553430" w:rsidRDefault="00212577">
            <w:pPr>
              <w:pStyle w:val="P68B1DB1-Normal66"/>
              <w:spacing w:after="200" w:line="276" w:lineRule="auto"/>
              <w:rPr>
                <w:noProof/>
              </w:rPr>
            </w:pPr>
            <w:r>
              <w:rPr>
                <w:noProof/>
              </w:rPr>
              <w:t xml:space="preserve">Optimisation du temps de traitement diagnostique – listes </w:t>
            </w:r>
            <w:r>
              <w:rPr>
                <w:noProof/>
              </w:rPr>
              <w:t>d’attente</w:t>
            </w:r>
          </w:p>
        </w:tc>
        <w:tc>
          <w:tcPr>
            <w:tcW w:w="1985" w:type="dxa"/>
            <w:tcBorders>
              <w:top w:val="nil"/>
              <w:left w:val="nil"/>
              <w:bottom w:val="single" w:sz="4" w:space="0" w:color="auto"/>
              <w:right w:val="single" w:sz="4" w:space="0" w:color="auto"/>
            </w:tcBorders>
            <w:shd w:val="clear" w:color="auto" w:fill="C6EFCE"/>
            <w:noWrap/>
          </w:tcPr>
          <w:p w14:paraId="7695C81D" w14:textId="77777777" w:rsidR="00553430" w:rsidRDefault="00212577">
            <w:pPr>
              <w:pStyle w:val="P68B1DB1-Normal66"/>
              <w:spacing w:after="200" w:line="276" w:lineRule="auto"/>
              <w:rPr>
                <w:noProof/>
              </w:rPr>
            </w:pPr>
            <w:r>
              <w:rPr>
                <w:noProof/>
              </w:rPr>
              <w:t> </w:t>
            </w:r>
          </w:p>
        </w:tc>
        <w:tc>
          <w:tcPr>
            <w:tcW w:w="1296" w:type="dxa"/>
            <w:tcBorders>
              <w:top w:val="nil"/>
              <w:left w:val="nil"/>
              <w:bottom w:val="single" w:sz="4" w:space="0" w:color="auto"/>
              <w:right w:val="single" w:sz="4" w:space="0" w:color="auto"/>
            </w:tcBorders>
            <w:shd w:val="clear" w:color="auto" w:fill="C6EFCE"/>
            <w:noWrap/>
          </w:tcPr>
          <w:p w14:paraId="6B2AFB0A" w14:textId="77777777" w:rsidR="00553430" w:rsidRDefault="00212577">
            <w:pPr>
              <w:pStyle w:val="P68B1DB1-Normal66"/>
              <w:spacing w:after="200" w:line="276" w:lineRule="auto"/>
              <w:jc w:val="center"/>
              <w:rPr>
                <w:noProof/>
              </w:rPr>
            </w:pPr>
            <w:r>
              <w:rPr>
                <w:noProof/>
              </w:rPr>
              <w:t>Nombre de jours</w:t>
            </w:r>
          </w:p>
        </w:tc>
        <w:tc>
          <w:tcPr>
            <w:tcW w:w="1087" w:type="dxa"/>
            <w:tcBorders>
              <w:top w:val="nil"/>
              <w:left w:val="nil"/>
              <w:bottom w:val="single" w:sz="4" w:space="0" w:color="auto"/>
              <w:right w:val="single" w:sz="4" w:space="0" w:color="auto"/>
            </w:tcBorders>
            <w:shd w:val="clear" w:color="auto" w:fill="C6EFCE"/>
            <w:noWrap/>
          </w:tcPr>
          <w:p w14:paraId="6AEDAE3C" w14:textId="77777777" w:rsidR="00553430" w:rsidRDefault="00212577">
            <w:pPr>
              <w:pStyle w:val="P68B1DB1-Normal66"/>
              <w:spacing w:after="200" w:line="276" w:lineRule="auto"/>
              <w:jc w:val="center"/>
              <w:rPr>
                <w:noProof/>
              </w:rPr>
            </w:pPr>
            <w:r>
              <w:rPr>
                <w:noProof/>
              </w:rPr>
              <w:t>400</w:t>
            </w:r>
          </w:p>
        </w:tc>
        <w:tc>
          <w:tcPr>
            <w:tcW w:w="976" w:type="dxa"/>
            <w:tcBorders>
              <w:top w:val="nil"/>
              <w:left w:val="nil"/>
              <w:bottom w:val="single" w:sz="4" w:space="0" w:color="auto"/>
              <w:right w:val="single" w:sz="4" w:space="0" w:color="auto"/>
            </w:tcBorders>
            <w:shd w:val="clear" w:color="auto" w:fill="C6EFCE"/>
            <w:noWrap/>
          </w:tcPr>
          <w:p w14:paraId="3B421A86" w14:textId="77777777" w:rsidR="00553430" w:rsidRDefault="00212577">
            <w:pPr>
              <w:pStyle w:val="P68B1DB1-Normal66"/>
              <w:spacing w:after="200" w:line="276" w:lineRule="auto"/>
              <w:jc w:val="center"/>
              <w:rPr>
                <w:noProof/>
              </w:rPr>
            </w:pPr>
            <w:r>
              <w:rPr>
                <w:noProof/>
              </w:rPr>
              <w:t>270</w:t>
            </w:r>
          </w:p>
        </w:tc>
        <w:tc>
          <w:tcPr>
            <w:tcW w:w="756" w:type="dxa"/>
            <w:tcBorders>
              <w:top w:val="nil"/>
              <w:left w:val="nil"/>
              <w:bottom w:val="single" w:sz="4" w:space="0" w:color="auto"/>
              <w:right w:val="single" w:sz="4" w:space="0" w:color="auto"/>
            </w:tcBorders>
            <w:shd w:val="clear" w:color="auto" w:fill="C6EFCE"/>
            <w:noWrap/>
          </w:tcPr>
          <w:p w14:paraId="720061B7" w14:textId="77777777" w:rsidR="00553430" w:rsidRDefault="00212577">
            <w:pPr>
              <w:pStyle w:val="P68B1DB1-Normal66"/>
              <w:spacing w:after="200" w:line="276" w:lineRule="auto"/>
              <w:jc w:val="center"/>
              <w:rPr>
                <w:noProof/>
              </w:rPr>
            </w:pPr>
            <w:r>
              <w:rPr>
                <w:noProof/>
              </w:rPr>
              <w:t>T4</w:t>
            </w:r>
          </w:p>
        </w:tc>
        <w:tc>
          <w:tcPr>
            <w:tcW w:w="895" w:type="dxa"/>
            <w:tcBorders>
              <w:top w:val="nil"/>
              <w:left w:val="nil"/>
              <w:bottom w:val="single" w:sz="4" w:space="0" w:color="auto"/>
              <w:right w:val="single" w:sz="4" w:space="0" w:color="auto"/>
            </w:tcBorders>
            <w:shd w:val="clear" w:color="auto" w:fill="C6EFCE"/>
            <w:noWrap/>
          </w:tcPr>
          <w:p w14:paraId="13B19DEC" w14:textId="77777777" w:rsidR="00553430" w:rsidRDefault="00212577">
            <w:pPr>
              <w:pStyle w:val="P68B1DB1-Normal66"/>
              <w:spacing w:after="200" w:line="276" w:lineRule="auto"/>
              <w:jc w:val="center"/>
              <w:rPr>
                <w:noProof/>
              </w:rPr>
            </w:pPr>
            <w:r>
              <w:rPr>
                <w:noProof/>
              </w:rPr>
              <w:t>2023</w:t>
            </w:r>
          </w:p>
        </w:tc>
        <w:tc>
          <w:tcPr>
            <w:tcW w:w="3827" w:type="dxa"/>
            <w:tcBorders>
              <w:top w:val="nil"/>
              <w:left w:val="nil"/>
              <w:bottom w:val="single" w:sz="4" w:space="0" w:color="auto"/>
              <w:right w:val="single" w:sz="4" w:space="0" w:color="auto"/>
            </w:tcBorders>
            <w:shd w:val="clear" w:color="auto" w:fill="C6EFCE"/>
            <w:noWrap/>
          </w:tcPr>
          <w:p w14:paraId="200424B4" w14:textId="77777777" w:rsidR="00553430" w:rsidRDefault="00212577">
            <w:pPr>
              <w:pStyle w:val="P68B1DB1-Normal66"/>
              <w:spacing w:after="200" w:line="276" w:lineRule="auto"/>
              <w:rPr>
                <w:noProof/>
              </w:rPr>
            </w:pPr>
            <w:r>
              <w:rPr>
                <w:noProof/>
              </w:rPr>
              <w:t>Le délai d'attente pour les patients sous traitement diagnostique doit être réduit à 270 jours par rapport au délai actuel de 400 jours prévu dans la liste d'attente.</w:t>
            </w:r>
          </w:p>
        </w:tc>
      </w:tr>
      <w:tr w:rsidR="00553430" w14:paraId="1EE6F7C5" w14:textId="77777777">
        <w:trPr>
          <w:trHeight w:val="283"/>
          <w:jc w:val="center"/>
        </w:trPr>
        <w:tc>
          <w:tcPr>
            <w:tcW w:w="768" w:type="dxa"/>
            <w:tcBorders>
              <w:top w:val="nil"/>
              <w:left w:val="single" w:sz="4" w:space="0" w:color="auto"/>
              <w:bottom w:val="single" w:sz="4" w:space="0" w:color="auto"/>
              <w:right w:val="single" w:sz="4" w:space="0" w:color="auto"/>
            </w:tcBorders>
            <w:shd w:val="clear" w:color="auto" w:fill="C6EFCE"/>
            <w:noWrap/>
          </w:tcPr>
          <w:p w14:paraId="6B32E7F6" w14:textId="77777777" w:rsidR="00553430" w:rsidRDefault="00212577">
            <w:pPr>
              <w:pStyle w:val="P68B1DB1-Normal66"/>
              <w:spacing w:after="0" w:line="276" w:lineRule="auto"/>
              <w:jc w:val="center"/>
              <w:rPr>
                <w:noProof/>
              </w:rPr>
            </w:pPr>
            <w:r>
              <w:rPr>
                <w:noProof/>
              </w:rPr>
              <w:t>323</w:t>
            </w:r>
          </w:p>
        </w:tc>
        <w:tc>
          <w:tcPr>
            <w:tcW w:w="1208" w:type="dxa"/>
            <w:tcBorders>
              <w:top w:val="nil"/>
              <w:left w:val="nil"/>
              <w:bottom w:val="single" w:sz="4" w:space="0" w:color="auto"/>
              <w:right w:val="single" w:sz="4" w:space="0" w:color="auto"/>
            </w:tcBorders>
            <w:shd w:val="clear" w:color="auto" w:fill="C6EFCE"/>
            <w:noWrap/>
          </w:tcPr>
          <w:p w14:paraId="1AF9CB0B" w14:textId="77777777" w:rsidR="00553430" w:rsidRDefault="00212577">
            <w:pPr>
              <w:pStyle w:val="P68B1DB1-Normal66"/>
              <w:spacing w:after="200" w:line="276" w:lineRule="auto"/>
              <w:jc w:val="center"/>
              <w:rPr>
                <w:noProof/>
              </w:rPr>
            </w:pPr>
            <w:r>
              <w:rPr>
                <w:noProof/>
              </w:rPr>
              <w:t>C5.1. R1-I4</w:t>
            </w:r>
          </w:p>
        </w:tc>
        <w:tc>
          <w:tcPr>
            <w:tcW w:w="1019" w:type="dxa"/>
            <w:tcBorders>
              <w:top w:val="nil"/>
              <w:left w:val="nil"/>
              <w:bottom w:val="single" w:sz="4" w:space="0" w:color="auto"/>
              <w:right w:val="single" w:sz="4" w:space="0" w:color="auto"/>
            </w:tcBorders>
            <w:shd w:val="clear" w:color="auto" w:fill="C6EFCE"/>
            <w:noWrap/>
          </w:tcPr>
          <w:p w14:paraId="7BEF3671" w14:textId="77777777" w:rsidR="00553430" w:rsidRDefault="00212577">
            <w:pPr>
              <w:pStyle w:val="P68B1DB1-Normal66"/>
              <w:spacing w:after="200" w:line="276" w:lineRule="auto"/>
              <w:jc w:val="center"/>
              <w:rPr>
                <w:noProof/>
              </w:rPr>
            </w:pPr>
            <w:r>
              <w:rPr>
                <w:noProof/>
              </w:rPr>
              <w:t>M</w:t>
            </w:r>
          </w:p>
        </w:tc>
        <w:tc>
          <w:tcPr>
            <w:tcW w:w="1888" w:type="dxa"/>
            <w:tcBorders>
              <w:top w:val="nil"/>
              <w:left w:val="nil"/>
              <w:bottom w:val="single" w:sz="4" w:space="0" w:color="auto"/>
              <w:right w:val="single" w:sz="4" w:space="0" w:color="auto"/>
            </w:tcBorders>
            <w:shd w:val="clear" w:color="auto" w:fill="C6EFCE"/>
            <w:noWrap/>
          </w:tcPr>
          <w:p w14:paraId="230877E7" w14:textId="77777777" w:rsidR="00553430" w:rsidRDefault="00212577">
            <w:pPr>
              <w:pStyle w:val="P68B1DB1-Normal66"/>
              <w:spacing w:after="200" w:line="276" w:lineRule="auto"/>
              <w:rPr>
                <w:noProof/>
              </w:rPr>
            </w:pPr>
            <w:r>
              <w:rPr>
                <w:noProof/>
              </w:rPr>
              <w:t xml:space="preserve">Modernisation des services de santé au Centre hospitalier clinique KBC Split </w:t>
            </w:r>
          </w:p>
        </w:tc>
        <w:tc>
          <w:tcPr>
            <w:tcW w:w="1985" w:type="dxa"/>
            <w:tcBorders>
              <w:top w:val="nil"/>
              <w:left w:val="nil"/>
              <w:bottom w:val="single" w:sz="4" w:space="0" w:color="auto"/>
              <w:right w:val="single" w:sz="4" w:space="0" w:color="auto"/>
            </w:tcBorders>
            <w:shd w:val="clear" w:color="auto" w:fill="C6EFCE"/>
            <w:noWrap/>
          </w:tcPr>
          <w:p w14:paraId="16EC8D4C" w14:textId="77777777" w:rsidR="00553430" w:rsidRDefault="00212577">
            <w:pPr>
              <w:pStyle w:val="P68B1DB1-Normal66"/>
              <w:spacing w:after="200" w:line="276" w:lineRule="auto"/>
              <w:rPr>
                <w:noProof/>
              </w:rPr>
            </w:pPr>
            <w:r>
              <w:rPr>
                <w:noProof/>
              </w:rPr>
              <w:t>Achat d'équipement pour l'Institut clinique de radiologie diagnostique et interventionnelle KBC Split</w:t>
            </w:r>
          </w:p>
        </w:tc>
        <w:tc>
          <w:tcPr>
            <w:tcW w:w="1296" w:type="dxa"/>
            <w:tcBorders>
              <w:top w:val="nil"/>
              <w:left w:val="nil"/>
              <w:bottom w:val="single" w:sz="4" w:space="0" w:color="auto"/>
              <w:right w:val="single" w:sz="4" w:space="0" w:color="auto"/>
            </w:tcBorders>
            <w:shd w:val="clear" w:color="auto" w:fill="C6EFCE"/>
            <w:noWrap/>
          </w:tcPr>
          <w:p w14:paraId="0BF54ED1" w14:textId="77777777" w:rsidR="00553430" w:rsidRDefault="00212577">
            <w:pPr>
              <w:pStyle w:val="P68B1DB1-Normal66"/>
              <w:spacing w:after="200" w:line="276" w:lineRule="auto"/>
              <w:jc w:val="center"/>
              <w:rPr>
                <w:noProof/>
              </w:rPr>
            </w:pPr>
            <w:r>
              <w:rPr>
                <w:noProof/>
              </w:rPr>
              <w:t> </w:t>
            </w:r>
          </w:p>
        </w:tc>
        <w:tc>
          <w:tcPr>
            <w:tcW w:w="1087" w:type="dxa"/>
            <w:tcBorders>
              <w:top w:val="nil"/>
              <w:left w:val="nil"/>
              <w:bottom w:val="single" w:sz="4" w:space="0" w:color="auto"/>
              <w:right w:val="single" w:sz="4" w:space="0" w:color="auto"/>
            </w:tcBorders>
            <w:shd w:val="clear" w:color="auto" w:fill="C6EFCE"/>
            <w:noWrap/>
          </w:tcPr>
          <w:p w14:paraId="5CDD4FDC" w14:textId="77777777" w:rsidR="00553430" w:rsidRDefault="00212577">
            <w:pPr>
              <w:pStyle w:val="P68B1DB1-Normal66"/>
              <w:spacing w:after="200" w:line="276" w:lineRule="auto"/>
              <w:jc w:val="center"/>
              <w:rPr>
                <w:noProof/>
              </w:rPr>
            </w:pPr>
            <w:r>
              <w:rPr>
                <w:noProof/>
              </w:rPr>
              <w:t> </w:t>
            </w:r>
          </w:p>
        </w:tc>
        <w:tc>
          <w:tcPr>
            <w:tcW w:w="976" w:type="dxa"/>
            <w:tcBorders>
              <w:top w:val="nil"/>
              <w:left w:val="nil"/>
              <w:bottom w:val="single" w:sz="4" w:space="0" w:color="auto"/>
              <w:right w:val="single" w:sz="4" w:space="0" w:color="auto"/>
            </w:tcBorders>
            <w:shd w:val="clear" w:color="auto" w:fill="C6EFCE"/>
            <w:noWrap/>
          </w:tcPr>
          <w:p w14:paraId="314DA402" w14:textId="77777777" w:rsidR="00553430" w:rsidRDefault="00212577">
            <w:pPr>
              <w:pStyle w:val="P68B1DB1-Normal66"/>
              <w:spacing w:after="200" w:line="276" w:lineRule="auto"/>
              <w:jc w:val="center"/>
              <w:rPr>
                <w:noProof/>
              </w:rPr>
            </w:pPr>
            <w:r>
              <w:rPr>
                <w:noProof/>
              </w:rPr>
              <w:t> </w:t>
            </w:r>
          </w:p>
        </w:tc>
        <w:tc>
          <w:tcPr>
            <w:tcW w:w="756" w:type="dxa"/>
            <w:tcBorders>
              <w:top w:val="nil"/>
              <w:left w:val="nil"/>
              <w:bottom w:val="single" w:sz="4" w:space="0" w:color="auto"/>
              <w:right w:val="single" w:sz="4" w:space="0" w:color="auto"/>
            </w:tcBorders>
            <w:shd w:val="clear" w:color="auto" w:fill="C6EFCE"/>
            <w:noWrap/>
          </w:tcPr>
          <w:p w14:paraId="0A99A896" w14:textId="77777777" w:rsidR="00553430" w:rsidRDefault="00212577">
            <w:pPr>
              <w:pStyle w:val="P68B1DB1-Normal66"/>
              <w:spacing w:after="200" w:line="276" w:lineRule="auto"/>
              <w:jc w:val="center"/>
              <w:rPr>
                <w:noProof/>
              </w:rPr>
            </w:pPr>
            <w:r>
              <w:rPr>
                <w:noProof/>
              </w:rPr>
              <w:t>T4</w:t>
            </w:r>
          </w:p>
        </w:tc>
        <w:tc>
          <w:tcPr>
            <w:tcW w:w="895" w:type="dxa"/>
            <w:tcBorders>
              <w:top w:val="nil"/>
              <w:left w:val="nil"/>
              <w:bottom w:val="single" w:sz="4" w:space="0" w:color="auto"/>
              <w:right w:val="single" w:sz="4" w:space="0" w:color="auto"/>
            </w:tcBorders>
            <w:shd w:val="clear" w:color="auto" w:fill="C6EFCE"/>
            <w:noWrap/>
          </w:tcPr>
          <w:p w14:paraId="43E53D63" w14:textId="77777777" w:rsidR="00553430" w:rsidRDefault="00212577">
            <w:pPr>
              <w:pStyle w:val="P68B1DB1-Normal66"/>
              <w:spacing w:after="200" w:line="276" w:lineRule="auto"/>
              <w:jc w:val="center"/>
              <w:rPr>
                <w:noProof/>
              </w:rPr>
            </w:pPr>
            <w:r>
              <w:rPr>
                <w:noProof/>
              </w:rPr>
              <w:t>2022</w:t>
            </w:r>
          </w:p>
        </w:tc>
        <w:tc>
          <w:tcPr>
            <w:tcW w:w="3827" w:type="dxa"/>
            <w:tcBorders>
              <w:top w:val="nil"/>
              <w:left w:val="nil"/>
              <w:bottom w:val="single" w:sz="4" w:space="0" w:color="auto"/>
              <w:right w:val="single" w:sz="4" w:space="0" w:color="auto"/>
            </w:tcBorders>
            <w:shd w:val="clear" w:color="auto" w:fill="C6EFCE"/>
            <w:noWrap/>
          </w:tcPr>
          <w:p w14:paraId="4C70CFF6" w14:textId="77777777" w:rsidR="00553430" w:rsidRDefault="00212577">
            <w:pPr>
              <w:pStyle w:val="P68B1DB1-Normal66"/>
              <w:spacing w:after="200" w:line="276" w:lineRule="auto"/>
              <w:rPr>
                <w:noProof/>
              </w:rPr>
            </w:pPr>
            <w:r>
              <w:rPr>
                <w:noProof/>
              </w:rPr>
              <w:t>Installation d'équipements pour l'Institut clinique de radiolo</w:t>
            </w:r>
            <w:r>
              <w:rPr>
                <w:noProof/>
              </w:rPr>
              <w:t>gie diagnostique et interventionnelle et à l'Institut de médecine nucléaire clinique et construction et équipement d'une salle endoscopique hybride à l'Institut de gastroentérologie, afin de permettre l'introduction de nouvelles procédures diagnostiques et</w:t>
            </w:r>
            <w:r>
              <w:rPr>
                <w:noProof/>
              </w:rPr>
              <w:t xml:space="preserve"> thérapeutiques au Centre hospitalier clinique KBC Split. L’équipement installé doit être au moins à résonance magnétique 3T, salle d’angio DSA numérique par neurointervention, machine à rayons X diasscopique numérique, salle gastro-entérologique endoscopi</w:t>
            </w:r>
            <w:r>
              <w:rPr>
                <w:noProof/>
              </w:rPr>
              <w:t xml:space="preserve">que. </w:t>
            </w:r>
          </w:p>
        </w:tc>
      </w:tr>
      <w:tr w:rsidR="00553430" w14:paraId="676C39CF"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DBC0D85" w14:textId="77777777" w:rsidR="00553430" w:rsidRDefault="00212577">
            <w:pPr>
              <w:pStyle w:val="P68B1DB1-Normal66"/>
              <w:spacing w:after="200" w:line="276" w:lineRule="auto"/>
              <w:jc w:val="center"/>
              <w:rPr>
                <w:noProof/>
              </w:rPr>
            </w:pPr>
            <w:r>
              <w:rPr>
                <w:noProof/>
              </w:rPr>
              <w:t>324</w:t>
            </w:r>
          </w:p>
        </w:tc>
        <w:tc>
          <w:tcPr>
            <w:tcW w:w="1208" w:type="dxa"/>
            <w:tcBorders>
              <w:top w:val="single" w:sz="4" w:space="0" w:color="auto"/>
              <w:left w:val="nil"/>
              <w:bottom w:val="single" w:sz="4" w:space="0" w:color="auto"/>
              <w:right w:val="single" w:sz="4" w:space="0" w:color="auto"/>
            </w:tcBorders>
            <w:shd w:val="clear" w:color="auto" w:fill="C6EFCE"/>
            <w:noWrap/>
          </w:tcPr>
          <w:p w14:paraId="525F6FB2" w14:textId="77777777" w:rsidR="00553430" w:rsidRDefault="00212577">
            <w:pPr>
              <w:pStyle w:val="P68B1DB1-Normal66"/>
              <w:spacing w:after="200" w:line="276" w:lineRule="auto"/>
              <w:jc w:val="center"/>
              <w:rPr>
                <w:noProof/>
              </w:rPr>
            </w:pPr>
            <w:r>
              <w:rPr>
                <w:noProof/>
              </w:rPr>
              <w:t>C5.1. R1-I5</w:t>
            </w:r>
          </w:p>
        </w:tc>
        <w:tc>
          <w:tcPr>
            <w:tcW w:w="1019" w:type="dxa"/>
            <w:tcBorders>
              <w:top w:val="single" w:sz="4" w:space="0" w:color="auto"/>
              <w:left w:val="nil"/>
              <w:bottom w:val="single" w:sz="4" w:space="0" w:color="auto"/>
              <w:right w:val="single" w:sz="4" w:space="0" w:color="auto"/>
            </w:tcBorders>
            <w:shd w:val="clear" w:color="auto" w:fill="C6EFCE"/>
            <w:noWrap/>
          </w:tcPr>
          <w:p w14:paraId="324CEB56" w14:textId="77777777" w:rsidR="00553430" w:rsidRDefault="00212577">
            <w:pPr>
              <w:pStyle w:val="P68B1DB1-Normal66"/>
              <w:spacing w:after="200" w:line="276" w:lineRule="auto"/>
              <w:jc w:val="center"/>
              <w:rPr>
                <w:noProof/>
                <w:color w:val="000000" w:themeColor="text1"/>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4BED1CC1" w14:textId="77777777" w:rsidR="00553430" w:rsidRDefault="00212577">
            <w:pPr>
              <w:pStyle w:val="P68B1DB1-Normal66"/>
              <w:spacing w:after="200" w:line="276" w:lineRule="auto"/>
              <w:rPr>
                <w:noProof/>
              </w:rPr>
            </w:pPr>
            <w:r>
              <w:rPr>
                <w:noProof/>
              </w:rPr>
              <w:t xml:space="preserve">Bâtiment central d'opération avec le contenu d'accompagnement de l'hôpital général de Varaždin </w:t>
            </w:r>
          </w:p>
        </w:tc>
        <w:tc>
          <w:tcPr>
            <w:tcW w:w="1985" w:type="dxa"/>
            <w:tcBorders>
              <w:top w:val="single" w:sz="4" w:space="0" w:color="auto"/>
              <w:left w:val="nil"/>
              <w:bottom w:val="single" w:sz="4" w:space="0" w:color="auto"/>
              <w:right w:val="single" w:sz="4" w:space="0" w:color="auto"/>
            </w:tcBorders>
            <w:shd w:val="clear" w:color="auto" w:fill="C6EFCE"/>
            <w:noWrap/>
          </w:tcPr>
          <w:p w14:paraId="62750223" w14:textId="77777777" w:rsidR="00553430" w:rsidRDefault="00212577">
            <w:pPr>
              <w:pStyle w:val="P68B1DB1-Normal66"/>
              <w:spacing w:after="200" w:line="276" w:lineRule="auto"/>
              <w:rPr>
                <w:noProof/>
              </w:rPr>
            </w:pPr>
            <w:r>
              <w:rPr>
                <w:noProof/>
              </w:rPr>
              <w:t> </w:t>
            </w:r>
          </w:p>
        </w:tc>
        <w:tc>
          <w:tcPr>
            <w:tcW w:w="1296" w:type="dxa"/>
            <w:tcBorders>
              <w:top w:val="single" w:sz="4" w:space="0" w:color="auto"/>
              <w:left w:val="nil"/>
              <w:bottom w:val="single" w:sz="4" w:space="0" w:color="auto"/>
              <w:right w:val="single" w:sz="4" w:space="0" w:color="auto"/>
            </w:tcBorders>
            <w:shd w:val="clear" w:color="auto" w:fill="C6EFCE"/>
            <w:noWrap/>
          </w:tcPr>
          <w:p w14:paraId="3DDFD361" w14:textId="77777777" w:rsidR="00553430" w:rsidRDefault="00212577">
            <w:pPr>
              <w:pStyle w:val="P68B1DB1-Normal66"/>
              <w:spacing w:after="200" w:line="276" w:lineRule="auto"/>
              <w:jc w:val="center"/>
              <w:rPr>
                <w:noProof/>
              </w:rPr>
            </w:pPr>
            <w:r>
              <w:rPr>
                <w:noProof/>
              </w:rPr>
              <w:t>Numéro</w:t>
            </w:r>
          </w:p>
        </w:tc>
        <w:tc>
          <w:tcPr>
            <w:tcW w:w="1087" w:type="dxa"/>
            <w:tcBorders>
              <w:top w:val="single" w:sz="4" w:space="0" w:color="auto"/>
              <w:left w:val="nil"/>
              <w:bottom w:val="single" w:sz="4" w:space="0" w:color="auto"/>
              <w:right w:val="single" w:sz="4" w:space="0" w:color="auto"/>
            </w:tcBorders>
            <w:shd w:val="clear" w:color="auto" w:fill="C6EFCE"/>
            <w:noWrap/>
          </w:tcPr>
          <w:p w14:paraId="4EBD01D6"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43FC412A" w14:textId="77777777" w:rsidR="00553430" w:rsidRDefault="00212577">
            <w:pPr>
              <w:pStyle w:val="P68B1DB1-Normal66"/>
              <w:spacing w:after="200" w:line="276" w:lineRule="auto"/>
              <w:jc w:val="center"/>
              <w:rPr>
                <w:noProof/>
              </w:rPr>
            </w:pPr>
            <w:r>
              <w:rPr>
                <w:noProof/>
              </w:rPr>
              <w:t>1</w:t>
            </w:r>
          </w:p>
        </w:tc>
        <w:tc>
          <w:tcPr>
            <w:tcW w:w="756" w:type="dxa"/>
            <w:tcBorders>
              <w:top w:val="single" w:sz="4" w:space="0" w:color="auto"/>
              <w:left w:val="nil"/>
              <w:bottom w:val="single" w:sz="4" w:space="0" w:color="auto"/>
              <w:right w:val="single" w:sz="4" w:space="0" w:color="auto"/>
            </w:tcBorders>
            <w:shd w:val="clear" w:color="auto" w:fill="C6EFCE"/>
            <w:noWrap/>
          </w:tcPr>
          <w:p w14:paraId="3F5CBA9B" w14:textId="77777777" w:rsidR="00553430" w:rsidRDefault="00212577">
            <w:pPr>
              <w:pStyle w:val="P68B1DB1-Normal66"/>
              <w:spacing w:after="200" w:line="276" w:lineRule="auto"/>
              <w:jc w:val="center"/>
              <w:rPr>
                <w:noProof/>
              </w:rPr>
            </w:pPr>
            <w:r>
              <w:rPr>
                <w:noProof/>
              </w:rPr>
              <w:t>T4</w:t>
            </w:r>
          </w:p>
        </w:tc>
        <w:tc>
          <w:tcPr>
            <w:tcW w:w="895" w:type="dxa"/>
            <w:tcBorders>
              <w:top w:val="single" w:sz="4" w:space="0" w:color="auto"/>
              <w:left w:val="nil"/>
              <w:bottom w:val="single" w:sz="4" w:space="0" w:color="auto"/>
              <w:right w:val="single" w:sz="4" w:space="0" w:color="auto"/>
            </w:tcBorders>
            <w:shd w:val="clear" w:color="auto" w:fill="C6EFCE"/>
            <w:noWrap/>
          </w:tcPr>
          <w:p w14:paraId="636F97AF" w14:textId="77777777" w:rsidR="00553430" w:rsidRDefault="00212577">
            <w:pPr>
              <w:pStyle w:val="P68B1DB1-Normal66"/>
              <w:spacing w:after="200" w:line="276" w:lineRule="auto"/>
              <w:jc w:val="center"/>
              <w:rPr>
                <w:noProof/>
              </w:rPr>
            </w:pPr>
            <w:r>
              <w:rPr>
                <w:noProof/>
              </w:rPr>
              <w:t>2025</w:t>
            </w:r>
          </w:p>
        </w:tc>
        <w:tc>
          <w:tcPr>
            <w:tcW w:w="3827" w:type="dxa"/>
            <w:tcBorders>
              <w:top w:val="single" w:sz="4" w:space="0" w:color="auto"/>
              <w:left w:val="nil"/>
              <w:bottom w:val="single" w:sz="4" w:space="0" w:color="auto"/>
              <w:right w:val="single" w:sz="4" w:space="0" w:color="auto"/>
            </w:tcBorders>
            <w:shd w:val="clear" w:color="auto" w:fill="C6EFCE"/>
            <w:noWrap/>
          </w:tcPr>
          <w:p w14:paraId="4B1B0A70" w14:textId="0A614CA9" w:rsidR="00553430" w:rsidRDefault="00212577">
            <w:pPr>
              <w:pStyle w:val="P68B1DB1-Normal66"/>
              <w:spacing w:after="200" w:line="276" w:lineRule="auto"/>
              <w:rPr>
                <w:noProof/>
              </w:rPr>
            </w:pPr>
            <w:r>
              <w:rPr>
                <w:noProof/>
              </w:rPr>
              <w:t xml:space="preserve">Construction et équipement du bâtiment du bloc opératoire central (COB) avec des unités de soins intensifs (JIL), </w:t>
            </w:r>
            <w:r>
              <w:rPr>
                <w:noProof/>
              </w:rPr>
              <w:t xml:space="preserve">stérilisation centrale, diagnostic RTG, transfusions et laboratoires médico-biochimiques, et construction de couloirs de connexion aux installations médicales existantes. </w:t>
            </w:r>
          </w:p>
        </w:tc>
      </w:tr>
      <w:tr w:rsidR="00553430" w14:paraId="1E467AC8"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DF2B335" w14:textId="77777777" w:rsidR="00553430" w:rsidRDefault="00212577">
            <w:pPr>
              <w:pStyle w:val="P68B1DB1-Normal66"/>
              <w:spacing w:after="200" w:line="276" w:lineRule="auto"/>
              <w:jc w:val="center"/>
              <w:rPr>
                <w:noProof/>
              </w:rPr>
            </w:pPr>
            <w:r>
              <w:rPr>
                <w:noProof/>
              </w:rPr>
              <w:t>325</w:t>
            </w:r>
          </w:p>
        </w:tc>
        <w:tc>
          <w:tcPr>
            <w:tcW w:w="1208" w:type="dxa"/>
            <w:tcBorders>
              <w:top w:val="single" w:sz="4" w:space="0" w:color="auto"/>
              <w:left w:val="nil"/>
              <w:bottom w:val="single" w:sz="4" w:space="0" w:color="auto"/>
              <w:right w:val="single" w:sz="4" w:space="0" w:color="auto"/>
            </w:tcBorders>
            <w:shd w:val="clear" w:color="auto" w:fill="C6EFCE"/>
            <w:noWrap/>
          </w:tcPr>
          <w:p w14:paraId="22D1DF82" w14:textId="77777777" w:rsidR="00553430" w:rsidRDefault="00212577">
            <w:pPr>
              <w:pStyle w:val="P68B1DB1-Normal66"/>
              <w:spacing w:after="200" w:line="276" w:lineRule="auto"/>
              <w:jc w:val="center"/>
              <w:rPr>
                <w:noProof/>
              </w:rPr>
            </w:pPr>
            <w:r>
              <w:rPr>
                <w:noProof/>
              </w:rPr>
              <w:t>C5.1. R1-I6</w:t>
            </w:r>
          </w:p>
        </w:tc>
        <w:tc>
          <w:tcPr>
            <w:tcW w:w="1019" w:type="dxa"/>
            <w:tcBorders>
              <w:top w:val="single" w:sz="4" w:space="0" w:color="auto"/>
              <w:left w:val="nil"/>
              <w:bottom w:val="single" w:sz="4" w:space="0" w:color="auto"/>
              <w:right w:val="single" w:sz="4" w:space="0" w:color="auto"/>
            </w:tcBorders>
            <w:shd w:val="clear" w:color="auto" w:fill="C6EFCE"/>
            <w:noWrap/>
          </w:tcPr>
          <w:p w14:paraId="68783D3D" w14:textId="77777777" w:rsidR="00553430" w:rsidRDefault="00212577">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67D24425" w14:textId="77777777" w:rsidR="00553430" w:rsidRDefault="00212577">
            <w:pPr>
              <w:pStyle w:val="P68B1DB1-Normal66"/>
              <w:spacing w:after="200" w:line="276" w:lineRule="auto"/>
              <w:rPr>
                <w:noProof/>
              </w:rPr>
            </w:pPr>
            <w:r>
              <w:rPr>
                <w:noProof/>
              </w:rPr>
              <w:t xml:space="preserve">Dispositifs médicaux de diagnostic à l'hôpital clinique (KB) Dubrava </w:t>
            </w:r>
          </w:p>
        </w:tc>
        <w:tc>
          <w:tcPr>
            <w:tcW w:w="1985" w:type="dxa"/>
            <w:tcBorders>
              <w:top w:val="single" w:sz="4" w:space="0" w:color="auto"/>
              <w:left w:val="nil"/>
              <w:bottom w:val="single" w:sz="4" w:space="0" w:color="auto"/>
              <w:right w:val="single" w:sz="4" w:space="0" w:color="auto"/>
            </w:tcBorders>
            <w:shd w:val="clear" w:color="auto" w:fill="C6EFCE"/>
            <w:noWrap/>
          </w:tcPr>
          <w:p w14:paraId="088D2A5E" w14:textId="77777777" w:rsidR="00553430" w:rsidRDefault="00212577">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2A9F1358" w14:textId="77777777" w:rsidR="00553430" w:rsidRDefault="00212577">
            <w:pPr>
              <w:pStyle w:val="P68B1DB1-Normal66"/>
              <w:spacing w:after="200" w:line="276" w:lineRule="auto"/>
              <w:jc w:val="center"/>
              <w:rPr>
                <w:noProof/>
              </w:rPr>
            </w:pPr>
            <w:r>
              <w:rPr>
                <w:noProof/>
              </w:rPr>
              <w:t>Numéro</w:t>
            </w:r>
          </w:p>
        </w:tc>
        <w:tc>
          <w:tcPr>
            <w:tcW w:w="1087" w:type="dxa"/>
            <w:tcBorders>
              <w:top w:val="single" w:sz="4" w:space="0" w:color="auto"/>
              <w:left w:val="nil"/>
              <w:bottom w:val="single" w:sz="4" w:space="0" w:color="auto"/>
              <w:right w:val="single" w:sz="4" w:space="0" w:color="auto"/>
            </w:tcBorders>
            <w:shd w:val="clear" w:color="auto" w:fill="C6EFCE"/>
            <w:noWrap/>
          </w:tcPr>
          <w:p w14:paraId="33B5DD7A"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62FE683C" w14:textId="77777777" w:rsidR="00553430" w:rsidRDefault="00212577">
            <w:pPr>
              <w:pStyle w:val="P68B1DB1-Normal66"/>
              <w:spacing w:after="200" w:line="276" w:lineRule="auto"/>
              <w:jc w:val="center"/>
              <w:rPr>
                <w:noProof/>
              </w:rPr>
            </w:pPr>
            <w:r>
              <w:rPr>
                <w:noProof/>
              </w:rPr>
              <w:t>8</w:t>
            </w:r>
          </w:p>
        </w:tc>
        <w:tc>
          <w:tcPr>
            <w:tcW w:w="756" w:type="dxa"/>
            <w:tcBorders>
              <w:top w:val="single" w:sz="4" w:space="0" w:color="auto"/>
              <w:left w:val="nil"/>
              <w:bottom w:val="single" w:sz="4" w:space="0" w:color="auto"/>
              <w:right w:val="single" w:sz="4" w:space="0" w:color="auto"/>
            </w:tcBorders>
            <w:shd w:val="clear" w:color="auto" w:fill="C6EFCE"/>
            <w:noWrap/>
          </w:tcPr>
          <w:p w14:paraId="54F1BA9C" w14:textId="77777777" w:rsidR="00553430" w:rsidRDefault="00212577">
            <w:pPr>
              <w:pStyle w:val="P68B1DB1-Normal66"/>
              <w:spacing w:after="200" w:line="276" w:lineRule="auto"/>
              <w:jc w:val="center"/>
              <w:rPr>
                <w:noProof/>
              </w:rPr>
            </w:pPr>
            <w:r>
              <w:rPr>
                <w:noProof/>
              </w:rPr>
              <w:t>T2</w:t>
            </w:r>
          </w:p>
        </w:tc>
        <w:tc>
          <w:tcPr>
            <w:tcW w:w="895" w:type="dxa"/>
            <w:tcBorders>
              <w:top w:val="single" w:sz="4" w:space="0" w:color="auto"/>
              <w:left w:val="nil"/>
              <w:bottom w:val="single" w:sz="4" w:space="0" w:color="auto"/>
              <w:right w:val="single" w:sz="4" w:space="0" w:color="auto"/>
            </w:tcBorders>
            <w:shd w:val="clear" w:color="auto" w:fill="C6EFCE"/>
            <w:noWrap/>
          </w:tcPr>
          <w:p w14:paraId="5890D354" w14:textId="77777777" w:rsidR="00553430" w:rsidRDefault="00212577">
            <w:pPr>
              <w:pStyle w:val="P68B1DB1-Normal66"/>
              <w:spacing w:after="200" w:line="276" w:lineRule="auto"/>
              <w:jc w:val="center"/>
              <w:rPr>
                <w:noProof/>
              </w:rPr>
            </w:pPr>
            <w:r>
              <w:rPr>
                <w:noProof/>
              </w:rPr>
              <w:t>2023</w:t>
            </w:r>
          </w:p>
        </w:tc>
        <w:tc>
          <w:tcPr>
            <w:tcW w:w="3827" w:type="dxa"/>
            <w:tcBorders>
              <w:top w:val="single" w:sz="4" w:space="0" w:color="auto"/>
              <w:left w:val="nil"/>
              <w:bottom w:val="single" w:sz="4" w:space="0" w:color="auto"/>
              <w:right w:val="single" w:sz="4" w:space="0" w:color="auto"/>
            </w:tcBorders>
            <w:shd w:val="clear" w:color="auto" w:fill="C6EFCE"/>
            <w:noWrap/>
          </w:tcPr>
          <w:p w14:paraId="4708237E" w14:textId="77777777" w:rsidR="00553430" w:rsidRDefault="00212577">
            <w:pPr>
              <w:pStyle w:val="P68B1DB1-Normal66"/>
              <w:spacing w:after="200" w:line="276" w:lineRule="auto"/>
              <w:rPr>
                <w:noProof/>
              </w:rPr>
            </w:pPr>
            <w:r>
              <w:rPr>
                <w:noProof/>
              </w:rPr>
              <w:t>Achat et installation de huit dispositifs médicaux de diagnostic et d'équipements radiologiques numériques pour l'Institut clinique de radiologie diagnostique et int</w:t>
            </w:r>
            <w:r>
              <w:rPr>
                <w:noProof/>
              </w:rPr>
              <w:t xml:space="preserve">erventionnelle. Tous les dispositifs devraient être progressivement installés et tous devraient être opérationnels au plus tard le 30 juin 2023. </w:t>
            </w:r>
          </w:p>
        </w:tc>
      </w:tr>
      <w:tr w:rsidR="00553430" w14:paraId="30316705"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0E1149D" w14:textId="77777777" w:rsidR="00553430" w:rsidRDefault="00212577">
            <w:pPr>
              <w:pStyle w:val="P68B1DB1-Normal66"/>
              <w:spacing w:after="200" w:line="276" w:lineRule="auto"/>
              <w:jc w:val="center"/>
              <w:rPr>
                <w:noProof/>
              </w:rPr>
            </w:pPr>
            <w:r>
              <w:rPr>
                <w:noProof/>
              </w:rPr>
              <w:t>326</w:t>
            </w:r>
          </w:p>
        </w:tc>
        <w:tc>
          <w:tcPr>
            <w:tcW w:w="1208" w:type="dxa"/>
            <w:tcBorders>
              <w:top w:val="single" w:sz="4" w:space="0" w:color="auto"/>
              <w:left w:val="nil"/>
              <w:bottom w:val="single" w:sz="4" w:space="0" w:color="auto"/>
              <w:right w:val="single" w:sz="4" w:space="0" w:color="auto"/>
            </w:tcBorders>
            <w:shd w:val="clear" w:color="auto" w:fill="C6EFCE"/>
            <w:noWrap/>
          </w:tcPr>
          <w:p w14:paraId="25E0893A" w14:textId="77777777" w:rsidR="00553430" w:rsidRDefault="00212577">
            <w:pPr>
              <w:pStyle w:val="P68B1DB1-Normal66"/>
              <w:spacing w:after="200" w:line="276" w:lineRule="auto"/>
              <w:jc w:val="center"/>
              <w:rPr>
                <w:noProof/>
              </w:rPr>
            </w:pPr>
            <w:r>
              <w:rPr>
                <w:noProof/>
              </w:rPr>
              <w:t>C5.1. R1-I7</w:t>
            </w:r>
          </w:p>
        </w:tc>
        <w:tc>
          <w:tcPr>
            <w:tcW w:w="1019" w:type="dxa"/>
            <w:tcBorders>
              <w:top w:val="single" w:sz="4" w:space="0" w:color="auto"/>
              <w:left w:val="nil"/>
              <w:bottom w:val="single" w:sz="4" w:space="0" w:color="auto"/>
              <w:right w:val="single" w:sz="4" w:space="0" w:color="auto"/>
            </w:tcBorders>
            <w:shd w:val="clear" w:color="auto" w:fill="C6EFCE"/>
            <w:noWrap/>
          </w:tcPr>
          <w:p w14:paraId="31FD46C5" w14:textId="77777777" w:rsidR="00553430" w:rsidRDefault="00212577">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5C90BF18" w14:textId="77777777" w:rsidR="00553430" w:rsidRDefault="00212577">
            <w:pPr>
              <w:pStyle w:val="P68B1DB1-Normal66"/>
              <w:spacing w:after="200" w:line="276" w:lineRule="auto"/>
              <w:rPr>
                <w:noProof/>
              </w:rPr>
            </w:pPr>
            <w:r>
              <w:rPr>
                <w:noProof/>
              </w:rPr>
              <w:t xml:space="preserve">Nouvelles installations au Centre Hospitalier Clinique (KBC) Sestre Milosrdnice </w:t>
            </w:r>
          </w:p>
        </w:tc>
        <w:tc>
          <w:tcPr>
            <w:tcW w:w="1985" w:type="dxa"/>
            <w:tcBorders>
              <w:top w:val="single" w:sz="4" w:space="0" w:color="auto"/>
              <w:left w:val="nil"/>
              <w:bottom w:val="single" w:sz="4" w:space="0" w:color="auto"/>
              <w:right w:val="single" w:sz="4" w:space="0" w:color="auto"/>
            </w:tcBorders>
            <w:shd w:val="clear" w:color="auto" w:fill="C6EFCE"/>
            <w:noWrap/>
          </w:tcPr>
          <w:p w14:paraId="37FFD928" w14:textId="77777777" w:rsidR="00553430" w:rsidRDefault="00212577">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6D3A9A69" w14:textId="77777777" w:rsidR="00553430" w:rsidRDefault="00212577">
            <w:pPr>
              <w:pStyle w:val="P68B1DB1-Normal66"/>
              <w:spacing w:after="200" w:line="276" w:lineRule="auto"/>
              <w:jc w:val="center"/>
              <w:rPr>
                <w:noProof/>
              </w:rPr>
            </w:pPr>
            <w:r>
              <w:rPr>
                <w:noProof/>
              </w:rPr>
              <w:t>Numéro</w:t>
            </w:r>
          </w:p>
        </w:tc>
        <w:tc>
          <w:tcPr>
            <w:tcW w:w="1087" w:type="dxa"/>
            <w:tcBorders>
              <w:top w:val="single" w:sz="4" w:space="0" w:color="auto"/>
              <w:left w:val="nil"/>
              <w:bottom w:val="single" w:sz="4" w:space="0" w:color="auto"/>
              <w:right w:val="single" w:sz="4" w:space="0" w:color="auto"/>
            </w:tcBorders>
            <w:shd w:val="clear" w:color="auto" w:fill="C6EFCE"/>
            <w:noWrap/>
          </w:tcPr>
          <w:p w14:paraId="7C42A7E6"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24302934" w14:textId="77777777" w:rsidR="00553430" w:rsidRDefault="00212577">
            <w:pPr>
              <w:pStyle w:val="P68B1DB1-Normal66"/>
              <w:spacing w:after="200" w:line="276" w:lineRule="auto"/>
              <w:jc w:val="center"/>
              <w:rPr>
                <w:noProof/>
              </w:rPr>
            </w:pPr>
            <w:r>
              <w:rPr>
                <w:noProof/>
              </w:rPr>
              <w:t>2</w:t>
            </w:r>
          </w:p>
        </w:tc>
        <w:tc>
          <w:tcPr>
            <w:tcW w:w="756" w:type="dxa"/>
            <w:tcBorders>
              <w:top w:val="single" w:sz="4" w:space="0" w:color="auto"/>
              <w:left w:val="nil"/>
              <w:bottom w:val="single" w:sz="4" w:space="0" w:color="auto"/>
              <w:right w:val="single" w:sz="4" w:space="0" w:color="auto"/>
            </w:tcBorders>
            <w:shd w:val="clear" w:color="auto" w:fill="C6EFCE"/>
            <w:noWrap/>
          </w:tcPr>
          <w:p w14:paraId="66A97319" w14:textId="77777777" w:rsidR="00553430" w:rsidRDefault="00212577">
            <w:pPr>
              <w:pStyle w:val="P68B1DB1-Normal66"/>
              <w:spacing w:after="200" w:line="276" w:lineRule="auto"/>
              <w:jc w:val="center"/>
              <w:rPr>
                <w:noProof/>
              </w:rPr>
            </w:pPr>
            <w:r>
              <w:rPr>
                <w:noProof/>
              </w:rPr>
              <w:t>T1</w:t>
            </w:r>
          </w:p>
        </w:tc>
        <w:tc>
          <w:tcPr>
            <w:tcW w:w="895" w:type="dxa"/>
            <w:tcBorders>
              <w:top w:val="single" w:sz="4" w:space="0" w:color="auto"/>
              <w:left w:val="nil"/>
              <w:bottom w:val="single" w:sz="4" w:space="0" w:color="auto"/>
              <w:right w:val="single" w:sz="4" w:space="0" w:color="auto"/>
            </w:tcBorders>
            <w:shd w:val="clear" w:color="auto" w:fill="C6EFCE"/>
            <w:noWrap/>
          </w:tcPr>
          <w:p w14:paraId="0DB183AA" w14:textId="77777777" w:rsidR="00553430" w:rsidRDefault="00212577">
            <w:pPr>
              <w:pStyle w:val="P68B1DB1-Normal66"/>
              <w:spacing w:after="200" w:line="276" w:lineRule="auto"/>
              <w:jc w:val="center"/>
              <w:rPr>
                <w:noProof/>
              </w:rPr>
            </w:pPr>
            <w:r>
              <w:rPr>
                <w:noProof/>
              </w:rPr>
              <w:t>2024</w:t>
            </w:r>
          </w:p>
        </w:tc>
        <w:tc>
          <w:tcPr>
            <w:tcW w:w="3827" w:type="dxa"/>
            <w:tcBorders>
              <w:top w:val="single" w:sz="4" w:space="0" w:color="auto"/>
              <w:left w:val="nil"/>
              <w:bottom w:val="single" w:sz="4" w:space="0" w:color="auto"/>
              <w:right w:val="single" w:sz="4" w:space="0" w:color="auto"/>
            </w:tcBorders>
            <w:shd w:val="clear" w:color="auto" w:fill="C6EFCE"/>
            <w:noWrap/>
          </w:tcPr>
          <w:p w14:paraId="6E14D4B7" w14:textId="77777777" w:rsidR="00553430" w:rsidRDefault="00212577">
            <w:pPr>
              <w:pStyle w:val="P68B1DB1-Normal66"/>
              <w:spacing w:after="200" w:line="276" w:lineRule="auto"/>
              <w:rPr>
                <w:noProof/>
              </w:rPr>
            </w:pPr>
            <w:r>
              <w:rPr>
                <w:noProof/>
              </w:rPr>
              <w:t xml:space="preserve">Le centre hospitalier clinique (KBC) Sestre Milosrdnice doit être équipé d'installations intégrées d'admission à l'hôpital d'urgence, d'un hôpital de jour et d'installations de chirurgie d'une journée avec du matériel et du mobilier médicaux et </w:t>
            </w:r>
            <w:r>
              <w:rPr>
                <w:noProof/>
              </w:rPr>
              <w:t xml:space="preserve">non médicaux. </w:t>
            </w:r>
          </w:p>
        </w:tc>
      </w:tr>
      <w:tr w:rsidR="00553430" w14:paraId="5AE0E084"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249EC14" w14:textId="77777777" w:rsidR="00553430" w:rsidRDefault="00212577">
            <w:pPr>
              <w:pStyle w:val="P68B1DB1-Normal66"/>
              <w:spacing w:after="200" w:line="276" w:lineRule="auto"/>
              <w:jc w:val="center"/>
              <w:rPr>
                <w:noProof/>
              </w:rPr>
            </w:pPr>
            <w:r>
              <w:rPr>
                <w:noProof/>
              </w:rPr>
              <w:t>327</w:t>
            </w:r>
          </w:p>
        </w:tc>
        <w:tc>
          <w:tcPr>
            <w:tcW w:w="1208" w:type="dxa"/>
            <w:tcBorders>
              <w:top w:val="single" w:sz="4" w:space="0" w:color="auto"/>
              <w:left w:val="nil"/>
              <w:bottom w:val="single" w:sz="4" w:space="0" w:color="auto"/>
              <w:right w:val="single" w:sz="4" w:space="0" w:color="auto"/>
            </w:tcBorders>
            <w:shd w:val="clear" w:color="auto" w:fill="C6EFCE"/>
            <w:noWrap/>
          </w:tcPr>
          <w:p w14:paraId="18F29D20" w14:textId="77777777" w:rsidR="00553430" w:rsidRDefault="00212577">
            <w:pPr>
              <w:pStyle w:val="P68B1DB1-Normal66"/>
              <w:spacing w:after="200" w:line="276" w:lineRule="auto"/>
              <w:jc w:val="center"/>
              <w:rPr>
                <w:noProof/>
              </w:rPr>
            </w:pPr>
            <w:r>
              <w:rPr>
                <w:noProof/>
              </w:rPr>
              <w:t>C5.1. R1-I8</w:t>
            </w:r>
          </w:p>
        </w:tc>
        <w:tc>
          <w:tcPr>
            <w:tcW w:w="1019" w:type="dxa"/>
            <w:tcBorders>
              <w:top w:val="single" w:sz="4" w:space="0" w:color="auto"/>
              <w:left w:val="nil"/>
              <w:bottom w:val="single" w:sz="4" w:space="0" w:color="auto"/>
              <w:right w:val="single" w:sz="4" w:space="0" w:color="auto"/>
            </w:tcBorders>
            <w:shd w:val="clear" w:color="auto" w:fill="C6EFCE"/>
            <w:noWrap/>
          </w:tcPr>
          <w:p w14:paraId="2E8290CB" w14:textId="77777777" w:rsidR="00553430" w:rsidRDefault="00212577">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61F9901D" w14:textId="77777777" w:rsidR="00553430" w:rsidRDefault="00212577">
            <w:pPr>
              <w:pStyle w:val="P68B1DB1-Normal66"/>
              <w:spacing w:after="200" w:line="276" w:lineRule="auto"/>
              <w:rPr>
                <w:noProof/>
              </w:rPr>
            </w:pPr>
            <w:r>
              <w:rPr>
                <w:noProof/>
              </w:rPr>
              <w:t>Dispositifs médicaux pour le traitement opérationnel et le traitement des patients atteints d'épilepsie pharmacorésistante à l'hôpital clinique (KB) Dubrava</w:t>
            </w:r>
          </w:p>
        </w:tc>
        <w:tc>
          <w:tcPr>
            <w:tcW w:w="1985" w:type="dxa"/>
            <w:tcBorders>
              <w:top w:val="single" w:sz="4" w:space="0" w:color="auto"/>
              <w:left w:val="nil"/>
              <w:bottom w:val="single" w:sz="4" w:space="0" w:color="auto"/>
              <w:right w:val="single" w:sz="4" w:space="0" w:color="auto"/>
            </w:tcBorders>
            <w:shd w:val="clear" w:color="auto" w:fill="C6EFCE"/>
            <w:noWrap/>
          </w:tcPr>
          <w:p w14:paraId="3E1A969B" w14:textId="77777777" w:rsidR="00553430" w:rsidRDefault="00212577">
            <w:pPr>
              <w:pStyle w:val="P68B1DB1-Normal66"/>
              <w:spacing w:after="200" w:line="276" w:lineRule="auto"/>
              <w:rPr>
                <w:noProof/>
              </w:rPr>
            </w:pPr>
            <w:r>
              <w:rPr>
                <w:noProof/>
              </w:rPr>
              <w:t> </w:t>
            </w:r>
          </w:p>
        </w:tc>
        <w:tc>
          <w:tcPr>
            <w:tcW w:w="1296" w:type="dxa"/>
            <w:tcBorders>
              <w:top w:val="single" w:sz="4" w:space="0" w:color="auto"/>
              <w:left w:val="nil"/>
              <w:bottom w:val="single" w:sz="4" w:space="0" w:color="auto"/>
              <w:right w:val="single" w:sz="4" w:space="0" w:color="auto"/>
            </w:tcBorders>
            <w:shd w:val="clear" w:color="auto" w:fill="C6EFCE"/>
            <w:noWrap/>
          </w:tcPr>
          <w:p w14:paraId="1D108BA2" w14:textId="77777777" w:rsidR="00553430" w:rsidRDefault="00212577">
            <w:pPr>
              <w:pStyle w:val="P68B1DB1-Normal66"/>
              <w:spacing w:after="200" w:line="276" w:lineRule="auto"/>
              <w:jc w:val="center"/>
              <w:rPr>
                <w:noProof/>
              </w:rPr>
            </w:pPr>
            <w:r>
              <w:rPr>
                <w:noProof/>
              </w:rPr>
              <w:t>Numéro</w:t>
            </w:r>
          </w:p>
        </w:tc>
        <w:tc>
          <w:tcPr>
            <w:tcW w:w="1087" w:type="dxa"/>
            <w:tcBorders>
              <w:top w:val="single" w:sz="4" w:space="0" w:color="auto"/>
              <w:left w:val="nil"/>
              <w:bottom w:val="single" w:sz="4" w:space="0" w:color="auto"/>
              <w:right w:val="single" w:sz="4" w:space="0" w:color="auto"/>
            </w:tcBorders>
            <w:shd w:val="clear" w:color="auto" w:fill="C6EFCE"/>
            <w:noWrap/>
          </w:tcPr>
          <w:p w14:paraId="1EC978BB"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32295E39" w14:textId="77777777" w:rsidR="00553430" w:rsidRDefault="00212577">
            <w:pPr>
              <w:pStyle w:val="P68B1DB1-Normal66"/>
              <w:spacing w:after="200" w:line="276" w:lineRule="auto"/>
              <w:jc w:val="center"/>
              <w:rPr>
                <w:noProof/>
              </w:rPr>
            </w:pPr>
            <w:r>
              <w:rPr>
                <w:noProof/>
              </w:rPr>
              <w:t>10</w:t>
            </w:r>
          </w:p>
        </w:tc>
        <w:tc>
          <w:tcPr>
            <w:tcW w:w="756" w:type="dxa"/>
            <w:tcBorders>
              <w:top w:val="single" w:sz="4" w:space="0" w:color="auto"/>
              <w:left w:val="nil"/>
              <w:bottom w:val="single" w:sz="4" w:space="0" w:color="auto"/>
              <w:right w:val="single" w:sz="4" w:space="0" w:color="auto"/>
            </w:tcBorders>
            <w:shd w:val="clear" w:color="auto" w:fill="C6EFCE"/>
            <w:noWrap/>
          </w:tcPr>
          <w:p w14:paraId="781084B3" w14:textId="77777777" w:rsidR="00553430" w:rsidRDefault="00212577">
            <w:pPr>
              <w:pStyle w:val="P68B1DB1-Normal66"/>
              <w:spacing w:after="200" w:line="276" w:lineRule="auto"/>
              <w:jc w:val="center"/>
              <w:rPr>
                <w:noProof/>
              </w:rPr>
            </w:pPr>
            <w:r>
              <w:rPr>
                <w:noProof/>
              </w:rPr>
              <w:t>T2</w:t>
            </w:r>
          </w:p>
        </w:tc>
        <w:tc>
          <w:tcPr>
            <w:tcW w:w="895" w:type="dxa"/>
            <w:tcBorders>
              <w:top w:val="single" w:sz="4" w:space="0" w:color="auto"/>
              <w:left w:val="nil"/>
              <w:bottom w:val="single" w:sz="4" w:space="0" w:color="auto"/>
              <w:right w:val="single" w:sz="4" w:space="0" w:color="auto"/>
            </w:tcBorders>
            <w:shd w:val="clear" w:color="auto" w:fill="C6EFCE"/>
            <w:noWrap/>
          </w:tcPr>
          <w:p w14:paraId="2CBFB89F" w14:textId="77777777" w:rsidR="00553430" w:rsidRDefault="00212577">
            <w:pPr>
              <w:pStyle w:val="P68B1DB1-Normal66"/>
              <w:spacing w:after="200" w:line="276" w:lineRule="auto"/>
              <w:jc w:val="center"/>
              <w:rPr>
                <w:noProof/>
              </w:rPr>
            </w:pPr>
            <w:r>
              <w:rPr>
                <w:noProof/>
              </w:rPr>
              <w:t>2023</w:t>
            </w:r>
          </w:p>
        </w:tc>
        <w:tc>
          <w:tcPr>
            <w:tcW w:w="3827" w:type="dxa"/>
            <w:tcBorders>
              <w:top w:val="single" w:sz="4" w:space="0" w:color="auto"/>
              <w:left w:val="nil"/>
              <w:bottom w:val="single" w:sz="4" w:space="0" w:color="auto"/>
              <w:right w:val="single" w:sz="4" w:space="0" w:color="auto"/>
            </w:tcBorders>
            <w:shd w:val="clear" w:color="auto" w:fill="C6EFCE"/>
            <w:noWrap/>
          </w:tcPr>
          <w:p w14:paraId="521A6D53" w14:textId="77777777" w:rsidR="00553430" w:rsidRDefault="00212577">
            <w:pPr>
              <w:pStyle w:val="P68B1DB1-Normal66"/>
              <w:spacing w:after="200" w:line="276" w:lineRule="auto"/>
              <w:rPr>
                <w:noProof/>
              </w:rPr>
            </w:pPr>
            <w:r>
              <w:rPr>
                <w:noProof/>
              </w:rPr>
              <w:t xml:space="preserve">Aux fins de la poursuite du développement </w:t>
            </w:r>
            <w:r>
              <w:rPr>
                <w:noProof/>
              </w:rPr>
              <w:t>de l’Institut de neurologie de l’hôpital clinique (KB) de Dubrava, dix équipements médicaux (dispositifs) sont installés et mis en service au plus tard le 30 juin 2023. L’investissement comprend l’acquisition d’équipements tels que des dispositifs d’enregi</w:t>
            </w:r>
            <w:r>
              <w:rPr>
                <w:noProof/>
              </w:rPr>
              <w:t>strement des canaux SEEG 256, des dispositifs numériques d’imagerie EMNG et EP 12 canaux. Dispositif de thermocoagulation par radiofréquence (RF) et adaptation d'une capacité spatiale adéquate.</w:t>
            </w:r>
          </w:p>
        </w:tc>
      </w:tr>
      <w:tr w:rsidR="00553430" w14:paraId="72B60C72"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0122038" w14:textId="77777777" w:rsidR="00553430" w:rsidRDefault="00212577">
            <w:pPr>
              <w:pStyle w:val="P68B1DB1-Normal66"/>
              <w:spacing w:after="200" w:line="276" w:lineRule="auto"/>
              <w:jc w:val="center"/>
              <w:rPr>
                <w:noProof/>
              </w:rPr>
            </w:pPr>
            <w:r>
              <w:rPr>
                <w:noProof/>
              </w:rPr>
              <w:t>328</w:t>
            </w:r>
          </w:p>
        </w:tc>
        <w:tc>
          <w:tcPr>
            <w:tcW w:w="1208" w:type="dxa"/>
            <w:tcBorders>
              <w:top w:val="single" w:sz="4" w:space="0" w:color="auto"/>
              <w:left w:val="nil"/>
              <w:bottom w:val="single" w:sz="4" w:space="0" w:color="auto"/>
              <w:right w:val="single" w:sz="4" w:space="0" w:color="auto"/>
            </w:tcBorders>
            <w:shd w:val="clear" w:color="auto" w:fill="C6EFCE"/>
            <w:noWrap/>
          </w:tcPr>
          <w:p w14:paraId="526AA5E9" w14:textId="77777777" w:rsidR="00553430" w:rsidRDefault="00212577">
            <w:pPr>
              <w:pStyle w:val="P68B1DB1-Normal66"/>
              <w:spacing w:after="200" w:line="276" w:lineRule="auto"/>
              <w:jc w:val="center"/>
              <w:rPr>
                <w:noProof/>
              </w:rPr>
            </w:pPr>
            <w:r>
              <w:rPr>
                <w:noProof/>
              </w:rPr>
              <w:t>C5.1. R1-I9</w:t>
            </w:r>
          </w:p>
        </w:tc>
        <w:tc>
          <w:tcPr>
            <w:tcW w:w="1019" w:type="dxa"/>
            <w:tcBorders>
              <w:top w:val="single" w:sz="4" w:space="0" w:color="auto"/>
              <w:left w:val="nil"/>
              <w:bottom w:val="single" w:sz="4" w:space="0" w:color="auto"/>
              <w:right w:val="single" w:sz="4" w:space="0" w:color="auto"/>
            </w:tcBorders>
            <w:shd w:val="clear" w:color="auto" w:fill="C6EFCE"/>
            <w:noWrap/>
          </w:tcPr>
          <w:p w14:paraId="606BC3DF" w14:textId="77777777" w:rsidR="00553430" w:rsidRDefault="00212577">
            <w:pPr>
              <w:pStyle w:val="P68B1DB1-Normal66"/>
              <w:spacing w:after="200" w:line="276" w:lineRule="auto"/>
              <w:jc w:val="center"/>
              <w:rPr>
                <w:noProof/>
              </w:rPr>
            </w:pPr>
            <w:r>
              <w:rPr>
                <w:noProof/>
              </w:rPr>
              <w:t>M</w:t>
            </w:r>
          </w:p>
        </w:tc>
        <w:tc>
          <w:tcPr>
            <w:tcW w:w="1888" w:type="dxa"/>
            <w:tcBorders>
              <w:top w:val="single" w:sz="4" w:space="0" w:color="auto"/>
              <w:left w:val="nil"/>
              <w:bottom w:val="single" w:sz="4" w:space="0" w:color="auto"/>
              <w:right w:val="single" w:sz="4" w:space="0" w:color="auto"/>
            </w:tcBorders>
            <w:shd w:val="clear" w:color="auto" w:fill="C6EFCE"/>
            <w:noWrap/>
          </w:tcPr>
          <w:p w14:paraId="21461C87" w14:textId="77777777" w:rsidR="00553430" w:rsidRDefault="00212577">
            <w:pPr>
              <w:pStyle w:val="P68B1DB1-Normal66"/>
              <w:spacing w:after="200" w:line="276" w:lineRule="auto"/>
              <w:rPr>
                <w:noProof/>
              </w:rPr>
            </w:pPr>
            <w:r>
              <w:rPr>
                <w:noProof/>
              </w:rPr>
              <w:t xml:space="preserve">Projet de développement du centre hospitalier clinique (KBC) Zagreb </w:t>
            </w:r>
          </w:p>
        </w:tc>
        <w:tc>
          <w:tcPr>
            <w:tcW w:w="1985" w:type="dxa"/>
            <w:tcBorders>
              <w:top w:val="single" w:sz="4" w:space="0" w:color="auto"/>
              <w:left w:val="nil"/>
              <w:bottom w:val="single" w:sz="4" w:space="0" w:color="auto"/>
              <w:right w:val="single" w:sz="4" w:space="0" w:color="auto"/>
            </w:tcBorders>
            <w:shd w:val="clear" w:color="auto" w:fill="C6EFCE"/>
            <w:noWrap/>
          </w:tcPr>
          <w:p w14:paraId="19C12AB5" w14:textId="77777777" w:rsidR="00553430" w:rsidRDefault="00212577">
            <w:pPr>
              <w:pStyle w:val="P68B1DB1-Normal66"/>
              <w:spacing w:after="200" w:line="276" w:lineRule="auto"/>
              <w:rPr>
                <w:noProof/>
              </w:rPr>
            </w:pPr>
            <w:r>
              <w:rPr>
                <w:noProof/>
              </w:rPr>
              <w:t>Achat d'équipement pour le Centre Hospitalier Clinique (KBC) Zagreb </w:t>
            </w:r>
          </w:p>
        </w:tc>
        <w:tc>
          <w:tcPr>
            <w:tcW w:w="1296" w:type="dxa"/>
            <w:tcBorders>
              <w:top w:val="single" w:sz="4" w:space="0" w:color="auto"/>
              <w:left w:val="nil"/>
              <w:bottom w:val="single" w:sz="4" w:space="0" w:color="auto"/>
              <w:right w:val="single" w:sz="4" w:space="0" w:color="auto"/>
            </w:tcBorders>
            <w:shd w:val="clear" w:color="auto" w:fill="C6EFCE"/>
            <w:noWrap/>
          </w:tcPr>
          <w:p w14:paraId="2290160E" w14:textId="77777777" w:rsidR="00553430" w:rsidRDefault="00553430">
            <w:pPr>
              <w:spacing w:after="200" w:line="276" w:lineRule="auto"/>
              <w:jc w:val="center"/>
              <w:rPr>
                <w:rFonts w:ascii="Times New Roman" w:eastAsia="Calibri" w:hAnsi="Times New Roman" w:cs="Times New Roman"/>
                <w:noProof/>
                <w:sz w:val="20"/>
                <w:szCs w:val="20"/>
              </w:rPr>
            </w:pPr>
          </w:p>
        </w:tc>
        <w:tc>
          <w:tcPr>
            <w:tcW w:w="1087" w:type="dxa"/>
            <w:tcBorders>
              <w:top w:val="single" w:sz="4" w:space="0" w:color="auto"/>
              <w:left w:val="nil"/>
              <w:bottom w:val="single" w:sz="4" w:space="0" w:color="auto"/>
              <w:right w:val="single" w:sz="4" w:space="0" w:color="auto"/>
            </w:tcBorders>
            <w:shd w:val="clear" w:color="auto" w:fill="C6EFCE"/>
            <w:noWrap/>
          </w:tcPr>
          <w:p w14:paraId="0CAAE8B0" w14:textId="77777777" w:rsidR="00553430" w:rsidRDefault="00553430">
            <w:pPr>
              <w:spacing w:after="200" w:line="276" w:lineRule="auto"/>
              <w:jc w:val="center"/>
              <w:rPr>
                <w:rFonts w:ascii="Times New Roman" w:eastAsia="Calibri" w:hAnsi="Times New Roman" w:cs="Times New Roman"/>
                <w:noProof/>
                <w:sz w:val="20"/>
                <w:szCs w:val="20"/>
              </w:rPr>
            </w:pPr>
          </w:p>
        </w:tc>
        <w:tc>
          <w:tcPr>
            <w:tcW w:w="976" w:type="dxa"/>
            <w:tcBorders>
              <w:top w:val="single" w:sz="4" w:space="0" w:color="auto"/>
              <w:left w:val="nil"/>
              <w:bottom w:val="single" w:sz="4" w:space="0" w:color="auto"/>
              <w:right w:val="single" w:sz="4" w:space="0" w:color="auto"/>
            </w:tcBorders>
            <w:shd w:val="clear" w:color="auto" w:fill="C6EFCE"/>
            <w:noWrap/>
          </w:tcPr>
          <w:p w14:paraId="13AD5400" w14:textId="77777777" w:rsidR="00553430" w:rsidRDefault="00553430">
            <w:pPr>
              <w:spacing w:after="200" w:line="276" w:lineRule="auto"/>
              <w:jc w:val="center"/>
              <w:rPr>
                <w:rFonts w:ascii="Times New Roman" w:eastAsia="Calibri" w:hAnsi="Times New Roman" w:cs="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7B7C2FFB" w14:textId="77777777" w:rsidR="00553430" w:rsidRDefault="00212577">
            <w:pPr>
              <w:pStyle w:val="P68B1DB1-Normal66"/>
              <w:spacing w:after="200" w:line="276" w:lineRule="auto"/>
              <w:jc w:val="center"/>
              <w:rPr>
                <w:noProof/>
              </w:rPr>
            </w:pPr>
            <w:r>
              <w:rPr>
                <w:noProof/>
              </w:rPr>
              <w:t>T1</w:t>
            </w:r>
          </w:p>
        </w:tc>
        <w:tc>
          <w:tcPr>
            <w:tcW w:w="895" w:type="dxa"/>
            <w:tcBorders>
              <w:top w:val="single" w:sz="4" w:space="0" w:color="auto"/>
              <w:left w:val="nil"/>
              <w:bottom w:val="single" w:sz="4" w:space="0" w:color="auto"/>
              <w:right w:val="single" w:sz="4" w:space="0" w:color="auto"/>
            </w:tcBorders>
            <w:shd w:val="clear" w:color="auto" w:fill="C6EFCE"/>
            <w:noWrap/>
          </w:tcPr>
          <w:p w14:paraId="6649A1EC" w14:textId="77777777" w:rsidR="00553430" w:rsidRDefault="00212577">
            <w:pPr>
              <w:pStyle w:val="P68B1DB1-Normal66"/>
              <w:spacing w:after="200" w:line="276" w:lineRule="auto"/>
              <w:jc w:val="center"/>
              <w:rPr>
                <w:noProof/>
              </w:rPr>
            </w:pPr>
            <w:r>
              <w:rPr>
                <w:noProof/>
              </w:rPr>
              <w:t>2026</w:t>
            </w:r>
          </w:p>
        </w:tc>
        <w:tc>
          <w:tcPr>
            <w:tcW w:w="3827" w:type="dxa"/>
            <w:tcBorders>
              <w:top w:val="single" w:sz="4" w:space="0" w:color="auto"/>
              <w:left w:val="nil"/>
              <w:bottom w:val="single" w:sz="4" w:space="0" w:color="auto"/>
              <w:right w:val="single" w:sz="4" w:space="0" w:color="auto"/>
            </w:tcBorders>
            <w:shd w:val="clear" w:color="auto" w:fill="C6EFCE"/>
            <w:noWrap/>
          </w:tcPr>
          <w:p w14:paraId="31D5D0BF" w14:textId="4E1AE2E5" w:rsidR="00553430" w:rsidRDefault="00212577">
            <w:pPr>
              <w:pStyle w:val="P68B1DB1-Normal66"/>
              <w:spacing w:after="200" w:line="276" w:lineRule="auto"/>
              <w:rPr>
                <w:noProof/>
              </w:rPr>
            </w:pPr>
            <w:r>
              <w:rPr>
                <w:noProof/>
              </w:rPr>
              <w:t>L'achat de nouveaux équipements médicaux et non médicaux pour le Centre hospitalier clinique (KBC) de Zagre</w:t>
            </w:r>
            <w:r>
              <w:rPr>
                <w:noProof/>
              </w:rPr>
              <w:t>b. .</w:t>
            </w:r>
          </w:p>
        </w:tc>
      </w:tr>
      <w:tr w:rsidR="00553430" w14:paraId="7859569D"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D08622E" w14:textId="77777777" w:rsidR="00553430" w:rsidRDefault="00212577">
            <w:pPr>
              <w:pStyle w:val="P68B1DB1-Normal66"/>
              <w:spacing w:after="200" w:line="276" w:lineRule="auto"/>
              <w:jc w:val="center"/>
              <w:rPr>
                <w:noProof/>
              </w:rPr>
            </w:pPr>
            <w:r>
              <w:rPr>
                <w:noProof/>
              </w:rPr>
              <w:t>329</w:t>
            </w:r>
          </w:p>
        </w:tc>
        <w:tc>
          <w:tcPr>
            <w:tcW w:w="1208" w:type="dxa"/>
            <w:tcBorders>
              <w:top w:val="single" w:sz="4" w:space="0" w:color="auto"/>
              <w:left w:val="nil"/>
              <w:bottom w:val="single" w:sz="4" w:space="0" w:color="auto"/>
              <w:right w:val="single" w:sz="4" w:space="0" w:color="auto"/>
            </w:tcBorders>
            <w:shd w:val="clear" w:color="auto" w:fill="C6EFCE"/>
            <w:noWrap/>
          </w:tcPr>
          <w:p w14:paraId="55AB66C9" w14:textId="77777777" w:rsidR="00553430" w:rsidRDefault="00212577">
            <w:pPr>
              <w:pStyle w:val="P68B1DB1-Normal66"/>
              <w:spacing w:after="200" w:line="276" w:lineRule="auto"/>
              <w:jc w:val="center"/>
              <w:rPr>
                <w:noProof/>
              </w:rPr>
            </w:pPr>
            <w:r>
              <w:rPr>
                <w:noProof/>
              </w:rPr>
              <w:t>C5.1. R2</w:t>
            </w:r>
          </w:p>
        </w:tc>
        <w:tc>
          <w:tcPr>
            <w:tcW w:w="1019" w:type="dxa"/>
            <w:tcBorders>
              <w:top w:val="single" w:sz="4" w:space="0" w:color="auto"/>
              <w:left w:val="nil"/>
              <w:bottom w:val="single" w:sz="4" w:space="0" w:color="auto"/>
              <w:right w:val="single" w:sz="4" w:space="0" w:color="auto"/>
            </w:tcBorders>
            <w:shd w:val="clear" w:color="auto" w:fill="C6EFCE"/>
            <w:noWrap/>
          </w:tcPr>
          <w:p w14:paraId="2B931253" w14:textId="77777777" w:rsidR="00553430" w:rsidRDefault="00212577">
            <w:pPr>
              <w:pStyle w:val="P68B1DB1-Normal66"/>
              <w:spacing w:after="200" w:line="276" w:lineRule="auto"/>
              <w:jc w:val="center"/>
              <w:rPr>
                <w:noProof/>
              </w:rPr>
            </w:pPr>
            <w:r>
              <w:rPr>
                <w:noProof/>
              </w:rPr>
              <w:t>M</w:t>
            </w:r>
          </w:p>
        </w:tc>
        <w:tc>
          <w:tcPr>
            <w:tcW w:w="1888" w:type="dxa"/>
            <w:tcBorders>
              <w:top w:val="single" w:sz="4" w:space="0" w:color="auto"/>
              <w:left w:val="nil"/>
              <w:bottom w:val="single" w:sz="4" w:space="0" w:color="auto"/>
              <w:right w:val="single" w:sz="4" w:space="0" w:color="auto"/>
            </w:tcBorders>
            <w:shd w:val="clear" w:color="auto" w:fill="C6EFCE"/>
            <w:noWrap/>
          </w:tcPr>
          <w:p w14:paraId="4432C3CF" w14:textId="77777777" w:rsidR="00553430" w:rsidRDefault="00212577">
            <w:pPr>
              <w:pStyle w:val="P68B1DB1-Normal66"/>
              <w:spacing w:after="200" w:line="276" w:lineRule="auto"/>
              <w:rPr>
                <w:noProof/>
              </w:rPr>
            </w:pPr>
            <w:r>
              <w:rPr>
                <w:noProof/>
              </w:rPr>
              <w:t>Améliorer et harmoniser la qualité des soins de santé en élaborant des lignes directrices cliniques en ligne</w:t>
            </w:r>
          </w:p>
        </w:tc>
        <w:tc>
          <w:tcPr>
            <w:tcW w:w="1985" w:type="dxa"/>
            <w:tcBorders>
              <w:top w:val="single" w:sz="4" w:space="0" w:color="auto"/>
              <w:left w:val="nil"/>
              <w:bottom w:val="single" w:sz="4" w:space="0" w:color="auto"/>
              <w:right w:val="single" w:sz="4" w:space="0" w:color="auto"/>
            </w:tcBorders>
            <w:shd w:val="clear" w:color="auto" w:fill="C6EFCE"/>
            <w:noWrap/>
          </w:tcPr>
          <w:p w14:paraId="6A8EA4E1" w14:textId="77777777" w:rsidR="00553430" w:rsidRDefault="00212577">
            <w:pPr>
              <w:pStyle w:val="P68B1DB1-Normal66"/>
              <w:spacing w:after="200" w:line="276" w:lineRule="auto"/>
              <w:rPr>
                <w:noProof/>
              </w:rPr>
            </w:pPr>
            <w:r>
              <w:rPr>
                <w:noProof/>
              </w:rPr>
              <w:t xml:space="preserve">Lignes directrices cliniques élaborées et intégrées dans les lignes directrices électroniques du système de santé croate par le ministère de la Santé (MIZ). </w:t>
            </w:r>
          </w:p>
        </w:tc>
        <w:tc>
          <w:tcPr>
            <w:tcW w:w="1296" w:type="dxa"/>
            <w:tcBorders>
              <w:top w:val="single" w:sz="4" w:space="0" w:color="auto"/>
              <w:left w:val="nil"/>
              <w:bottom w:val="single" w:sz="4" w:space="0" w:color="auto"/>
              <w:right w:val="single" w:sz="4" w:space="0" w:color="auto"/>
            </w:tcBorders>
            <w:shd w:val="clear" w:color="auto" w:fill="C6EFCE"/>
            <w:noWrap/>
          </w:tcPr>
          <w:p w14:paraId="7D582CEB" w14:textId="77777777" w:rsidR="00553430" w:rsidRDefault="00212577">
            <w:pPr>
              <w:pStyle w:val="P68B1DB1-Normal66"/>
              <w:spacing w:after="200" w:line="276" w:lineRule="auto"/>
              <w:jc w:val="center"/>
              <w:rPr>
                <w:noProof/>
              </w:rPr>
            </w:pPr>
            <w:r>
              <w:rPr>
                <w:noProof/>
              </w:rPr>
              <w:t> </w:t>
            </w:r>
          </w:p>
        </w:tc>
        <w:tc>
          <w:tcPr>
            <w:tcW w:w="1087" w:type="dxa"/>
            <w:tcBorders>
              <w:top w:val="single" w:sz="4" w:space="0" w:color="auto"/>
              <w:left w:val="nil"/>
              <w:bottom w:val="single" w:sz="4" w:space="0" w:color="auto"/>
              <w:right w:val="single" w:sz="4" w:space="0" w:color="auto"/>
            </w:tcBorders>
            <w:shd w:val="clear" w:color="auto" w:fill="C6EFCE"/>
            <w:noWrap/>
          </w:tcPr>
          <w:p w14:paraId="3AC023C4" w14:textId="77777777" w:rsidR="00553430" w:rsidRDefault="00212577">
            <w:pPr>
              <w:pStyle w:val="P68B1DB1-Normal66"/>
              <w:spacing w:after="200" w:line="276" w:lineRule="auto"/>
              <w:jc w:val="center"/>
              <w:rPr>
                <w:noProof/>
              </w:rPr>
            </w:pPr>
            <w:r>
              <w:rPr>
                <w:noProof/>
              </w:rPr>
              <w:t> </w:t>
            </w:r>
          </w:p>
        </w:tc>
        <w:tc>
          <w:tcPr>
            <w:tcW w:w="976" w:type="dxa"/>
            <w:tcBorders>
              <w:top w:val="single" w:sz="4" w:space="0" w:color="auto"/>
              <w:left w:val="nil"/>
              <w:bottom w:val="single" w:sz="4" w:space="0" w:color="auto"/>
              <w:right w:val="single" w:sz="4" w:space="0" w:color="auto"/>
            </w:tcBorders>
            <w:shd w:val="clear" w:color="auto" w:fill="C6EFCE"/>
            <w:noWrap/>
          </w:tcPr>
          <w:p w14:paraId="7828DB5C" w14:textId="77777777" w:rsidR="00553430" w:rsidRDefault="00212577">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52744B5C" w14:textId="77777777" w:rsidR="00553430" w:rsidRDefault="00212577">
            <w:pPr>
              <w:pStyle w:val="P68B1DB1-Normal66"/>
              <w:spacing w:after="200" w:line="276" w:lineRule="auto"/>
              <w:jc w:val="center"/>
              <w:rPr>
                <w:noProof/>
              </w:rPr>
            </w:pPr>
            <w:r>
              <w:rPr>
                <w:noProof/>
              </w:rPr>
              <w:t>T3</w:t>
            </w:r>
          </w:p>
        </w:tc>
        <w:tc>
          <w:tcPr>
            <w:tcW w:w="895" w:type="dxa"/>
            <w:tcBorders>
              <w:top w:val="single" w:sz="4" w:space="0" w:color="auto"/>
              <w:left w:val="nil"/>
              <w:bottom w:val="single" w:sz="4" w:space="0" w:color="auto"/>
              <w:right w:val="single" w:sz="4" w:space="0" w:color="auto"/>
            </w:tcBorders>
            <w:shd w:val="clear" w:color="auto" w:fill="C6EFCE"/>
            <w:noWrap/>
          </w:tcPr>
          <w:p w14:paraId="527BFAD6" w14:textId="77777777" w:rsidR="00553430" w:rsidRDefault="00212577">
            <w:pPr>
              <w:pStyle w:val="P68B1DB1-Normal66"/>
              <w:spacing w:after="200" w:line="276" w:lineRule="auto"/>
              <w:jc w:val="center"/>
              <w:rPr>
                <w:noProof/>
              </w:rPr>
            </w:pPr>
            <w:r>
              <w:rPr>
                <w:noProof/>
              </w:rPr>
              <w:t>2025</w:t>
            </w:r>
          </w:p>
        </w:tc>
        <w:tc>
          <w:tcPr>
            <w:tcW w:w="3827" w:type="dxa"/>
            <w:tcBorders>
              <w:top w:val="single" w:sz="4" w:space="0" w:color="auto"/>
              <w:left w:val="nil"/>
              <w:bottom w:val="single" w:sz="4" w:space="0" w:color="auto"/>
              <w:right w:val="single" w:sz="4" w:space="0" w:color="auto"/>
            </w:tcBorders>
            <w:shd w:val="clear" w:color="auto" w:fill="C6EFCE"/>
            <w:noWrap/>
          </w:tcPr>
          <w:p w14:paraId="7952CB97" w14:textId="77777777" w:rsidR="00553430" w:rsidRDefault="00212577">
            <w:pPr>
              <w:pStyle w:val="P68B1DB1-Normal66"/>
              <w:spacing w:after="200" w:line="276" w:lineRule="auto"/>
              <w:rPr>
                <w:noProof/>
              </w:rPr>
            </w:pPr>
            <w:r>
              <w:rPr>
                <w:noProof/>
              </w:rPr>
              <w:t>Le ministère de la santé (MIZ) élabore et intègre dans le système de santé croate de</w:t>
            </w:r>
            <w:r>
              <w:rPr>
                <w:noProof/>
              </w:rPr>
              <w:t xml:space="preserve">s lignes directrices cliniques ainsi que des lignes directrices électroniques harmonisant la qualité des soins de santé. </w:t>
            </w:r>
          </w:p>
        </w:tc>
      </w:tr>
      <w:tr w:rsidR="00553430" w14:paraId="0619C687"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65CC17E" w14:textId="77777777" w:rsidR="00553430" w:rsidRDefault="00212577">
            <w:pPr>
              <w:pStyle w:val="P68B1DB1-Normal66"/>
              <w:spacing w:after="200" w:line="276" w:lineRule="auto"/>
              <w:jc w:val="center"/>
              <w:rPr>
                <w:noProof/>
              </w:rPr>
            </w:pPr>
            <w:r>
              <w:rPr>
                <w:noProof/>
              </w:rPr>
              <w:t>331</w:t>
            </w:r>
          </w:p>
        </w:tc>
        <w:tc>
          <w:tcPr>
            <w:tcW w:w="1208" w:type="dxa"/>
            <w:tcBorders>
              <w:top w:val="single" w:sz="4" w:space="0" w:color="auto"/>
              <w:left w:val="nil"/>
              <w:bottom w:val="single" w:sz="4" w:space="0" w:color="auto"/>
              <w:right w:val="single" w:sz="4" w:space="0" w:color="auto"/>
            </w:tcBorders>
            <w:shd w:val="clear" w:color="auto" w:fill="C6EFCE"/>
            <w:noWrap/>
          </w:tcPr>
          <w:p w14:paraId="7F77CD5F" w14:textId="77777777" w:rsidR="00553430" w:rsidRDefault="00212577">
            <w:pPr>
              <w:pStyle w:val="P68B1DB1-Normal66"/>
              <w:spacing w:after="200" w:line="276" w:lineRule="auto"/>
              <w:jc w:val="center"/>
              <w:rPr>
                <w:noProof/>
              </w:rPr>
            </w:pPr>
            <w:r>
              <w:rPr>
                <w:noProof/>
              </w:rPr>
              <w:t>C5.1. R2-I1</w:t>
            </w:r>
          </w:p>
        </w:tc>
        <w:tc>
          <w:tcPr>
            <w:tcW w:w="1019" w:type="dxa"/>
            <w:tcBorders>
              <w:top w:val="single" w:sz="4" w:space="0" w:color="auto"/>
              <w:left w:val="nil"/>
              <w:bottom w:val="single" w:sz="4" w:space="0" w:color="auto"/>
              <w:right w:val="single" w:sz="4" w:space="0" w:color="auto"/>
            </w:tcBorders>
            <w:shd w:val="clear" w:color="auto" w:fill="C6EFCE"/>
            <w:noWrap/>
          </w:tcPr>
          <w:p w14:paraId="320EA41B" w14:textId="77777777" w:rsidR="00553430" w:rsidRDefault="00212577">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76BA7D8A" w14:textId="77777777" w:rsidR="00553430" w:rsidRDefault="00212577">
            <w:pPr>
              <w:pStyle w:val="P68B1DB1-Normal66"/>
              <w:spacing w:after="200" w:line="276" w:lineRule="auto"/>
              <w:rPr>
                <w:noProof/>
              </w:rPr>
            </w:pPr>
            <w:r>
              <w:rPr>
                <w:noProof/>
              </w:rPr>
              <w:t xml:space="preserve">Améliorer la qualité de la radiothérapie oncologique </w:t>
            </w:r>
          </w:p>
        </w:tc>
        <w:tc>
          <w:tcPr>
            <w:tcW w:w="1985" w:type="dxa"/>
            <w:tcBorders>
              <w:top w:val="single" w:sz="4" w:space="0" w:color="auto"/>
              <w:left w:val="nil"/>
              <w:bottom w:val="single" w:sz="4" w:space="0" w:color="auto"/>
              <w:right w:val="single" w:sz="4" w:space="0" w:color="auto"/>
            </w:tcBorders>
            <w:shd w:val="clear" w:color="auto" w:fill="C6EFCE"/>
            <w:noWrap/>
          </w:tcPr>
          <w:p w14:paraId="6B6F2040" w14:textId="77777777" w:rsidR="00553430" w:rsidRDefault="00212577">
            <w:pPr>
              <w:pStyle w:val="P68B1DB1-Normal66"/>
              <w:spacing w:after="200" w:line="276" w:lineRule="auto"/>
              <w:rPr>
                <w:noProof/>
              </w:rPr>
            </w:pPr>
            <w:r>
              <w:rPr>
                <w:noProof/>
              </w:rPr>
              <w:t> </w:t>
            </w:r>
          </w:p>
        </w:tc>
        <w:tc>
          <w:tcPr>
            <w:tcW w:w="1296" w:type="dxa"/>
            <w:tcBorders>
              <w:top w:val="single" w:sz="4" w:space="0" w:color="auto"/>
              <w:left w:val="nil"/>
              <w:bottom w:val="single" w:sz="4" w:space="0" w:color="auto"/>
              <w:right w:val="single" w:sz="4" w:space="0" w:color="auto"/>
            </w:tcBorders>
            <w:shd w:val="clear" w:color="auto" w:fill="C6EFCE"/>
            <w:noWrap/>
          </w:tcPr>
          <w:p w14:paraId="213520AD" w14:textId="77777777" w:rsidR="00553430" w:rsidRDefault="00212577">
            <w:pPr>
              <w:pStyle w:val="P68B1DB1-Normal66"/>
              <w:spacing w:after="200" w:line="276" w:lineRule="auto"/>
              <w:jc w:val="center"/>
              <w:rPr>
                <w:noProof/>
              </w:rPr>
            </w:pPr>
            <w:r>
              <w:rPr>
                <w:noProof/>
              </w:rPr>
              <w:t>Numéro</w:t>
            </w:r>
          </w:p>
        </w:tc>
        <w:tc>
          <w:tcPr>
            <w:tcW w:w="1087" w:type="dxa"/>
            <w:tcBorders>
              <w:top w:val="single" w:sz="4" w:space="0" w:color="auto"/>
              <w:left w:val="nil"/>
              <w:bottom w:val="single" w:sz="4" w:space="0" w:color="auto"/>
              <w:right w:val="single" w:sz="4" w:space="0" w:color="auto"/>
            </w:tcBorders>
            <w:shd w:val="clear" w:color="auto" w:fill="C6EFCE"/>
            <w:noWrap/>
          </w:tcPr>
          <w:p w14:paraId="0E335635"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627EDC0F" w14:textId="77777777" w:rsidR="00553430" w:rsidRDefault="00212577">
            <w:pPr>
              <w:pStyle w:val="P68B1DB1-Normal66"/>
              <w:spacing w:after="200" w:line="276" w:lineRule="auto"/>
              <w:jc w:val="center"/>
              <w:rPr>
                <w:noProof/>
              </w:rPr>
            </w:pPr>
            <w:r>
              <w:rPr>
                <w:noProof/>
              </w:rPr>
              <w:t>6</w:t>
            </w:r>
          </w:p>
        </w:tc>
        <w:tc>
          <w:tcPr>
            <w:tcW w:w="756" w:type="dxa"/>
            <w:tcBorders>
              <w:top w:val="single" w:sz="4" w:space="0" w:color="auto"/>
              <w:left w:val="nil"/>
              <w:bottom w:val="single" w:sz="4" w:space="0" w:color="auto"/>
              <w:right w:val="single" w:sz="4" w:space="0" w:color="auto"/>
            </w:tcBorders>
            <w:shd w:val="clear" w:color="auto" w:fill="C6EFCE"/>
            <w:noWrap/>
          </w:tcPr>
          <w:p w14:paraId="37CD1D1E" w14:textId="77777777" w:rsidR="00553430" w:rsidRDefault="00212577">
            <w:pPr>
              <w:pStyle w:val="P68B1DB1-Normal66"/>
              <w:spacing w:after="200" w:line="276" w:lineRule="auto"/>
              <w:jc w:val="center"/>
              <w:rPr>
                <w:noProof/>
              </w:rPr>
            </w:pPr>
            <w:r>
              <w:rPr>
                <w:noProof/>
              </w:rPr>
              <w:t>T4</w:t>
            </w:r>
          </w:p>
        </w:tc>
        <w:tc>
          <w:tcPr>
            <w:tcW w:w="895" w:type="dxa"/>
            <w:tcBorders>
              <w:top w:val="single" w:sz="4" w:space="0" w:color="auto"/>
              <w:left w:val="nil"/>
              <w:bottom w:val="single" w:sz="4" w:space="0" w:color="auto"/>
              <w:right w:val="single" w:sz="4" w:space="0" w:color="auto"/>
            </w:tcBorders>
            <w:shd w:val="clear" w:color="auto" w:fill="C6EFCE"/>
            <w:noWrap/>
          </w:tcPr>
          <w:p w14:paraId="52E2D06E" w14:textId="77777777" w:rsidR="00553430" w:rsidRDefault="00212577">
            <w:pPr>
              <w:pStyle w:val="P68B1DB1-Normal66"/>
              <w:spacing w:after="200" w:line="276" w:lineRule="auto"/>
              <w:jc w:val="center"/>
              <w:rPr>
                <w:noProof/>
              </w:rPr>
            </w:pPr>
            <w:r>
              <w:rPr>
                <w:noProof/>
              </w:rPr>
              <w:t>2025</w:t>
            </w:r>
          </w:p>
        </w:tc>
        <w:tc>
          <w:tcPr>
            <w:tcW w:w="3827" w:type="dxa"/>
            <w:tcBorders>
              <w:top w:val="single" w:sz="4" w:space="0" w:color="auto"/>
              <w:left w:val="nil"/>
              <w:bottom w:val="single" w:sz="4" w:space="0" w:color="auto"/>
              <w:right w:val="single" w:sz="4" w:space="0" w:color="auto"/>
            </w:tcBorders>
            <w:shd w:val="clear" w:color="auto" w:fill="C6EFCE"/>
            <w:noWrap/>
          </w:tcPr>
          <w:p w14:paraId="6262DF34" w14:textId="3DA4C10B" w:rsidR="00553430" w:rsidRDefault="00212577">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 xml:space="preserve">Six hôpitaux seront équipés de </w:t>
            </w:r>
            <w:r>
              <w:rPr>
                <w:rFonts w:ascii="Times New Roman" w:eastAsia="Calibri" w:hAnsi="Times New Roman" w:cs="Times New Roman"/>
                <w:noProof/>
                <w:color w:val="000000" w:themeColor="text1"/>
              </w:rPr>
              <w:t>dispositifs médicaux de prévention, de diagnostic et de traitement du cancer. L’investissement comprend la construction de huit bunkers pour accélérateurs linéaires d’implantation, de 17 accélérateurs linéaires VMAT, de quatre accélérateurs linéaires SBRT,</w:t>
            </w:r>
            <w:r>
              <w:rPr>
                <w:rFonts w:ascii="Times New Roman" w:eastAsia="Calibri" w:hAnsi="Times New Roman" w:cs="Times New Roman"/>
                <w:noProof/>
                <w:color w:val="000000" w:themeColor="text1"/>
              </w:rPr>
              <w:t xml:space="preserve"> de quatre accélérateurs de brachythérapie HDR, de neuf simulateurs de tomodensitométrie, d’équipements de réseau de radiothérapie, d’équipements de dosimétrie et d’équipements de fixation.</w:t>
            </w:r>
            <w:r>
              <w:rPr>
                <w:rFonts w:ascii="Times New Roman" w:eastAsia="Times New Roman" w:hAnsi="Times New Roman" w:cs="Times New Roman"/>
                <w:noProof/>
              </w:rPr>
              <w:t xml:space="preserve"> </w:t>
            </w:r>
          </w:p>
        </w:tc>
      </w:tr>
      <w:tr w:rsidR="00553430" w14:paraId="67DE4B6E"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5E1ED74" w14:textId="77777777" w:rsidR="00553430" w:rsidRDefault="00212577">
            <w:pPr>
              <w:pStyle w:val="P68B1DB1-Normal66"/>
              <w:spacing w:after="200" w:line="276" w:lineRule="auto"/>
              <w:jc w:val="center"/>
              <w:rPr>
                <w:noProof/>
              </w:rPr>
            </w:pPr>
            <w:r>
              <w:rPr>
                <w:noProof/>
              </w:rPr>
              <w:t>332</w:t>
            </w:r>
          </w:p>
        </w:tc>
        <w:tc>
          <w:tcPr>
            <w:tcW w:w="1208" w:type="dxa"/>
            <w:tcBorders>
              <w:top w:val="single" w:sz="4" w:space="0" w:color="auto"/>
              <w:left w:val="nil"/>
              <w:bottom w:val="single" w:sz="4" w:space="0" w:color="auto"/>
              <w:right w:val="single" w:sz="4" w:space="0" w:color="auto"/>
            </w:tcBorders>
            <w:shd w:val="clear" w:color="auto" w:fill="C6EFCE"/>
            <w:noWrap/>
          </w:tcPr>
          <w:p w14:paraId="675F4EC2" w14:textId="77777777" w:rsidR="00553430" w:rsidRDefault="00212577">
            <w:pPr>
              <w:pStyle w:val="P68B1DB1-Normal66"/>
              <w:spacing w:after="200" w:line="276" w:lineRule="auto"/>
              <w:jc w:val="center"/>
              <w:rPr>
                <w:noProof/>
              </w:rPr>
            </w:pPr>
            <w:r>
              <w:rPr>
                <w:noProof/>
              </w:rPr>
              <w:t>C5.1. R2-I2</w:t>
            </w:r>
          </w:p>
        </w:tc>
        <w:tc>
          <w:tcPr>
            <w:tcW w:w="1019" w:type="dxa"/>
            <w:tcBorders>
              <w:top w:val="single" w:sz="4" w:space="0" w:color="auto"/>
              <w:left w:val="nil"/>
              <w:bottom w:val="single" w:sz="4" w:space="0" w:color="auto"/>
              <w:right w:val="single" w:sz="4" w:space="0" w:color="auto"/>
            </w:tcBorders>
            <w:shd w:val="clear" w:color="auto" w:fill="C6EFCE"/>
            <w:noWrap/>
          </w:tcPr>
          <w:p w14:paraId="4E5D5D97" w14:textId="77777777" w:rsidR="00553430" w:rsidRDefault="00212577">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6EDC4005" w14:textId="7CEA29F2" w:rsidR="00553430" w:rsidRDefault="00212577">
            <w:pPr>
              <w:pStyle w:val="P68B1DB1-Normal66"/>
              <w:spacing w:after="200" w:line="276" w:lineRule="auto"/>
              <w:rPr>
                <w:noProof/>
              </w:rPr>
            </w:pPr>
            <w:r>
              <w:rPr>
                <w:noProof/>
              </w:rPr>
              <w:t xml:space="preserve">Plateforme informatique unique pour le suivi des patients oncologiques </w:t>
            </w:r>
          </w:p>
        </w:tc>
        <w:tc>
          <w:tcPr>
            <w:tcW w:w="1985" w:type="dxa"/>
            <w:tcBorders>
              <w:top w:val="single" w:sz="4" w:space="0" w:color="auto"/>
              <w:left w:val="nil"/>
              <w:bottom w:val="single" w:sz="4" w:space="0" w:color="auto"/>
              <w:right w:val="single" w:sz="4" w:space="0" w:color="auto"/>
            </w:tcBorders>
            <w:shd w:val="clear" w:color="auto" w:fill="C6EFCE"/>
            <w:noWrap/>
          </w:tcPr>
          <w:p w14:paraId="1290FBAD" w14:textId="77777777" w:rsidR="00553430" w:rsidRDefault="00212577">
            <w:pPr>
              <w:pStyle w:val="P68B1DB1-Normal66"/>
              <w:spacing w:after="200" w:line="276" w:lineRule="auto"/>
              <w:rPr>
                <w:noProof/>
              </w:rPr>
            </w:pPr>
            <w:r>
              <w:rPr>
                <w:noProof/>
              </w:rPr>
              <w:t> </w:t>
            </w:r>
          </w:p>
        </w:tc>
        <w:tc>
          <w:tcPr>
            <w:tcW w:w="1296" w:type="dxa"/>
            <w:tcBorders>
              <w:top w:val="single" w:sz="4" w:space="0" w:color="auto"/>
              <w:left w:val="nil"/>
              <w:bottom w:val="single" w:sz="4" w:space="0" w:color="auto"/>
              <w:right w:val="single" w:sz="4" w:space="0" w:color="auto"/>
            </w:tcBorders>
            <w:shd w:val="clear" w:color="auto" w:fill="C6EFCE"/>
            <w:noWrap/>
          </w:tcPr>
          <w:p w14:paraId="5F13D910" w14:textId="77777777" w:rsidR="00553430" w:rsidRDefault="00212577">
            <w:pPr>
              <w:pStyle w:val="P68B1DB1-Normal66"/>
              <w:spacing w:after="200" w:line="276" w:lineRule="auto"/>
              <w:jc w:val="center"/>
              <w:rPr>
                <w:noProof/>
              </w:rPr>
            </w:pPr>
            <w:r>
              <w:rPr>
                <w:noProof/>
              </w:rPr>
              <w:t>Numéro</w:t>
            </w:r>
          </w:p>
        </w:tc>
        <w:tc>
          <w:tcPr>
            <w:tcW w:w="1087" w:type="dxa"/>
            <w:tcBorders>
              <w:top w:val="single" w:sz="4" w:space="0" w:color="auto"/>
              <w:left w:val="nil"/>
              <w:bottom w:val="single" w:sz="4" w:space="0" w:color="auto"/>
              <w:right w:val="single" w:sz="4" w:space="0" w:color="auto"/>
            </w:tcBorders>
            <w:shd w:val="clear" w:color="auto" w:fill="C6EFCE"/>
            <w:noWrap/>
          </w:tcPr>
          <w:p w14:paraId="177B2404"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6A2161D3" w14:textId="77777777" w:rsidR="00553430" w:rsidRDefault="00212577">
            <w:pPr>
              <w:pStyle w:val="P68B1DB1-Normal66"/>
              <w:spacing w:after="200" w:line="276" w:lineRule="auto"/>
              <w:jc w:val="center"/>
              <w:rPr>
                <w:noProof/>
              </w:rPr>
            </w:pPr>
            <w:r>
              <w:rPr>
                <w:noProof/>
              </w:rPr>
              <w:t>1</w:t>
            </w:r>
          </w:p>
        </w:tc>
        <w:tc>
          <w:tcPr>
            <w:tcW w:w="756" w:type="dxa"/>
            <w:tcBorders>
              <w:top w:val="single" w:sz="4" w:space="0" w:color="auto"/>
              <w:left w:val="nil"/>
              <w:bottom w:val="single" w:sz="4" w:space="0" w:color="auto"/>
              <w:right w:val="single" w:sz="4" w:space="0" w:color="auto"/>
            </w:tcBorders>
            <w:shd w:val="clear" w:color="auto" w:fill="C6EFCE"/>
            <w:noWrap/>
          </w:tcPr>
          <w:p w14:paraId="1DB2DA95" w14:textId="77777777" w:rsidR="00553430" w:rsidRDefault="00212577">
            <w:pPr>
              <w:pStyle w:val="P68B1DB1-Normal66"/>
              <w:spacing w:after="200" w:line="276" w:lineRule="auto"/>
              <w:jc w:val="center"/>
              <w:rPr>
                <w:noProof/>
              </w:rPr>
            </w:pPr>
            <w:r>
              <w:rPr>
                <w:noProof/>
              </w:rPr>
              <w:t>T4</w:t>
            </w:r>
          </w:p>
        </w:tc>
        <w:tc>
          <w:tcPr>
            <w:tcW w:w="895" w:type="dxa"/>
            <w:tcBorders>
              <w:top w:val="single" w:sz="4" w:space="0" w:color="auto"/>
              <w:left w:val="nil"/>
              <w:bottom w:val="single" w:sz="4" w:space="0" w:color="auto"/>
              <w:right w:val="single" w:sz="4" w:space="0" w:color="auto"/>
            </w:tcBorders>
            <w:shd w:val="clear" w:color="auto" w:fill="C6EFCE"/>
            <w:noWrap/>
          </w:tcPr>
          <w:p w14:paraId="7178546D" w14:textId="77777777" w:rsidR="00553430" w:rsidRDefault="00212577">
            <w:pPr>
              <w:pStyle w:val="P68B1DB1-Normal66"/>
              <w:spacing w:after="200" w:line="276" w:lineRule="auto"/>
              <w:jc w:val="center"/>
              <w:rPr>
                <w:noProof/>
              </w:rPr>
            </w:pPr>
            <w:r>
              <w:rPr>
                <w:noProof/>
              </w:rPr>
              <w:t>2025</w:t>
            </w:r>
          </w:p>
        </w:tc>
        <w:tc>
          <w:tcPr>
            <w:tcW w:w="3827" w:type="dxa"/>
            <w:tcBorders>
              <w:top w:val="single" w:sz="4" w:space="0" w:color="auto"/>
              <w:left w:val="nil"/>
              <w:bottom w:val="single" w:sz="4" w:space="0" w:color="auto"/>
              <w:right w:val="single" w:sz="4" w:space="0" w:color="auto"/>
            </w:tcBorders>
            <w:shd w:val="clear" w:color="auto" w:fill="C6EFCE"/>
            <w:noWrap/>
          </w:tcPr>
          <w:p w14:paraId="304BD2AF" w14:textId="77777777" w:rsidR="00553430" w:rsidRDefault="00212577">
            <w:pPr>
              <w:pStyle w:val="P68B1DB1-Normal66"/>
              <w:spacing w:after="200" w:line="276" w:lineRule="auto"/>
              <w:rPr>
                <w:noProof/>
              </w:rPr>
            </w:pPr>
            <w:r>
              <w:rPr>
                <w:noProof/>
              </w:rPr>
              <w:t>La plateforme informatique uniforme permet de collecter des données de santé, de planifier les changements organisationnels et structurels et d'identifier les risq</w:t>
            </w:r>
            <w:r>
              <w:rPr>
                <w:noProof/>
              </w:rPr>
              <w:t xml:space="preserve">ues . Tous les établissements d'oncologie en Croatie sont inclus dans le réseau national d'oncologie. </w:t>
            </w:r>
          </w:p>
        </w:tc>
      </w:tr>
      <w:tr w:rsidR="00553430" w14:paraId="43AC5B78"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56009C38" w14:textId="77777777" w:rsidR="00553430" w:rsidRDefault="00212577">
            <w:pPr>
              <w:pStyle w:val="P68B1DB1-Normal66"/>
              <w:spacing w:after="200" w:line="276" w:lineRule="auto"/>
              <w:jc w:val="center"/>
              <w:rPr>
                <w:noProof/>
              </w:rPr>
            </w:pPr>
            <w:r>
              <w:rPr>
                <w:noProof/>
              </w:rPr>
              <w:t>333</w:t>
            </w:r>
          </w:p>
        </w:tc>
        <w:tc>
          <w:tcPr>
            <w:tcW w:w="1208" w:type="dxa"/>
            <w:tcBorders>
              <w:top w:val="single" w:sz="4" w:space="0" w:color="auto"/>
              <w:left w:val="nil"/>
              <w:bottom w:val="single" w:sz="4" w:space="0" w:color="auto"/>
              <w:right w:val="single" w:sz="4" w:space="0" w:color="auto"/>
            </w:tcBorders>
            <w:shd w:val="clear" w:color="auto" w:fill="C6EFCE"/>
            <w:noWrap/>
          </w:tcPr>
          <w:p w14:paraId="7075E157" w14:textId="77777777" w:rsidR="00553430" w:rsidRDefault="00212577">
            <w:pPr>
              <w:pStyle w:val="P68B1DB1-Normal66"/>
              <w:spacing w:after="200" w:line="276" w:lineRule="auto"/>
              <w:jc w:val="center"/>
              <w:rPr>
                <w:noProof/>
              </w:rPr>
            </w:pPr>
            <w:r>
              <w:rPr>
                <w:noProof/>
              </w:rPr>
              <w:t>C5.1. R3</w:t>
            </w:r>
          </w:p>
        </w:tc>
        <w:tc>
          <w:tcPr>
            <w:tcW w:w="1019" w:type="dxa"/>
            <w:tcBorders>
              <w:top w:val="single" w:sz="4" w:space="0" w:color="auto"/>
              <w:left w:val="nil"/>
              <w:bottom w:val="single" w:sz="4" w:space="0" w:color="auto"/>
              <w:right w:val="single" w:sz="4" w:space="0" w:color="auto"/>
            </w:tcBorders>
            <w:shd w:val="clear" w:color="auto" w:fill="C6EFCE"/>
            <w:noWrap/>
          </w:tcPr>
          <w:p w14:paraId="7552AE01" w14:textId="77777777" w:rsidR="00553430" w:rsidRDefault="00212577">
            <w:pPr>
              <w:pStyle w:val="P68B1DB1-Normal66"/>
              <w:spacing w:after="200" w:line="276" w:lineRule="auto"/>
              <w:jc w:val="center"/>
              <w:rPr>
                <w:noProof/>
              </w:rPr>
            </w:pPr>
            <w:r>
              <w:rPr>
                <w:noProof/>
              </w:rPr>
              <w:t>M </w:t>
            </w:r>
          </w:p>
        </w:tc>
        <w:tc>
          <w:tcPr>
            <w:tcW w:w="1888" w:type="dxa"/>
            <w:tcBorders>
              <w:top w:val="single" w:sz="4" w:space="0" w:color="auto"/>
              <w:left w:val="nil"/>
              <w:bottom w:val="single" w:sz="4" w:space="0" w:color="auto"/>
              <w:right w:val="single" w:sz="4" w:space="0" w:color="auto"/>
            </w:tcBorders>
            <w:shd w:val="clear" w:color="auto" w:fill="C6EFCE"/>
            <w:noWrap/>
          </w:tcPr>
          <w:p w14:paraId="7FEA4FAD" w14:textId="77777777" w:rsidR="00553430" w:rsidRDefault="00212577">
            <w:pPr>
              <w:pStyle w:val="P68B1DB1-Normal66"/>
              <w:spacing w:after="200" w:line="276" w:lineRule="auto"/>
              <w:rPr>
                <w:noProof/>
              </w:rPr>
            </w:pPr>
            <w:r>
              <w:rPr>
                <w:noProof/>
              </w:rPr>
              <w:t>Plan national de développement sanitaire 2021-2027</w:t>
            </w:r>
          </w:p>
        </w:tc>
        <w:tc>
          <w:tcPr>
            <w:tcW w:w="1985" w:type="dxa"/>
            <w:tcBorders>
              <w:top w:val="single" w:sz="4" w:space="0" w:color="auto"/>
              <w:left w:val="nil"/>
              <w:bottom w:val="single" w:sz="4" w:space="0" w:color="auto"/>
              <w:right w:val="single" w:sz="4" w:space="0" w:color="auto"/>
            </w:tcBorders>
            <w:shd w:val="clear" w:color="auto" w:fill="C6EFCE"/>
            <w:noWrap/>
          </w:tcPr>
          <w:p w14:paraId="5AFF8EAA" w14:textId="77777777" w:rsidR="00553430" w:rsidRDefault="00212577">
            <w:pPr>
              <w:pStyle w:val="P68B1DB1-Normal66"/>
              <w:spacing w:after="200" w:line="276" w:lineRule="auto"/>
              <w:rPr>
                <w:noProof/>
              </w:rPr>
            </w:pPr>
            <w:r>
              <w:rPr>
                <w:noProof/>
              </w:rPr>
              <w:t>Adoption du plan national de développement sanitaire 2021-2027</w:t>
            </w:r>
          </w:p>
        </w:tc>
        <w:tc>
          <w:tcPr>
            <w:tcW w:w="1296" w:type="dxa"/>
            <w:tcBorders>
              <w:top w:val="single" w:sz="4" w:space="0" w:color="auto"/>
              <w:left w:val="nil"/>
              <w:bottom w:val="single" w:sz="4" w:space="0" w:color="auto"/>
              <w:right w:val="single" w:sz="4" w:space="0" w:color="auto"/>
            </w:tcBorders>
            <w:shd w:val="clear" w:color="auto" w:fill="C6EFCE"/>
            <w:noWrap/>
          </w:tcPr>
          <w:p w14:paraId="1911027A" w14:textId="77777777" w:rsidR="00553430" w:rsidRDefault="00212577">
            <w:pPr>
              <w:pStyle w:val="P68B1DB1-Normal66"/>
              <w:spacing w:after="200" w:line="276" w:lineRule="auto"/>
              <w:jc w:val="center"/>
              <w:rPr>
                <w:noProof/>
              </w:rPr>
            </w:pPr>
            <w:r>
              <w:rPr>
                <w:noProof/>
              </w:rPr>
              <w:t> </w:t>
            </w:r>
          </w:p>
        </w:tc>
        <w:tc>
          <w:tcPr>
            <w:tcW w:w="1087" w:type="dxa"/>
            <w:tcBorders>
              <w:top w:val="single" w:sz="4" w:space="0" w:color="auto"/>
              <w:left w:val="nil"/>
              <w:bottom w:val="single" w:sz="4" w:space="0" w:color="auto"/>
              <w:right w:val="single" w:sz="4" w:space="0" w:color="auto"/>
            </w:tcBorders>
            <w:shd w:val="clear" w:color="auto" w:fill="C6EFCE"/>
            <w:noWrap/>
          </w:tcPr>
          <w:p w14:paraId="3C98B951" w14:textId="77777777" w:rsidR="00553430" w:rsidRDefault="00212577">
            <w:pPr>
              <w:pStyle w:val="P68B1DB1-Normal66"/>
              <w:spacing w:after="200" w:line="276" w:lineRule="auto"/>
              <w:jc w:val="center"/>
              <w:rPr>
                <w:noProof/>
              </w:rPr>
            </w:pPr>
            <w:r>
              <w:rPr>
                <w:noProof/>
              </w:rPr>
              <w:t> </w:t>
            </w:r>
          </w:p>
        </w:tc>
        <w:tc>
          <w:tcPr>
            <w:tcW w:w="976" w:type="dxa"/>
            <w:tcBorders>
              <w:top w:val="single" w:sz="4" w:space="0" w:color="auto"/>
              <w:left w:val="nil"/>
              <w:bottom w:val="single" w:sz="4" w:space="0" w:color="auto"/>
              <w:right w:val="single" w:sz="4" w:space="0" w:color="auto"/>
            </w:tcBorders>
            <w:shd w:val="clear" w:color="auto" w:fill="C6EFCE"/>
            <w:noWrap/>
          </w:tcPr>
          <w:p w14:paraId="4A0A3EB4" w14:textId="77777777" w:rsidR="00553430" w:rsidRDefault="00212577">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061456E9" w14:textId="77777777" w:rsidR="00553430" w:rsidRDefault="00212577">
            <w:pPr>
              <w:pStyle w:val="P68B1DB1-Normal66"/>
              <w:spacing w:after="200" w:line="276" w:lineRule="auto"/>
              <w:jc w:val="center"/>
              <w:rPr>
                <w:noProof/>
              </w:rPr>
            </w:pPr>
            <w:r>
              <w:rPr>
                <w:noProof/>
              </w:rPr>
              <w:t>T3</w:t>
            </w:r>
          </w:p>
        </w:tc>
        <w:tc>
          <w:tcPr>
            <w:tcW w:w="895" w:type="dxa"/>
            <w:tcBorders>
              <w:top w:val="single" w:sz="4" w:space="0" w:color="auto"/>
              <w:left w:val="nil"/>
              <w:bottom w:val="single" w:sz="4" w:space="0" w:color="auto"/>
              <w:right w:val="single" w:sz="4" w:space="0" w:color="auto"/>
            </w:tcBorders>
            <w:shd w:val="clear" w:color="auto" w:fill="C6EFCE"/>
            <w:noWrap/>
          </w:tcPr>
          <w:p w14:paraId="5556E21D" w14:textId="77777777" w:rsidR="00553430" w:rsidRDefault="00212577">
            <w:pPr>
              <w:pStyle w:val="P68B1DB1-Normal66"/>
              <w:spacing w:after="200" w:line="276" w:lineRule="auto"/>
              <w:jc w:val="center"/>
              <w:rPr>
                <w:noProof/>
              </w:rPr>
            </w:pPr>
            <w:r>
              <w:rPr>
                <w:noProof/>
              </w:rPr>
              <w:t>2021</w:t>
            </w:r>
          </w:p>
        </w:tc>
        <w:tc>
          <w:tcPr>
            <w:tcW w:w="3827" w:type="dxa"/>
            <w:tcBorders>
              <w:top w:val="single" w:sz="4" w:space="0" w:color="auto"/>
              <w:left w:val="nil"/>
              <w:bottom w:val="single" w:sz="4" w:space="0" w:color="auto"/>
              <w:right w:val="single" w:sz="4" w:space="0" w:color="auto"/>
            </w:tcBorders>
            <w:shd w:val="clear" w:color="auto" w:fill="C6EFCE"/>
            <w:noWrap/>
          </w:tcPr>
          <w:p w14:paraId="012D5897" w14:textId="77777777" w:rsidR="00553430" w:rsidRDefault="00212577">
            <w:pPr>
              <w:pStyle w:val="P68B1DB1-Normal66"/>
              <w:spacing w:after="200" w:line="276" w:lineRule="auto"/>
              <w:rPr>
                <w:noProof/>
              </w:rPr>
            </w:pPr>
            <w:r>
              <w:rPr>
                <w:noProof/>
              </w:rPr>
              <w:t xml:space="preserve">Le plan national de développement sanitaire 2021-2027, en tant qu’acte-cadre de planification sectorielle, définit des objectifs, des mesures, des projets et des activités spécifiques à mettre en œuvre sous les auspices du ministère de la santé (MIZ) dans </w:t>
            </w:r>
            <w:r>
              <w:rPr>
                <w:noProof/>
              </w:rPr>
              <w:t xml:space="preserve">le but principal d’améliorer le système de santé et les résultats en matière de santé. Le plan national de développement sanitaire est conforme au programme de réforme du gouvernement croate et aux orientations de la politique de cohésion de la Commission </w:t>
            </w:r>
            <w:r>
              <w:rPr>
                <w:noProof/>
              </w:rPr>
              <w:t xml:space="preserve">européenne pour la période 2021-2027. Le plan national de développement sanitaire définit les besoins de développement à moyen terme: </w:t>
            </w:r>
            <w:r>
              <w:rPr>
                <w:noProof/>
              </w:rPr>
              <w:br/>
              <w:t>Définir les besoins de développement pour parvenir à un système de soins de santé flexible, efficace et géré de manière h</w:t>
            </w:r>
            <w:r>
              <w:rPr>
                <w:noProof/>
              </w:rPr>
              <w:t>olistique;</w:t>
            </w:r>
            <w:r>
              <w:rPr>
                <w:noProof/>
              </w:rPr>
              <w:br/>
              <w:t>- Indiquer les mesures de promotion de la santé et de prévention des maladies qui ont été couronnées de succès;</w:t>
            </w:r>
            <w:r>
              <w:rPr>
                <w:noProof/>
              </w:rPr>
              <w:br/>
              <w:t xml:space="preserve">Introduire la coordination des prestataires de soins de santé et la transformation des modèles de traitement et de réadaptation vers </w:t>
            </w:r>
            <w:r>
              <w:rPr>
                <w:noProof/>
              </w:rPr>
              <w:t>une gestion active des processus de soins à tous les stades et à tous les niveaux;</w:t>
            </w:r>
            <w:r>
              <w:rPr>
                <w:noProof/>
              </w:rPr>
              <w:br/>
              <w:t>-définir l’intégration des services de santé et des services sociaux et développer des modèles intégrés de soins de longue durée;</w:t>
            </w:r>
            <w:r>
              <w:rPr>
                <w:noProof/>
              </w:rPr>
              <w:br/>
              <w:t>-l’introduction de mesures visant à contrôl</w:t>
            </w:r>
            <w:r>
              <w:rPr>
                <w:noProof/>
              </w:rPr>
              <w:t>er et à améliorer la qualité des soins de santé et la sécurité des patients;</w:t>
            </w:r>
            <w:r>
              <w:rPr>
                <w:noProof/>
              </w:rPr>
              <w:br/>
              <w:t xml:space="preserve">-Amélioration des dispositions en matière de gestion du personnel. </w:t>
            </w:r>
            <w:r>
              <w:rPr>
                <w:noProof/>
              </w:rPr>
              <w:br/>
              <w:t xml:space="preserve">-Introduire des objectifs spécifiques qui contribuent indirectement à la réalisation de l’objectif stratégique </w:t>
            </w:r>
            <w:r>
              <w:rPr>
                <w:noProof/>
              </w:rPr>
              <w:t xml:space="preserve">énoncé dans la stratégie nationale de réforme (SNR) d’ici à 2030. L’augmentation de l’espérance de vie en matière de santé est due: </w:t>
            </w:r>
            <w:r>
              <w:rPr>
                <w:noProof/>
              </w:rPr>
              <w:br/>
              <w:t>-promouvoir des modes de vie sains et la prévention des maladies qui constituent un problème de santé publique majeur;</w:t>
            </w:r>
            <w:r>
              <w:rPr>
                <w:noProof/>
              </w:rPr>
              <w:br/>
              <w:t>-amé</w:t>
            </w:r>
            <w:r>
              <w:rPr>
                <w:noProof/>
              </w:rPr>
              <w:t xml:space="preserve">liorer la qualité des soins de santé en améliorant l’efficacité, la sécurité, l’accessibilité et l’intégration fonctionnelle de tous les niveaux et parties des soins de santé; </w:t>
            </w:r>
            <w:r>
              <w:rPr>
                <w:noProof/>
              </w:rPr>
              <w:br/>
              <w:t>Introduction du nouveau modèle de soins pour les principaux défis de santé tels</w:t>
            </w:r>
            <w:r>
              <w:rPr>
                <w:noProof/>
              </w:rPr>
              <w:t xml:space="preserve"> que les maladies cardiovasculaires, oncologiques et rares, et le diabète afin de prolonger la durée et d'améliorer la qualité de vie </w:t>
            </w:r>
            <w:r>
              <w:rPr>
                <w:noProof/>
              </w:rPr>
              <w:br/>
              <w:t>Faire du système de santé un lieu d'emploi souhaitable grâce à une gouvernance stratégique, assurant ainsi le nombre et l</w:t>
            </w:r>
            <w:r>
              <w:rPr>
                <w:noProof/>
              </w:rPr>
              <w:t>a répartition optimaux des employés dans le système de santé;</w:t>
            </w:r>
            <w:r>
              <w:rPr>
                <w:noProof/>
              </w:rPr>
              <w:br/>
              <w:t>- Améliorer le modèle de financement et de gestion du système de santé.</w:t>
            </w:r>
            <w:r>
              <w:rPr>
                <w:noProof/>
              </w:rPr>
              <w:br/>
              <w:t>Afin d'atteindre les objectifs spécifiques, des mesures et des actions à mettre en œuvre sont définies. Les indicateurs de</w:t>
            </w:r>
            <w:r>
              <w:rPr>
                <w:noProof/>
              </w:rPr>
              <w:t xml:space="preserve"> résultat pour chacun des objectifs spécifiques et les indicateurs de résultat sont définis pour chacune des actions. Le plan national de développement de la santé comprend les résultats de la cartographie des besoins en matière de soins de santé et de soi</w:t>
            </w:r>
            <w:r>
              <w:rPr>
                <w:noProof/>
              </w:rPr>
              <w:t>ns sociaux dans le domaine des soins de longue durée. Le document lui-même utilise les contributions d’autres lois et programmes nationaux (cadre stratégique national de lutte contre le cancer à l’horizon 2030, plan national de développement des hôpitaux c</w:t>
            </w:r>
            <w:r>
              <w:rPr>
                <w:noProof/>
              </w:rPr>
              <w:t>liniques, des hôpitaux cliniques, des cliniques et des hôpitaux généraux en Croatie, cancer national, diabète, maladies rares) et les recommandations pour la Croatie pour 2019 et 2020.</w:t>
            </w:r>
          </w:p>
        </w:tc>
      </w:tr>
      <w:tr w:rsidR="00553430" w14:paraId="67701A74"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63DD06E" w14:textId="77777777" w:rsidR="00553430" w:rsidRDefault="00212577">
            <w:pPr>
              <w:pStyle w:val="P68B1DB1-Normal66"/>
              <w:spacing w:after="200" w:line="276" w:lineRule="auto"/>
              <w:jc w:val="center"/>
              <w:rPr>
                <w:noProof/>
              </w:rPr>
            </w:pPr>
            <w:r>
              <w:rPr>
                <w:noProof/>
              </w:rPr>
              <w:t>399</w:t>
            </w:r>
          </w:p>
        </w:tc>
        <w:tc>
          <w:tcPr>
            <w:tcW w:w="1208" w:type="dxa"/>
            <w:tcBorders>
              <w:top w:val="single" w:sz="4" w:space="0" w:color="auto"/>
              <w:left w:val="nil"/>
              <w:bottom w:val="single" w:sz="4" w:space="0" w:color="auto"/>
              <w:right w:val="single" w:sz="4" w:space="0" w:color="auto"/>
            </w:tcBorders>
            <w:shd w:val="clear" w:color="auto" w:fill="C6EFCE"/>
            <w:noWrap/>
          </w:tcPr>
          <w:p w14:paraId="4C71D5FD" w14:textId="77777777" w:rsidR="00553430" w:rsidRDefault="00212577">
            <w:pPr>
              <w:pStyle w:val="P68B1DB1-Normal66"/>
              <w:spacing w:after="200" w:line="276" w:lineRule="auto"/>
              <w:jc w:val="center"/>
              <w:rPr>
                <w:noProof/>
              </w:rPr>
            </w:pPr>
            <w:r>
              <w:rPr>
                <w:noProof/>
              </w:rPr>
              <w:t>C5.1. R3-I1</w:t>
            </w:r>
          </w:p>
        </w:tc>
        <w:tc>
          <w:tcPr>
            <w:tcW w:w="1019" w:type="dxa"/>
            <w:tcBorders>
              <w:top w:val="single" w:sz="4" w:space="0" w:color="auto"/>
              <w:left w:val="nil"/>
              <w:bottom w:val="single" w:sz="4" w:space="0" w:color="auto"/>
              <w:right w:val="single" w:sz="4" w:space="0" w:color="auto"/>
            </w:tcBorders>
            <w:shd w:val="clear" w:color="auto" w:fill="C6EFCE"/>
            <w:noWrap/>
          </w:tcPr>
          <w:p w14:paraId="462B366F" w14:textId="77777777" w:rsidR="00553430" w:rsidRDefault="00212577">
            <w:pPr>
              <w:pStyle w:val="P68B1DB1-Normal66"/>
              <w:spacing w:after="200" w:line="276" w:lineRule="auto"/>
              <w:jc w:val="center"/>
              <w:rPr>
                <w:noProof/>
              </w:rPr>
            </w:pPr>
            <w:r>
              <w:rPr>
                <w:noProof/>
              </w:rPr>
              <w:t>M</w:t>
            </w:r>
          </w:p>
        </w:tc>
        <w:tc>
          <w:tcPr>
            <w:tcW w:w="1888" w:type="dxa"/>
            <w:tcBorders>
              <w:top w:val="single" w:sz="4" w:space="0" w:color="auto"/>
              <w:left w:val="nil"/>
              <w:bottom w:val="single" w:sz="4" w:space="0" w:color="auto"/>
              <w:right w:val="single" w:sz="4" w:space="0" w:color="auto"/>
            </w:tcBorders>
            <w:shd w:val="clear" w:color="auto" w:fill="C6EFCE"/>
            <w:noWrap/>
          </w:tcPr>
          <w:p w14:paraId="02D40CE8" w14:textId="77777777" w:rsidR="00553430" w:rsidRDefault="00212577">
            <w:pPr>
              <w:pStyle w:val="P68B1DB1-Normal66"/>
              <w:spacing w:after="200" w:line="276" w:lineRule="auto"/>
              <w:rPr>
                <w:noProof/>
              </w:rPr>
            </w:pPr>
            <w:r>
              <w:rPr>
                <w:noProof/>
              </w:rPr>
              <w:t xml:space="preserve">Création d'un système de financement centralisé </w:t>
            </w:r>
            <w:r>
              <w:rPr>
                <w:noProof/>
              </w:rPr>
              <w:t>dédié à la formation médicale spécialisée</w:t>
            </w:r>
          </w:p>
        </w:tc>
        <w:tc>
          <w:tcPr>
            <w:tcW w:w="1985" w:type="dxa"/>
            <w:tcBorders>
              <w:top w:val="single" w:sz="4" w:space="0" w:color="auto"/>
              <w:left w:val="nil"/>
              <w:bottom w:val="single" w:sz="4" w:space="0" w:color="auto"/>
              <w:right w:val="single" w:sz="4" w:space="0" w:color="auto"/>
            </w:tcBorders>
            <w:shd w:val="clear" w:color="auto" w:fill="C6EFCE"/>
            <w:noWrap/>
          </w:tcPr>
          <w:p w14:paraId="1BFFC5D3" w14:textId="77777777" w:rsidR="00553430" w:rsidRDefault="00212577">
            <w:pPr>
              <w:pStyle w:val="P68B1DB1-Normal66"/>
              <w:spacing w:after="200" w:line="276" w:lineRule="auto"/>
              <w:rPr>
                <w:noProof/>
              </w:rPr>
            </w:pPr>
            <w:r>
              <w:rPr>
                <w:noProof/>
              </w:rPr>
              <w:t xml:space="preserve">Adoption de la décision par le Gouvernement </w:t>
            </w:r>
          </w:p>
        </w:tc>
        <w:tc>
          <w:tcPr>
            <w:tcW w:w="1296" w:type="dxa"/>
            <w:tcBorders>
              <w:top w:val="single" w:sz="4" w:space="0" w:color="auto"/>
              <w:left w:val="nil"/>
              <w:bottom w:val="single" w:sz="4" w:space="0" w:color="auto"/>
              <w:right w:val="single" w:sz="4" w:space="0" w:color="auto"/>
            </w:tcBorders>
            <w:shd w:val="clear" w:color="auto" w:fill="C6EFCE"/>
            <w:noWrap/>
          </w:tcPr>
          <w:p w14:paraId="3E54E335"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1087" w:type="dxa"/>
            <w:tcBorders>
              <w:top w:val="single" w:sz="4" w:space="0" w:color="auto"/>
              <w:left w:val="nil"/>
              <w:bottom w:val="single" w:sz="4" w:space="0" w:color="auto"/>
              <w:right w:val="single" w:sz="4" w:space="0" w:color="auto"/>
            </w:tcBorders>
            <w:shd w:val="clear" w:color="auto" w:fill="C6EFCE"/>
            <w:noWrap/>
          </w:tcPr>
          <w:p w14:paraId="599D3188"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976" w:type="dxa"/>
            <w:tcBorders>
              <w:top w:val="single" w:sz="4" w:space="0" w:color="auto"/>
              <w:left w:val="nil"/>
              <w:bottom w:val="single" w:sz="4" w:space="0" w:color="auto"/>
              <w:right w:val="single" w:sz="4" w:space="0" w:color="auto"/>
            </w:tcBorders>
            <w:shd w:val="clear" w:color="auto" w:fill="C6EFCE"/>
            <w:noWrap/>
          </w:tcPr>
          <w:p w14:paraId="7E8220F8"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6137BFE1" w14:textId="77777777" w:rsidR="00553430" w:rsidRDefault="00212577">
            <w:pPr>
              <w:pStyle w:val="P68B1DB1-Normal66"/>
              <w:spacing w:after="200" w:line="276" w:lineRule="auto"/>
              <w:jc w:val="center"/>
              <w:rPr>
                <w:noProof/>
              </w:rPr>
            </w:pPr>
            <w:r>
              <w:rPr>
                <w:noProof/>
              </w:rPr>
              <w:t>T4</w:t>
            </w:r>
          </w:p>
        </w:tc>
        <w:tc>
          <w:tcPr>
            <w:tcW w:w="895" w:type="dxa"/>
            <w:tcBorders>
              <w:top w:val="single" w:sz="4" w:space="0" w:color="auto"/>
              <w:left w:val="nil"/>
              <w:bottom w:val="single" w:sz="4" w:space="0" w:color="auto"/>
              <w:right w:val="single" w:sz="4" w:space="0" w:color="auto"/>
            </w:tcBorders>
            <w:shd w:val="clear" w:color="auto" w:fill="C6EFCE"/>
            <w:noWrap/>
          </w:tcPr>
          <w:p w14:paraId="32C90942" w14:textId="77777777" w:rsidR="00553430" w:rsidRDefault="00212577">
            <w:pPr>
              <w:pStyle w:val="P68B1DB1-Normal66"/>
              <w:spacing w:after="200" w:line="276" w:lineRule="auto"/>
              <w:jc w:val="center"/>
              <w:rPr>
                <w:noProof/>
              </w:rPr>
            </w:pPr>
            <w:r>
              <w:rPr>
                <w:noProof/>
              </w:rPr>
              <w:t>2023</w:t>
            </w:r>
          </w:p>
        </w:tc>
        <w:tc>
          <w:tcPr>
            <w:tcW w:w="3827" w:type="dxa"/>
            <w:tcBorders>
              <w:top w:val="single" w:sz="4" w:space="0" w:color="auto"/>
              <w:left w:val="nil"/>
              <w:bottom w:val="single" w:sz="4" w:space="0" w:color="auto"/>
              <w:right w:val="single" w:sz="4" w:space="0" w:color="auto"/>
            </w:tcBorders>
            <w:shd w:val="clear" w:color="auto" w:fill="C6EFCE"/>
            <w:noWrap/>
          </w:tcPr>
          <w:p w14:paraId="6574FFBE" w14:textId="77777777" w:rsidR="00553430" w:rsidRDefault="00212577">
            <w:pPr>
              <w:pStyle w:val="P68B1DB1-Normal66"/>
              <w:spacing w:after="0" w:line="276" w:lineRule="auto"/>
              <w:rPr>
                <w:noProof/>
              </w:rPr>
            </w:pPr>
            <w:r>
              <w:rPr>
                <w:noProof/>
              </w:rPr>
              <w:t>L’institutionnalisation du soutien financier aux spécialisations médicales s’effectue par la mise en place d’un système de financement centralisé dédié à la f</w:t>
            </w:r>
            <w:r>
              <w:rPr>
                <w:noProof/>
              </w:rPr>
              <w:t>ormation médicale spécialisée, visant principalement à remédier aux carences dans des spécialités médicales spécifiques, y compris, mais sans s’y limiter, les soins de santé primaires et la santé publique. L'allocation de ressources financières à cette fin</w:t>
            </w:r>
            <w:r>
              <w:rPr>
                <w:noProof/>
              </w:rPr>
              <w:t xml:space="preserve"> est exclusivement destinée à répondre aux exigences du réseau des services de santé publique.</w:t>
            </w:r>
          </w:p>
          <w:p w14:paraId="548402E6" w14:textId="77777777" w:rsidR="00553430" w:rsidRDefault="00212577">
            <w:pPr>
              <w:pStyle w:val="P68B1DB1-Normal66"/>
              <w:spacing w:after="200" w:line="276" w:lineRule="auto"/>
              <w:rPr>
                <w:noProof/>
              </w:rPr>
            </w:pPr>
            <w:r>
              <w:rPr>
                <w:noProof/>
              </w:rPr>
              <w:t>Ce système est conçu pour garantir la récupération des fonds provenant de programmes incomplets de formation médicale spécialisée, en les orientant vers les obje</w:t>
            </w:r>
            <w:r>
              <w:rPr>
                <w:noProof/>
              </w:rPr>
              <w:t>ctifs prédéfinis du système de financement centralisé de la formation médicale spécialisée, en mettant particulièrement l’accent sur la correction des pénuries de médecins spécialistes déficients.</w:t>
            </w:r>
          </w:p>
        </w:tc>
      </w:tr>
      <w:tr w:rsidR="00553430" w14:paraId="27A5F202"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52B3B95E" w14:textId="77777777" w:rsidR="00553430" w:rsidRDefault="00212577">
            <w:pPr>
              <w:pStyle w:val="P68B1DB1-Normal66"/>
              <w:spacing w:after="200" w:line="276" w:lineRule="auto"/>
              <w:jc w:val="center"/>
              <w:rPr>
                <w:noProof/>
              </w:rPr>
            </w:pPr>
            <w:r>
              <w:rPr>
                <w:noProof/>
              </w:rPr>
              <w:t>334</w:t>
            </w:r>
          </w:p>
        </w:tc>
        <w:tc>
          <w:tcPr>
            <w:tcW w:w="1208" w:type="dxa"/>
            <w:tcBorders>
              <w:top w:val="single" w:sz="4" w:space="0" w:color="auto"/>
              <w:left w:val="nil"/>
              <w:bottom w:val="single" w:sz="4" w:space="0" w:color="auto"/>
              <w:right w:val="single" w:sz="4" w:space="0" w:color="auto"/>
            </w:tcBorders>
            <w:shd w:val="clear" w:color="auto" w:fill="C6EFCE"/>
            <w:noWrap/>
          </w:tcPr>
          <w:p w14:paraId="53DB3432" w14:textId="77777777" w:rsidR="00553430" w:rsidRDefault="00212577">
            <w:pPr>
              <w:pStyle w:val="P68B1DB1-Normal66"/>
              <w:spacing w:after="200" w:line="276" w:lineRule="auto"/>
              <w:jc w:val="center"/>
              <w:rPr>
                <w:noProof/>
              </w:rPr>
            </w:pPr>
            <w:r>
              <w:rPr>
                <w:noProof/>
              </w:rPr>
              <w:t>C5.1. R3-I1</w:t>
            </w:r>
          </w:p>
        </w:tc>
        <w:tc>
          <w:tcPr>
            <w:tcW w:w="1019" w:type="dxa"/>
            <w:tcBorders>
              <w:top w:val="single" w:sz="4" w:space="0" w:color="auto"/>
              <w:left w:val="nil"/>
              <w:bottom w:val="single" w:sz="4" w:space="0" w:color="auto"/>
              <w:right w:val="single" w:sz="4" w:space="0" w:color="auto"/>
            </w:tcBorders>
            <w:shd w:val="clear" w:color="auto" w:fill="C6EFCE"/>
            <w:noWrap/>
          </w:tcPr>
          <w:p w14:paraId="1B6E5555" w14:textId="77777777" w:rsidR="00553430" w:rsidRDefault="00212577">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72CC5852" w14:textId="77777777" w:rsidR="00553430" w:rsidRDefault="00212577">
            <w:pPr>
              <w:pStyle w:val="P68B1DB1-Normal66"/>
              <w:spacing w:after="200" w:line="276" w:lineRule="auto"/>
              <w:rPr>
                <w:noProof/>
              </w:rPr>
            </w:pPr>
            <w:r>
              <w:rPr>
                <w:noProof/>
              </w:rPr>
              <w:t>Formation médicale spécialisée au niveau</w:t>
            </w:r>
            <w:r>
              <w:rPr>
                <w:noProof/>
              </w:rPr>
              <w:t xml:space="preserve"> de base primaire des soins de santé</w:t>
            </w:r>
          </w:p>
        </w:tc>
        <w:tc>
          <w:tcPr>
            <w:tcW w:w="1985" w:type="dxa"/>
            <w:tcBorders>
              <w:top w:val="single" w:sz="4" w:space="0" w:color="auto"/>
              <w:left w:val="nil"/>
              <w:bottom w:val="single" w:sz="4" w:space="0" w:color="auto"/>
              <w:right w:val="single" w:sz="4" w:space="0" w:color="auto"/>
            </w:tcBorders>
            <w:shd w:val="clear" w:color="auto" w:fill="C6EFCE"/>
            <w:noWrap/>
          </w:tcPr>
          <w:p w14:paraId="246535B5" w14:textId="77777777" w:rsidR="00553430" w:rsidRDefault="00212577">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59CA143A" w14:textId="77777777" w:rsidR="00553430" w:rsidRDefault="00212577">
            <w:pPr>
              <w:pStyle w:val="P68B1DB1-Normal66"/>
              <w:spacing w:after="200" w:line="276" w:lineRule="auto"/>
              <w:jc w:val="center"/>
              <w:rPr>
                <w:noProof/>
              </w:rPr>
            </w:pPr>
            <w:r>
              <w:rPr>
                <w:noProof/>
              </w:rPr>
              <w:t>Numéro</w:t>
            </w:r>
          </w:p>
        </w:tc>
        <w:tc>
          <w:tcPr>
            <w:tcW w:w="1087" w:type="dxa"/>
            <w:tcBorders>
              <w:top w:val="single" w:sz="4" w:space="0" w:color="auto"/>
              <w:left w:val="nil"/>
              <w:bottom w:val="single" w:sz="4" w:space="0" w:color="auto"/>
              <w:right w:val="single" w:sz="4" w:space="0" w:color="auto"/>
            </w:tcBorders>
            <w:shd w:val="clear" w:color="auto" w:fill="C6EFCE"/>
            <w:noWrap/>
          </w:tcPr>
          <w:p w14:paraId="3876ED1B"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4572FE33" w14:textId="77777777" w:rsidR="00553430" w:rsidRDefault="00212577">
            <w:pPr>
              <w:pStyle w:val="P68B1DB1-Normal66"/>
              <w:spacing w:after="200" w:line="276" w:lineRule="auto"/>
              <w:jc w:val="center"/>
              <w:rPr>
                <w:noProof/>
              </w:rPr>
            </w:pPr>
            <w:r>
              <w:rPr>
                <w:noProof/>
              </w:rPr>
              <w:t>467</w:t>
            </w:r>
          </w:p>
        </w:tc>
        <w:tc>
          <w:tcPr>
            <w:tcW w:w="756" w:type="dxa"/>
            <w:tcBorders>
              <w:top w:val="single" w:sz="4" w:space="0" w:color="auto"/>
              <w:left w:val="nil"/>
              <w:bottom w:val="single" w:sz="4" w:space="0" w:color="auto"/>
              <w:right w:val="single" w:sz="4" w:space="0" w:color="auto"/>
            </w:tcBorders>
            <w:shd w:val="clear" w:color="auto" w:fill="C6EFCE"/>
            <w:noWrap/>
          </w:tcPr>
          <w:p w14:paraId="678EB8C0" w14:textId="77777777" w:rsidR="00553430" w:rsidRDefault="00212577">
            <w:pPr>
              <w:pStyle w:val="P68B1DB1-Normal66"/>
              <w:spacing w:after="200" w:line="276" w:lineRule="auto"/>
              <w:jc w:val="center"/>
              <w:rPr>
                <w:noProof/>
              </w:rPr>
            </w:pPr>
            <w:r>
              <w:rPr>
                <w:noProof/>
              </w:rPr>
              <w:t>T1</w:t>
            </w:r>
          </w:p>
        </w:tc>
        <w:tc>
          <w:tcPr>
            <w:tcW w:w="895" w:type="dxa"/>
            <w:tcBorders>
              <w:top w:val="single" w:sz="4" w:space="0" w:color="auto"/>
              <w:left w:val="nil"/>
              <w:bottom w:val="single" w:sz="4" w:space="0" w:color="auto"/>
              <w:right w:val="single" w:sz="4" w:space="0" w:color="auto"/>
            </w:tcBorders>
            <w:shd w:val="clear" w:color="auto" w:fill="C6EFCE"/>
            <w:noWrap/>
          </w:tcPr>
          <w:p w14:paraId="69528FDD" w14:textId="77777777" w:rsidR="00553430" w:rsidRDefault="00212577">
            <w:pPr>
              <w:pStyle w:val="P68B1DB1-Normal66"/>
              <w:spacing w:after="200" w:line="276" w:lineRule="auto"/>
              <w:jc w:val="center"/>
              <w:rPr>
                <w:noProof/>
              </w:rPr>
            </w:pPr>
            <w:r>
              <w:rPr>
                <w:noProof/>
              </w:rPr>
              <w:t>2026</w:t>
            </w:r>
          </w:p>
        </w:tc>
        <w:tc>
          <w:tcPr>
            <w:tcW w:w="3827" w:type="dxa"/>
            <w:tcBorders>
              <w:top w:val="single" w:sz="4" w:space="0" w:color="auto"/>
              <w:left w:val="nil"/>
              <w:bottom w:val="single" w:sz="4" w:space="0" w:color="auto"/>
              <w:right w:val="single" w:sz="4" w:space="0" w:color="auto"/>
            </w:tcBorders>
            <w:shd w:val="clear" w:color="auto" w:fill="C6EFCE"/>
            <w:noWrap/>
          </w:tcPr>
          <w:p w14:paraId="1F6603A1" w14:textId="48B590FB" w:rsidR="00553430" w:rsidRDefault="00212577">
            <w:pPr>
              <w:pStyle w:val="P68B1DB1-Normal66"/>
              <w:spacing w:after="200" w:line="276" w:lineRule="auto"/>
              <w:rPr>
                <w:noProof/>
              </w:rPr>
            </w:pPr>
            <w:r>
              <w:rPr>
                <w:noProof/>
              </w:rPr>
              <w:t>Des contrats d’attribution de financements non remboursables pour la formation médicale spécialisée sont conclus, couvrant au moins 467 agents de santé, y compris des médecins spécialisés dans les</w:t>
            </w:r>
            <w:r>
              <w:rPr>
                <w:noProof/>
              </w:rPr>
              <w:t xml:space="preserve"> soins de santé primaires, la médecine d’urgence et la santé publique. </w:t>
            </w:r>
          </w:p>
        </w:tc>
      </w:tr>
      <w:tr w:rsidR="00553430" w14:paraId="5BA197ED"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4420B3F" w14:textId="77777777" w:rsidR="00553430" w:rsidRDefault="00212577">
            <w:pPr>
              <w:pStyle w:val="P68B1DB1-Normal66"/>
              <w:spacing w:after="200" w:line="276" w:lineRule="auto"/>
              <w:jc w:val="center"/>
              <w:rPr>
                <w:noProof/>
              </w:rPr>
            </w:pPr>
            <w:r>
              <w:rPr>
                <w:noProof/>
              </w:rPr>
              <w:t>335</w:t>
            </w:r>
          </w:p>
        </w:tc>
        <w:tc>
          <w:tcPr>
            <w:tcW w:w="1208" w:type="dxa"/>
            <w:tcBorders>
              <w:top w:val="single" w:sz="4" w:space="0" w:color="auto"/>
              <w:left w:val="nil"/>
              <w:bottom w:val="single" w:sz="4" w:space="0" w:color="auto"/>
              <w:right w:val="single" w:sz="4" w:space="0" w:color="auto"/>
            </w:tcBorders>
            <w:shd w:val="clear" w:color="auto" w:fill="C6EFCE"/>
            <w:noWrap/>
          </w:tcPr>
          <w:p w14:paraId="14B64588" w14:textId="77777777" w:rsidR="00553430" w:rsidRDefault="00212577">
            <w:pPr>
              <w:pStyle w:val="P68B1DB1-Normal66"/>
              <w:spacing w:after="200" w:line="276" w:lineRule="auto"/>
              <w:jc w:val="center"/>
              <w:rPr>
                <w:noProof/>
              </w:rPr>
            </w:pPr>
            <w:r>
              <w:rPr>
                <w:noProof/>
              </w:rPr>
              <w:t>C5.1. R3-I2</w:t>
            </w:r>
          </w:p>
        </w:tc>
        <w:tc>
          <w:tcPr>
            <w:tcW w:w="1019" w:type="dxa"/>
            <w:tcBorders>
              <w:top w:val="single" w:sz="4" w:space="0" w:color="auto"/>
              <w:left w:val="nil"/>
              <w:bottom w:val="single" w:sz="4" w:space="0" w:color="auto"/>
              <w:right w:val="single" w:sz="4" w:space="0" w:color="auto"/>
            </w:tcBorders>
            <w:shd w:val="clear" w:color="auto" w:fill="C6EFCE"/>
            <w:noWrap/>
          </w:tcPr>
          <w:p w14:paraId="2F963D7C" w14:textId="77777777" w:rsidR="00553430" w:rsidRDefault="00212577">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31C19809" w14:textId="77777777" w:rsidR="00553430" w:rsidRDefault="00212577">
            <w:pPr>
              <w:pStyle w:val="P68B1DB1-Normal66"/>
              <w:spacing w:after="200" w:line="276" w:lineRule="auto"/>
              <w:rPr>
                <w:noProof/>
              </w:rPr>
            </w:pPr>
            <w:r>
              <w:rPr>
                <w:noProof/>
              </w:rPr>
              <w:t xml:space="preserve">Baccalauréat en formation de spécialiste en soins infirmiers en médecine d'urgence </w:t>
            </w:r>
          </w:p>
        </w:tc>
        <w:tc>
          <w:tcPr>
            <w:tcW w:w="1985" w:type="dxa"/>
            <w:tcBorders>
              <w:top w:val="single" w:sz="4" w:space="0" w:color="auto"/>
              <w:left w:val="nil"/>
              <w:bottom w:val="single" w:sz="4" w:space="0" w:color="auto"/>
              <w:right w:val="single" w:sz="4" w:space="0" w:color="auto"/>
            </w:tcBorders>
            <w:shd w:val="clear" w:color="auto" w:fill="C6EFCE"/>
            <w:noWrap/>
          </w:tcPr>
          <w:p w14:paraId="6AF270E0" w14:textId="77777777" w:rsidR="00553430" w:rsidRDefault="00212577">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71E138E2" w14:textId="77777777" w:rsidR="00553430" w:rsidRDefault="00212577">
            <w:pPr>
              <w:pStyle w:val="P68B1DB1-Normal66"/>
              <w:spacing w:after="200" w:line="276" w:lineRule="auto"/>
              <w:jc w:val="center"/>
              <w:rPr>
                <w:noProof/>
              </w:rPr>
            </w:pPr>
            <w:r>
              <w:rPr>
                <w:noProof/>
              </w:rPr>
              <w:t>Numéro</w:t>
            </w:r>
          </w:p>
        </w:tc>
        <w:tc>
          <w:tcPr>
            <w:tcW w:w="1087" w:type="dxa"/>
            <w:tcBorders>
              <w:top w:val="single" w:sz="4" w:space="0" w:color="auto"/>
              <w:left w:val="nil"/>
              <w:bottom w:val="single" w:sz="4" w:space="0" w:color="auto"/>
              <w:right w:val="single" w:sz="4" w:space="0" w:color="auto"/>
            </w:tcBorders>
            <w:shd w:val="clear" w:color="auto" w:fill="C6EFCE"/>
            <w:noWrap/>
          </w:tcPr>
          <w:p w14:paraId="68502B83"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66A232B4" w14:textId="77777777" w:rsidR="00553430" w:rsidRDefault="00212577">
            <w:pPr>
              <w:pStyle w:val="P68B1DB1-Normal66"/>
              <w:spacing w:after="200" w:line="276" w:lineRule="auto"/>
              <w:jc w:val="center"/>
              <w:rPr>
                <w:noProof/>
              </w:rPr>
            </w:pPr>
            <w:r>
              <w:rPr>
                <w:noProof/>
              </w:rPr>
              <w:t>375</w:t>
            </w:r>
          </w:p>
        </w:tc>
        <w:tc>
          <w:tcPr>
            <w:tcW w:w="756" w:type="dxa"/>
            <w:tcBorders>
              <w:top w:val="single" w:sz="4" w:space="0" w:color="auto"/>
              <w:left w:val="nil"/>
              <w:bottom w:val="single" w:sz="4" w:space="0" w:color="auto"/>
              <w:right w:val="single" w:sz="4" w:space="0" w:color="auto"/>
            </w:tcBorders>
            <w:shd w:val="clear" w:color="auto" w:fill="C6EFCE"/>
            <w:noWrap/>
          </w:tcPr>
          <w:p w14:paraId="778015BA" w14:textId="77777777" w:rsidR="00553430" w:rsidRDefault="00212577">
            <w:pPr>
              <w:pStyle w:val="P68B1DB1-Normal66"/>
              <w:spacing w:after="200" w:line="276" w:lineRule="auto"/>
              <w:jc w:val="center"/>
              <w:rPr>
                <w:noProof/>
              </w:rPr>
            </w:pPr>
            <w:r>
              <w:rPr>
                <w:noProof/>
              </w:rPr>
              <w:t>T2</w:t>
            </w:r>
          </w:p>
        </w:tc>
        <w:tc>
          <w:tcPr>
            <w:tcW w:w="895" w:type="dxa"/>
            <w:tcBorders>
              <w:top w:val="single" w:sz="4" w:space="0" w:color="auto"/>
              <w:left w:val="nil"/>
              <w:bottom w:val="single" w:sz="4" w:space="0" w:color="auto"/>
              <w:right w:val="single" w:sz="4" w:space="0" w:color="auto"/>
            </w:tcBorders>
            <w:shd w:val="clear" w:color="auto" w:fill="C6EFCE"/>
            <w:noWrap/>
          </w:tcPr>
          <w:p w14:paraId="07CE87D2" w14:textId="77777777" w:rsidR="00553430" w:rsidRDefault="00212577">
            <w:pPr>
              <w:pStyle w:val="P68B1DB1-Normal66"/>
              <w:spacing w:after="200" w:line="276" w:lineRule="auto"/>
              <w:jc w:val="center"/>
              <w:rPr>
                <w:noProof/>
              </w:rPr>
            </w:pPr>
            <w:r>
              <w:rPr>
                <w:noProof/>
              </w:rPr>
              <w:t>2026</w:t>
            </w:r>
          </w:p>
        </w:tc>
        <w:tc>
          <w:tcPr>
            <w:tcW w:w="3827" w:type="dxa"/>
            <w:tcBorders>
              <w:top w:val="single" w:sz="4" w:space="0" w:color="auto"/>
              <w:left w:val="nil"/>
              <w:bottom w:val="single" w:sz="4" w:space="0" w:color="auto"/>
              <w:right w:val="single" w:sz="4" w:space="0" w:color="auto"/>
            </w:tcBorders>
            <w:shd w:val="clear" w:color="auto" w:fill="C6EFCE"/>
            <w:noWrap/>
          </w:tcPr>
          <w:p w14:paraId="193D3186" w14:textId="77777777" w:rsidR="00553430" w:rsidRDefault="00212577">
            <w:pPr>
              <w:pStyle w:val="P68B1DB1-Normal66"/>
              <w:spacing w:after="200" w:line="276" w:lineRule="auto"/>
              <w:rPr>
                <w:noProof/>
              </w:rPr>
            </w:pPr>
            <w:r>
              <w:rPr>
                <w:noProof/>
              </w:rPr>
              <w:t xml:space="preserve">Au total, 375 bacheliers de techniciens </w:t>
            </w:r>
            <w:r>
              <w:rPr>
                <w:noProof/>
              </w:rPr>
              <w:t>infirmiers/médicaux doivent être formés à une formation spécialisée d'un an en médecine d'urgence.</w:t>
            </w:r>
          </w:p>
        </w:tc>
      </w:tr>
      <w:tr w:rsidR="00553430" w14:paraId="025B7488"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14E4C6B" w14:textId="77777777" w:rsidR="00553430" w:rsidRDefault="00212577">
            <w:pPr>
              <w:pStyle w:val="P68B1DB1-Normal66"/>
              <w:spacing w:after="200" w:line="276" w:lineRule="auto"/>
              <w:jc w:val="center"/>
              <w:rPr>
                <w:noProof/>
              </w:rPr>
            </w:pPr>
            <w:r>
              <w:rPr>
                <w:noProof/>
              </w:rPr>
              <w:t>336</w:t>
            </w:r>
          </w:p>
        </w:tc>
        <w:tc>
          <w:tcPr>
            <w:tcW w:w="1208" w:type="dxa"/>
            <w:tcBorders>
              <w:top w:val="single" w:sz="4" w:space="0" w:color="auto"/>
              <w:left w:val="nil"/>
              <w:bottom w:val="single" w:sz="4" w:space="0" w:color="auto"/>
              <w:right w:val="single" w:sz="4" w:space="0" w:color="auto"/>
            </w:tcBorders>
            <w:shd w:val="clear" w:color="auto" w:fill="C6EFCE"/>
            <w:noWrap/>
          </w:tcPr>
          <w:p w14:paraId="13D67F3D" w14:textId="77777777" w:rsidR="00553430" w:rsidRDefault="00212577">
            <w:pPr>
              <w:pStyle w:val="P68B1DB1-Normal66"/>
              <w:spacing w:after="200" w:line="276" w:lineRule="auto"/>
              <w:jc w:val="center"/>
              <w:rPr>
                <w:noProof/>
              </w:rPr>
            </w:pPr>
            <w:r>
              <w:rPr>
                <w:noProof/>
              </w:rPr>
              <w:t>C5.1. R4</w:t>
            </w:r>
          </w:p>
        </w:tc>
        <w:tc>
          <w:tcPr>
            <w:tcW w:w="1019" w:type="dxa"/>
            <w:tcBorders>
              <w:top w:val="single" w:sz="4" w:space="0" w:color="auto"/>
              <w:left w:val="nil"/>
              <w:bottom w:val="single" w:sz="4" w:space="0" w:color="auto"/>
              <w:right w:val="single" w:sz="4" w:space="0" w:color="auto"/>
            </w:tcBorders>
            <w:shd w:val="clear" w:color="auto" w:fill="C6EFCE"/>
            <w:noWrap/>
          </w:tcPr>
          <w:p w14:paraId="26DBFCE3" w14:textId="77777777" w:rsidR="00553430" w:rsidRDefault="00212577">
            <w:pPr>
              <w:pStyle w:val="P68B1DB1-Normal66"/>
              <w:spacing w:after="200" w:line="276" w:lineRule="auto"/>
              <w:jc w:val="center"/>
              <w:rPr>
                <w:noProof/>
              </w:rPr>
            </w:pPr>
            <w:r>
              <w:rPr>
                <w:noProof/>
              </w:rPr>
              <w:t>M</w:t>
            </w:r>
          </w:p>
        </w:tc>
        <w:tc>
          <w:tcPr>
            <w:tcW w:w="1888" w:type="dxa"/>
            <w:tcBorders>
              <w:top w:val="single" w:sz="4" w:space="0" w:color="auto"/>
              <w:left w:val="nil"/>
              <w:bottom w:val="single" w:sz="4" w:space="0" w:color="auto"/>
              <w:right w:val="single" w:sz="4" w:space="0" w:color="auto"/>
            </w:tcBorders>
            <w:shd w:val="clear" w:color="auto" w:fill="C6EFCE"/>
            <w:noWrap/>
          </w:tcPr>
          <w:p w14:paraId="60814D01" w14:textId="77777777" w:rsidR="00553430" w:rsidRDefault="00212577">
            <w:pPr>
              <w:pStyle w:val="P68B1DB1-Normal66"/>
              <w:spacing w:after="200" w:line="276" w:lineRule="auto"/>
              <w:rPr>
                <w:noProof/>
              </w:rPr>
            </w:pPr>
            <w:r>
              <w:rPr>
                <w:noProof/>
              </w:rPr>
              <w:t>Modification de la loi sur les soins de santé et de la loi sur l'assurance maladie obligatoire</w:t>
            </w:r>
          </w:p>
        </w:tc>
        <w:tc>
          <w:tcPr>
            <w:tcW w:w="1985" w:type="dxa"/>
            <w:tcBorders>
              <w:top w:val="single" w:sz="4" w:space="0" w:color="auto"/>
              <w:left w:val="nil"/>
              <w:bottom w:val="single" w:sz="4" w:space="0" w:color="auto"/>
              <w:right w:val="single" w:sz="4" w:space="0" w:color="auto"/>
            </w:tcBorders>
            <w:shd w:val="clear" w:color="auto" w:fill="C6EFCE"/>
            <w:noWrap/>
          </w:tcPr>
          <w:p w14:paraId="5B741693" w14:textId="77777777" w:rsidR="00553430" w:rsidRDefault="00212577">
            <w:pPr>
              <w:pStyle w:val="P68B1DB1-Normal66"/>
              <w:spacing w:after="200" w:line="276" w:lineRule="auto"/>
              <w:rPr>
                <w:noProof/>
              </w:rPr>
            </w:pPr>
            <w:r>
              <w:rPr>
                <w:noProof/>
              </w:rPr>
              <w:t>Entrée</w:t>
            </w:r>
            <w:r>
              <w:rPr>
                <w:noProof/>
              </w:rPr>
              <w:t xml:space="preserve"> en vigueur des lois modifiant la loi sur les soins de santé et la loi sur l'assurance maladie obligatoire</w:t>
            </w:r>
          </w:p>
        </w:tc>
        <w:tc>
          <w:tcPr>
            <w:tcW w:w="1296" w:type="dxa"/>
            <w:tcBorders>
              <w:top w:val="single" w:sz="4" w:space="0" w:color="auto"/>
              <w:left w:val="nil"/>
              <w:bottom w:val="single" w:sz="4" w:space="0" w:color="auto"/>
              <w:right w:val="single" w:sz="4" w:space="0" w:color="auto"/>
            </w:tcBorders>
            <w:shd w:val="clear" w:color="auto" w:fill="C6EFCE"/>
            <w:noWrap/>
          </w:tcPr>
          <w:p w14:paraId="0F92DEDF" w14:textId="77777777" w:rsidR="00553430" w:rsidRDefault="00212577">
            <w:pPr>
              <w:pStyle w:val="P68B1DB1-Normal66"/>
              <w:spacing w:after="200" w:line="276" w:lineRule="auto"/>
              <w:jc w:val="center"/>
              <w:rPr>
                <w:noProof/>
              </w:rPr>
            </w:pPr>
            <w:r>
              <w:rPr>
                <w:noProof/>
              </w:rPr>
              <w:t> </w:t>
            </w:r>
          </w:p>
        </w:tc>
        <w:tc>
          <w:tcPr>
            <w:tcW w:w="1087" w:type="dxa"/>
            <w:tcBorders>
              <w:top w:val="single" w:sz="4" w:space="0" w:color="auto"/>
              <w:left w:val="nil"/>
              <w:bottom w:val="single" w:sz="4" w:space="0" w:color="auto"/>
              <w:right w:val="single" w:sz="4" w:space="0" w:color="auto"/>
            </w:tcBorders>
            <w:shd w:val="clear" w:color="auto" w:fill="C6EFCE"/>
            <w:noWrap/>
          </w:tcPr>
          <w:p w14:paraId="107CBFD8" w14:textId="77777777" w:rsidR="00553430" w:rsidRDefault="00212577">
            <w:pPr>
              <w:pStyle w:val="P68B1DB1-Normal66"/>
              <w:spacing w:after="200" w:line="276" w:lineRule="auto"/>
              <w:jc w:val="center"/>
              <w:rPr>
                <w:noProof/>
              </w:rPr>
            </w:pPr>
            <w:r>
              <w:rPr>
                <w:noProof/>
              </w:rPr>
              <w:t> </w:t>
            </w:r>
          </w:p>
        </w:tc>
        <w:tc>
          <w:tcPr>
            <w:tcW w:w="976" w:type="dxa"/>
            <w:tcBorders>
              <w:top w:val="single" w:sz="4" w:space="0" w:color="auto"/>
              <w:left w:val="nil"/>
              <w:bottom w:val="single" w:sz="4" w:space="0" w:color="auto"/>
              <w:right w:val="single" w:sz="4" w:space="0" w:color="auto"/>
            </w:tcBorders>
            <w:shd w:val="clear" w:color="auto" w:fill="C6EFCE"/>
            <w:noWrap/>
          </w:tcPr>
          <w:p w14:paraId="1CD8891A" w14:textId="77777777" w:rsidR="00553430" w:rsidRDefault="00212577">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3A1076CC" w14:textId="77777777" w:rsidR="00553430" w:rsidRDefault="00212577">
            <w:pPr>
              <w:pStyle w:val="P68B1DB1-Normal66"/>
              <w:spacing w:after="200" w:line="276" w:lineRule="auto"/>
              <w:jc w:val="center"/>
              <w:rPr>
                <w:noProof/>
              </w:rPr>
            </w:pPr>
            <w:r>
              <w:rPr>
                <w:noProof/>
              </w:rPr>
              <w:t>T4</w:t>
            </w:r>
          </w:p>
        </w:tc>
        <w:tc>
          <w:tcPr>
            <w:tcW w:w="895" w:type="dxa"/>
            <w:tcBorders>
              <w:top w:val="single" w:sz="4" w:space="0" w:color="auto"/>
              <w:left w:val="nil"/>
              <w:bottom w:val="single" w:sz="4" w:space="0" w:color="auto"/>
              <w:right w:val="single" w:sz="4" w:space="0" w:color="auto"/>
            </w:tcBorders>
            <w:shd w:val="clear" w:color="auto" w:fill="C6EFCE"/>
            <w:noWrap/>
          </w:tcPr>
          <w:p w14:paraId="24AA4D79" w14:textId="77777777" w:rsidR="00553430" w:rsidRDefault="00212577">
            <w:pPr>
              <w:pStyle w:val="P68B1DB1-Normal66"/>
              <w:spacing w:after="200" w:line="276" w:lineRule="auto"/>
              <w:jc w:val="center"/>
              <w:rPr>
                <w:noProof/>
              </w:rPr>
            </w:pPr>
            <w:r>
              <w:rPr>
                <w:noProof/>
              </w:rPr>
              <w:t>2022</w:t>
            </w:r>
          </w:p>
        </w:tc>
        <w:tc>
          <w:tcPr>
            <w:tcW w:w="3827" w:type="dxa"/>
            <w:tcBorders>
              <w:top w:val="single" w:sz="4" w:space="0" w:color="auto"/>
              <w:left w:val="nil"/>
              <w:bottom w:val="single" w:sz="4" w:space="0" w:color="auto"/>
              <w:right w:val="single" w:sz="4" w:space="0" w:color="auto"/>
            </w:tcBorders>
            <w:shd w:val="clear" w:color="auto" w:fill="C6EFCE"/>
            <w:noWrap/>
          </w:tcPr>
          <w:p w14:paraId="346ADADF" w14:textId="77777777" w:rsidR="00553430" w:rsidRDefault="00212577">
            <w:pPr>
              <w:pStyle w:val="P68B1DB1-Normal66"/>
              <w:spacing w:after="200" w:line="276" w:lineRule="auto"/>
              <w:rPr>
                <w:noProof/>
              </w:rPr>
            </w:pPr>
            <w:r>
              <w:rPr>
                <w:noProof/>
              </w:rPr>
              <w:t>Les modifications apportées à la loi sur les soins de santé permettent que la nouvelle décision de passation conjointe de marché soit é</w:t>
            </w:r>
            <w:r>
              <w:rPr>
                <w:noProof/>
              </w:rPr>
              <w:t>galement contraignante pour les établissements de santé dont la participation a jusqu’à présent été volontaire et augmentent par conséquent le nombre de parties prenantes couvertes par la passation conjointe de marché.</w:t>
            </w:r>
            <w:r>
              <w:rPr>
                <w:noProof/>
              </w:rPr>
              <w:br/>
              <w:t>-le bureau unique pour la médecine d’</w:t>
            </w:r>
            <w:r>
              <w:rPr>
                <w:noProof/>
              </w:rPr>
              <w:t xml:space="preserve">urgence améliore l’organisation des activités de médecine d’urgence et exécute des tâches opérationnelles sur l’ensemble du territoire de la République de Croatie par l’intermédiaire de certaines unités organisationnelles; </w:t>
            </w:r>
            <w:r>
              <w:rPr>
                <w:noProof/>
              </w:rPr>
              <w:br/>
              <w:t>-la réorganisation du service de</w:t>
            </w:r>
            <w:r>
              <w:rPr>
                <w:noProof/>
              </w:rPr>
              <w:t xml:space="preserve"> santé publique contribue à accroître l’efficacité et à renforcer le système de santé publique, en mettant particulièrement l’accent sur la prévention et le diagnostic précoce, l’amélioration de la réaction en cas d’urgence et de circonstances particulière</w:t>
            </w:r>
            <w:r>
              <w:rPr>
                <w:noProof/>
              </w:rPr>
              <w:t xml:space="preserve">s (pandémies); </w:t>
            </w:r>
            <w:r>
              <w:rPr>
                <w:noProof/>
              </w:rPr>
              <w:br/>
              <w:t>-Transférer les droits de gestion des hôpitaux actuellement gérés par les comtés et la ville de Zagreb à la République de Croatie afin de parvenir à une utilisation rationnelle et de qualité des capacités existantes, d’améliorer la disponib</w:t>
            </w:r>
            <w:r>
              <w:rPr>
                <w:noProof/>
              </w:rPr>
              <w:t xml:space="preserve">ilité et la qualité des soins de santé en réorganisant le modèle de gestion des hôpitaux. </w:t>
            </w:r>
            <w:r>
              <w:rPr>
                <w:noProof/>
              </w:rPr>
              <w:br/>
            </w:r>
            <w:r>
              <w:rPr>
                <w:noProof/>
              </w:rPr>
              <w:br/>
              <w:t>Les amendements à la loi sur l'assurance maladie obligatoire établissent des critères clairs et transparents pour déterminer le programme de mesures de soins de san</w:t>
            </w:r>
            <w:r>
              <w:rPr>
                <w:noProof/>
              </w:rPr>
              <w:t>té dans le cadre de l'assurance maladie obligatoire, les organismes qui établissent et adoptent un programme de mesures et la portée des soins de santé devant être couverts par l'assurance maladie obligatoire et le respect d'autres lois. La loi vise à:</w:t>
            </w:r>
            <w:r>
              <w:rPr>
                <w:noProof/>
              </w:rPr>
              <w:br/>
              <w:t>ren</w:t>
            </w:r>
            <w:r>
              <w:rPr>
                <w:noProof/>
              </w:rPr>
              <w:t xml:space="preserve">dre les soins de santé plus accessibles et plus rapides pour les assurés lorsqu’ils en ont besoin; </w:t>
            </w:r>
            <w:r>
              <w:rPr>
                <w:noProof/>
              </w:rPr>
              <w:br/>
              <w:t>-Réduction des listes d’attente pour les services médicaux individuels, optimisation et, à cet égard, meilleure répartition des ressources disponibles en ma</w:t>
            </w:r>
            <w:r>
              <w:rPr>
                <w:noProof/>
              </w:rPr>
              <w:t xml:space="preserve">tière de soins de santé provenant de l’assurance maladie obligatoire </w:t>
            </w:r>
            <w:r>
              <w:rPr>
                <w:noProof/>
              </w:rPr>
              <w:br/>
              <w:t>-fournir des financements en vue d’assurer la stabilité financière, sa viabilité et, à cet égard, améliorer la situation des assurés dans le cadre de l’exercice de l’assurance maladie lé</w:t>
            </w:r>
            <w:r>
              <w:rPr>
                <w:noProof/>
              </w:rPr>
              <w:t xml:space="preserve">gale; </w:t>
            </w:r>
            <w:r>
              <w:rPr>
                <w:noProof/>
              </w:rPr>
              <w:br/>
              <w:t>-Insérer une disposition favorisant les entités adjudicatrices du HZZO en tant que prestataires de soins de santé de l’assurance maladie obligatoire, en ce qui concerne le paiement des obligations du HZZO à leur égard dans les délais prescrits par l</w:t>
            </w:r>
            <w:r>
              <w:rPr>
                <w:noProof/>
              </w:rPr>
              <w:t>a loi, afin de garantir le droit aux soins de santé pour les assurés.</w:t>
            </w:r>
          </w:p>
        </w:tc>
      </w:tr>
      <w:tr w:rsidR="00553430" w14:paraId="59A1019D"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9923EE1" w14:textId="77777777" w:rsidR="00553430" w:rsidRDefault="00212577">
            <w:pPr>
              <w:pStyle w:val="P68B1DB1-Normal66"/>
              <w:spacing w:after="200" w:line="276" w:lineRule="auto"/>
              <w:jc w:val="center"/>
              <w:rPr>
                <w:noProof/>
              </w:rPr>
            </w:pPr>
            <w:r>
              <w:rPr>
                <w:noProof/>
              </w:rPr>
              <w:t>337</w:t>
            </w:r>
          </w:p>
        </w:tc>
        <w:tc>
          <w:tcPr>
            <w:tcW w:w="1208" w:type="dxa"/>
            <w:tcBorders>
              <w:top w:val="single" w:sz="4" w:space="0" w:color="auto"/>
              <w:left w:val="nil"/>
              <w:bottom w:val="single" w:sz="4" w:space="0" w:color="auto"/>
              <w:right w:val="single" w:sz="4" w:space="0" w:color="auto"/>
            </w:tcBorders>
            <w:shd w:val="clear" w:color="auto" w:fill="C6EFCE"/>
            <w:noWrap/>
          </w:tcPr>
          <w:p w14:paraId="4A82FD6E" w14:textId="77777777" w:rsidR="00553430" w:rsidRDefault="00212577">
            <w:pPr>
              <w:pStyle w:val="P68B1DB1-Normal66"/>
              <w:spacing w:after="200" w:line="276" w:lineRule="auto"/>
              <w:jc w:val="center"/>
              <w:rPr>
                <w:noProof/>
              </w:rPr>
            </w:pPr>
            <w:r>
              <w:rPr>
                <w:noProof/>
              </w:rPr>
              <w:t>C5.1. R4</w:t>
            </w:r>
          </w:p>
        </w:tc>
        <w:tc>
          <w:tcPr>
            <w:tcW w:w="1019" w:type="dxa"/>
            <w:tcBorders>
              <w:top w:val="single" w:sz="4" w:space="0" w:color="auto"/>
              <w:left w:val="nil"/>
              <w:bottom w:val="single" w:sz="4" w:space="0" w:color="auto"/>
              <w:right w:val="single" w:sz="4" w:space="0" w:color="auto"/>
            </w:tcBorders>
            <w:shd w:val="clear" w:color="auto" w:fill="C6EFCE"/>
            <w:noWrap/>
          </w:tcPr>
          <w:p w14:paraId="1E413E91" w14:textId="77777777" w:rsidR="00553430" w:rsidRDefault="00212577">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480A1485" w14:textId="77777777" w:rsidR="00553430" w:rsidRDefault="00212577">
            <w:pPr>
              <w:pStyle w:val="P68B1DB1-Normal66"/>
              <w:spacing w:after="200" w:line="276" w:lineRule="auto"/>
              <w:rPr>
                <w:noProof/>
              </w:rPr>
            </w:pPr>
            <w:r>
              <w:rPr>
                <w:noProof/>
              </w:rPr>
              <w:t xml:space="preserve">Intégration fonctionnelle des hôpitaux </w:t>
            </w:r>
          </w:p>
        </w:tc>
        <w:tc>
          <w:tcPr>
            <w:tcW w:w="1985" w:type="dxa"/>
            <w:tcBorders>
              <w:top w:val="single" w:sz="4" w:space="0" w:color="auto"/>
              <w:left w:val="nil"/>
              <w:bottom w:val="single" w:sz="4" w:space="0" w:color="auto"/>
              <w:right w:val="single" w:sz="4" w:space="0" w:color="auto"/>
            </w:tcBorders>
            <w:shd w:val="clear" w:color="auto" w:fill="C6EFCE"/>
            <w:noWrap/>
          </w:tcPr>
          <w:p w14:paraId="45C215F9" w14:textId="77777777" w:rsidR="00553430" w:rsidRDefault="00212577">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41D1BB43" w14:textId="77777777" w:rsidR="00553430" w:rsidRDefault="00212577">
            <w:pPr>
              <w:pStyle w:val="P68B1DB1-Normal66"/>
              <w:spacing w:after="200" w:line="276" w:lineRule="auto"/>
              <w:jc w:val="center"/>
              <w:rPr>
                <w:noProof/>
              </w:rPr>
            </w:pPr>
            <w:r>
              <w:rPr>
                <w:noProof/>
              </w:rPr>
              <w:t>Numéro</w:t>
            </w:r>
          </w:p>
        </w:tc>
        <w:tc>
          <w:tcPr>
            <w:tcW w:w="1087" w:type="dxa"/>
            <w:tcBorders>
              <w:top w:val="single" w:sz="4" w:space="0" w:color="auto"/>
              <w:left w:val="nil"/>
              <w:bottom w:val="single" w:sz="4" w:space="0" w:color="auto"/>
              <w:right w:val="single" w:sz="4" w:space="0" w:color="auto"/>
            </w:tcBorders>
            <w:shd w:val="clear" w:color="auto" w:fill="C6EFCE"/>
            <w:noWrap/>
          </w:tcPr>
          <w:p w14:paraId="2609CFF5" w14:textId="77777777" w:rsidR="00553430" w:rsidRDefault="00212577">
            <w:pPr>
              <w:pStyle w:val="P68B1DB1-Normal66"/>
              <w:spacing w:after="200" w:line="276" w:lineRule="auto"/>
              <w:jc w:val="center"/>
              <w:rPr>
                <w:noProof/>
              </w:rPr>
            </w:pPr>
            <w:r>
              <w:rPr>
                <w:noProof/>
              </w:rPr>
              <w:t>12</w:t>
            </w:r>
          </w:p>
        </w:tc>
        <w:tc>
          <w:tcPr>
            <w:tcW w:w="976" w:type="dxa"/>
            <w:tcBorders>
              <w:top w:val="single" w:sz="4" w:space="0" w:color="auto"/>
              <w:left w:val="nil"/>
              <w:bottom w:val="single" w:sz="4" w:space="0" w:color="auto"/>
              <w:right w:val="single" w:sz="4" w:space="0" w:color="auto"/>
            </w:tcBorders>
            <w:shd w:val="clear" w:color="auto" w:fill="C6EFCE"/>
            <w:noWrap/>
          </w:tcPr>
          <w:p w14:paraId="617BC2F1" w14:textId="77777777" w:rsidR="00553430" w:rsidRDefault="00212577">
            <w:pPr>
              <w:pStyle w:val="P68B1DB1-Normal66"/>
              <w:spacing w:after="200" w:line="276" w:lineRule="auto"/>
              <w:jc w:val="center"/>
              <w:rPr>
                <w:noProof/>
              </w:rPr>
            </w:pPr>
            <w:r>
              <w:rPr>
                <w:noProof/>
              </w:rPr>
              <w:t>20</w:t>
            </w:r>
          </w:p>
        </w:tc>
        <w:tc>
          <w:tcPr>
            <w:tcW w:w="756" w:type="dxa"/>
            <w:tcBorders>
              <w:top w:val="single" w:sz="4" w:space="0" w:color="auto"/>
              <w:left w:val="nil"/>
              <w:bottom w:val="single" w:sz="4" w:space="0" w:color="auto"/>
              <w:right w:val="single" w:sz="4" w:space="0" w:color="auto"/>
            </w:tcBorders>
            <w:shd w:val="clear" w:color="auto" w:fill="C6EFCE"/>
            <w:noWrap/>
          </w:tcPr>
          <w:p w14:paraId="63F288B1" w14:textId="77777777" w:rsidR="00553430" w:rsidRDefault="00212577">
            <w:pPr>
              <w:pStyle w:val="P68B1DB1-Normal66"/>
              <w:spacing w:after="200" w:line="276" w:lineRule="auto"/>
              <w:jc w:val="center"/>
              <w:rPr>
                <w:noProof/>
              </w:rPr>
            </w:pPr>
            <w:r>
              <w:rPr>
                <w:noProof/>
              </w:rPr>
              <w:t>T4</w:t>
            </w:r>
          </w:p>
        </w:tc>
        <w:tc>
          <w:tcPr>
            <w:tcW w:w="895" w:type="dxa"/>
            <w:tcBorders>
              <w:top w:val="single" w:sz="4" w:space="0" w:color="auto"/>
              <w:left w:val="nil"/>
              <w:bottom w:val="single" w:sz="4" w:space="0" w:color="auto"/>
              <w:right w:val="single" w:sz="4" w:space="0" w:color="auto"/>
            </w:tcBorders>
            <w:shd w:val="clear" w:color="auto" w:fill="C6EFCE"/>
            <w:noWrap/>
          </w:tcPr>
          <w:p w14:paraId="6A72D2C7" w14:textId="77777777" w:rsidR="00553430" w:rsidRDefault="00212577">
            <w:pPr>
              <w:pStyle w:val="P68B1DB1-Normal66"/>
              <w:spacing w:after="200" w:line="276" w:lineRule="auto"/>
              <w:jc w:val="center"/>
              <w:rPr>
                <w:noProof/>
              </w:rPr>
            </w:pPr>
            <w:r>
              <w:rPr>
                <w:noProof/>
              </w:rPr>
              <w:t>2023</w:t>
            </w:r>
          </w:p>
        </w:tc>
        <w:tc>
          <w:tcPr>
            <w:tcW w:w="3827" w:type="dxa"/>
            <w:tcBorders>
              <w:top w:val="single" w:sz="4" w:space="0" w:color="auto"/>
              <w:left w:val="nil"/>
              <w:bottom w:val="single" w:sz="4" w:space="0" w:color="auto"/>
              <w:right w:val="single" w:sz="4" w:space="0" w:color="auto"/>
            </w:tcBorders>
            <w:shd w:val="clear" w:color="auto" w:fill="C6EFCE"/>
            <w:noWrap/>
          </w:tcPr>
          <w:p w14:paraId="520D0C63" w14:textId="77777777" w:rsidR="00553430" w:rsidRDefault="00212577">
            <w:pPr>
              <w:pStyle w:val="P68B1DB1-Normal66"/>
              <w:spacing w:after="200" w:line="276" w:lineRule="auto"/>
              <w:rPr>
                <w:noProof/>
              </w:rPr>
            </w:pPr>
            <w:r>
              <w:rPr>
                <w:noProof/>
              </w:rPr>
              <w:t xml:space="preserve">L’intégration fonctionnelle d’au moins huit hôpitaux doit être achevée, afin de rationaliser le système </w:t>
            </w:r>
            <w:r>
              <w:rPr>
                <w:noProof/>
              </w:rPr>
              <w:t>hospitalier par la réduction/redistribution des activités et la réduction de la capacité stationnaire aiguë, en renforçant les hôpitaux quotidiens en tant que traitements plus rentables.</w:t>
            </w:r>
          </w:p>
        </w:tc>
      </w:tr>
      <w:tr w:rsidR="00553430" w14:paraId="6AF09059"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0C7C119" w14:textId="77777777" w:rsidR="00553430" w:rsidRDefault="00212577">
            <w:pPr>
              <w:pStyle w:val="P68B1DB1-Normal66"/>
              <w:spacing w:after="200" w:line="276" w:lineRule="auto"/>
              <w:jc w:val="center"/>
              <w:rPr>
                <w:noProof/>
              </w:rPr>
            </w:pPr>
            <w:r>
              <w:rPr>
                <w:noProof/>
              </w:rPr>
              <w:t>338</w:t>
            </w:r>
          </w:p>
        </w:tc>
        <w:tc>
          <w:tcPr>
            <w:tcW w:w="1208" w:type="dxa"/>
            <w:tcBorders>
              <w:top w:val="single" w:sz="4" w:space="0" w:color="auto"/>
              <w:left w:val="nil"/>
              <w:bottom w:val="single" w:sz="4" w:space="0" w:color="auto"/>
              <w:right w:val="single" w:sz="4" w:space="0" w:color="auto"/>
            </w:tcBorders>
            <w:shd w:val="clear" w:color="auto" w:fill="C6EFCE"/>
            <w:noWrap/>
          </w:tcPr>
          <w:p w14:paraId="5A47A67C" w14:textId="77777777" w:rsidR="00553430" w:rsidRDefault="00212577">
            <w:pPr>
              <w:pStyle w:val="P68B1DB1-Normal66"/>
              <w:spacing w:after="200" w:line="276" w:lineRule="auto"/>
              <w:jc w:val="center"/>
              <w:rPr>
                <w:noProof/>
              </w:rPr>
            </w:pPr>
            <w:r>
              <w:rPr>
                <w:noProof/>
              </w:rPr>
              <w:t>C5.1. R4</w:t>
            </w:r>
          </w:p>
        </w:tc>
        <w:tc>
          <w:tcPr>
            <w:tcW w:w="1019" w:type="dxa"/>
            <w:tcBorders>
              <w:top w:val="single" w:sz="4" w:space="0" w:color="auto"/>
              <w:left w:val="nil"/>
              <w:bottom w:val="single" w:sz="4" w:space="0" w:color="auto"/>
              <w:right w:val="single" w:sz="4" w:space="0" w:color="auto"/>
            </w:tcBorders>
            <w:shd w:val="clear" w:color="auto" w:fill="C6EFCE"/>
            <w:noWrap/>
          </w:tcPr>
          <w:p w14:paraId="09CACB0D" w14:textId="77777777" w:rsidR="00553430" w:rsidRDefault="00212577">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43DC69B2" w14:textId="77777777" w:rsidR="00553430" w:rsidRDefault="00212577">
            <w:pPr>
              <w:pStyle w:val="P68B1DB1-Normal66"/>
              <w:spacing w:after="200" w:line="276" w:lineRule="auto"/>
              <w:rPr>
                <w:noProof/>
              </w:rPr>
            </w:pPr>
            <w:r>
              <w:rPr>
                <w:noProof/>
              </w:rPr>
              <w:t xml:space="preserve">Procédure conjointe de passation de marché pour les </w:t>
            </w:r>
            <w:r>
              <w:rPr>
                <w:noProof/>
              </w:rPr>
              <w:t>établissements de santé</w:t>
            </w:r>
          </w:p>
        </w:tc>
        <w:tc>
          <w:tcPr>
            <w:tcW w:w="1985" w:type="dxa"/>
            <w:tcBorders>
              <w:top w:val="single" w:sz="4" w:space="0" w:color="auto"/>
              <w:left w:val="nil"/>
              <w:bottom w:val="single" w:sz="4" w:space="0" w:color="auto"/>
              <w:right w:val="single" w:sz="4" w:space="0" w:color="auto"/>
            </w:tcBorders>
            <w:shd w:val="clear" w:color="auto" w:fill="C6EFCE"/>
            <w:noWrap/>
          </w:tcPr>
          <w:p w14:paraId="79CF9F70" w14:textId="77777777" w:rsidR="00553430" w:rsidRDefault="00212577">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2D247A5C" w14:textId="77777777" w:rsidR="00553430" w:rsidRDefault="00212577">
            <w:pPr>
              <w:pStyle w:val="P68B1DB1-Normal66"/>
              <w:spacing w:after="200" w:line="276" w:lineRule="auto"/>
              <w:jc w:val="center"/>
              <w:rPr>
                <w:noProof/>
              </w:rPr>
            </w:pPr>
            <w:r>
              <w:rPr>
                <w:noProof/>
              </w:rPr>
              <w:t>% (pourcentage)</w:t>
            </w:r>
          </w:p>
        </w:tc>
        <w:tc>
          <w:tcPr>
            <w:tcW w:w="1087" w:type="dxa"/>
            <w:tcBorders>
              <w:top w:val="single" w:sz="4" w:space="0" w:color="auto"/>
              <w:left w:val="nil"/>
              <w:bottom w:val="single" w:sz="4" w:space="0" w:color="auto"/>
              <w:right w:val="single" w:sz="4" w:space="0" w:color="auto"/>
            </w:tcBorders>
            <w:shd w:val="clear" w:color="auto" w:fill="C6EFCE"/>
            <w:noWrap/>
          </w:tcPr>
          <w:p w14:paraId="6B76D9D6"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498FCC58" w14:textId="77777777" w:rsidR="00553430" w:rsidRDefault="00212577">
            <w:pPr>
              <w:pStyle w:val="P68B1DB1-Normal66"/>
              <w:spacing w:after="200" w:line="276" w:lineRule="auto"/>
              <w:jc w:val="center"/>
              <w:rPr>
                <w:noProof/>
              </w:rPr>
            </w:pPr>
            <w:r>
              <w:rPr>
                <w:noProof/>
              </w:rPr>
              <w:t>85</w:t>
            </w:r>
          </w:p>
        </w:tc>
        <w:tc>
          <w:tcPr>
            <w:tcW w:w="756" w:type="dxa"/>
            <w:tcBorders>
              <w:top w:val="single" w:sz="4" w:space="0" w:color="auto"/>
              <w:left w:val="nil"/>
              <w:bottom w:val="single" w:sz="4" w:space="0" w:color="auto"/>
              <w:right w:val="single" w:sz="4" w:space="0" w:color="auto"/>
            </w:tcBorders>
            <w:shd w:val="clear" w:color="auto" w:fill="C6EFCE"/>
            <w:noWrap/>
          </w:tcPr>
          <w:p w14:paraId="2C9F3180" w14:textId="77777777" w:rsidR="00553430" w:rsidRDefault="00212577">
            <w:pPr>
              <w:pStyle w:val="P68B1DB1-Normal66"/>
              <w:spacing w:after="200" w:line="276" w:lineRule="auto"/>
              <w:jc w:val="center"/>
              <w:rPr>
                <w:noProof/>
              </w:rPr>
            </w:pPr>
            <w:r>
              <w:rPr>
                <w:noProof/>
              </w:rPr>
              <w:t>T4</w:t>
            </w:r>
          </w:p>
        </w:tc>
        <w:tc>
          <w:tcPr>
            <w:tcW w:w="895" w:type="dxa"/>
            <w:tcBorders>
              <w:top w:val="single" w:sz="4" w:space="0" w:color="auto"/>
              <w:left w:val="nil"/>
              <w:bottom w:val="single" w:sz="4" w:space="0" w:color="auto"/>
              <w:right w:val="single" w:sz="4" w:space="0" w:color="auto"/>
            </w:tcBorders>
            <w:shd w:val="clear" w:color="auto" w:fill="C6EFCE"/>
            <w:noWrap/>
          </w:tcPr>
          <w:p w14:paraId="723AB3B2" w14:textId="77777777" w:rsidR="00553430" w:rsidRDefault="00212577">
            <w:pPr>
              <w:pStyle w:val="P68B1DB1-Normal66"/>
              <w:spacing w:after="200" w:line="276" w:lineRule="auto"/>
              <w:jc w:val="center"/>
              <w:rPr>
                <w:noProof/>
              </w:rPr>
            </w:pPr>
            <w:r>
              <w:rPr>
                <w:noProof/>
              </w:rPr>
              <w:t>2023</w:t>
            </w:r>
          </w:p>
        </w:tc>
        <w:tc>
          <w:tcPr>
            <w:tcW w:w="3827" w:type="dxa"/>
            <w:tcBorders>
              <w:top w:val="single" w:sz="4" w:space="0" w:color="auto"/>
              <w:left w:val="nil"/>
              <w:bottom w:val="single" w:sz="4" w:space="0" w:color="auto"/>
              <w:right w:val="single" w:sz="4" w:space="0" w:color="auto"/>
            </w:tcBorders>
            <w:shd w:val="clear" w:color="auto" w:fill="C6EFCE"/>
            <w:noWrap/>
          </w:tcPr>
          <w:p w14:paraId="510C9658" w14:textId="61A90422" w:rsidR="00553430" w:rsidRDefault="00212577">
            <w:pPr>
              <w:pStyle w:val="P68B1DB1-Normal66"/>
              <w:spacing w:after="200" w:line="276" w:lineRule="auto"/>
              <w:rPr>
                <w:noProof/>
              </w:rPr>
            </w:pPr>
            <w:r>
              <w:rPr>
                <w:noProof/>
              </w:rPr>
              <w:t>Au moins 85 % des catégories d’achat, représentant au moins 80 % des dépenses totales des hôpitaux gérés par l’État, font l’objet d’une procédure conjointe de passation de marché. Pour atteindre l’obje</w:t>
            </w:r>
            <w:r>
              <w:rPr>
                <w:noProof/>
              </w:rPr>
              <w:t>ctif, sur la base d’une modification de la décision relative à la conduite conjointe obligatoire d’une procédure de passation de marché spécifique pour les établissements de santé, le ministère de la santé (MIZ): i) décider d'exercer une procédure conjoint</w:t>
            </w:r>
            <w:r>
              <w:rPr>
                <w:noProof/>
              </w:rPr>
              <w:t>e de passation de marché;</w:t>
            </w:r>
            <w:r>
              <w:rPr>
                <w:noProof/>
              </w:rPr>
              <w:br/>
              <w:t xml:space="preserve"> ii) conclure des accords avec les parties prenantes à la passation conjointe de marchés; iii) créer des groupes d'experts chargés d'élaborer des spécifications techniques pour les catégories concernées; et iv) mettre en œuvre les</w:t>
            </w:r>
            <w:r>
              <w:rPr>
                <w:noProof/>
              </w:rPr>
              <w:t xml:space="preserve"> catégories de marchés visées dans la décision relative à la mise en œuvre conjointe obligatoire d’une procédure de passation de marché spécifique pour les établissements de santé – après l’entrée en vigueur des spécifications techniques. Les procédures co</w:t>
            </w:r>
            <w:r>
              <w:rPr>
                <w:noProof/>
              </w:rPr>
              <w:t>njointes de passation de marchés sont menées conformément à la loi sur les marchés publics et à la conclusion d’accords-cadres/de contrats.</w:t>
            </w:r>
          </w:p>
        </w:tc>
      </w:tr>
      <w:tr w:rsidR="00553430" w14:paraId="5BD8F671"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9DE9321" w14:textId="77777777" w:rsidR="00553430" w:rsidRDefault="00212577">
            <w:pPr>
              <w:pStyle w:val="P68B1DB1-Normal66"/>
              <w:spacing w:after="200" w:line="276" w:lineRule="auto"/>
              <w:jc w:val="center"/>
              <w:rPr>
                <w:noProof/>
              </w:rPr>
            </w:pPr>
            <w:r>
              <w:rPr>
                <w:noProof/>
              </w:rPr>
              <w:t>339</w:t>
            </w:r>
          </w:p>
        </w:tc>
        <w:tc>
          <w:tcPr>
            <w:tcW w:w="1208" w:type="dxa"/>
            <w:tcBorders>
              <w:top w:val="single" w:sz="4" w:space="0" w:color="auto"/>
              <w:left w:val="nil"/>
              <w:bottom w:val="single" w:sz="4" w:space="0" w:color="auto"/>
              <w:right w:val="single" w:sz="4" w:space="0" w:color="auto"/>
            </w:tcBorders>
            <w:shd w:val="clear" w:color="auto" w:fill="C6EFCE"/>
            <w:noWrap/>
          </w:tcPr>
          <w:p w14:paraId="5ABF28EF" w14:textId="77777777" w:rsidR="00553430" w:rsidRDefault="00212577">
            <w:pPr>
              <w:pStyle w:val="P68B1DB1-Normal66"/>
              <w:spacing w:after="200" w:line="276" w:lineRule="auto"/>
              <w:jc w:val="center"/>
              <w:rPr>
                <w:noProof/>
              </w:rPr>
            </w:pPr>
            <w:r>
              <w:rPr>
                <w:noProof/>
              </w:rPr>
              <w:t>C5.1. R4-I1</w:t>
            </w:r>
          </w:p>
        </w:tc>
        <w:tc>
          <w:tcPr>
            <w:tcW w:w="1019" w:type="dxa"/>
            <w:tcBorders>
              <w:top w:val="single" w:sz="4" w:space="0" w:color="auto"/>
              <w:left w:val="nil"/>
              <w:bottom w:val="single" w:sz="4" w:space="0" w:color="auto"/>
              <w:right w:val="single" w:sz="4" w:space="0" w:color="auto"/>
            </w:tcBorders>
            <w:shd w:val="clear" w:color="auto" w:fill="C6EFCE"/>
            <w:noWrap/>
          </w:tcPr>
          <w:p w14:paraId="729251C1" w14:textId="77777777" w:rsidR="00553430" w:rsidRDefault="00212577">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72575FC2" w14:textId="77777777" w:rsidR="00553430" w:rsidRDefault="00212577">
            <w:pPr>
              <w:pStyle w:val="P68B1DB1-Normal66"/>
              <w:spacing w:after="200" w:line="276" w:lineRule="auto"/>
              <w:rPr>
                <w:noProof/>
              </w:rPr>
            </w:pPr>
            <w:r>
              <w:rPr>
                <w:noProof/>
              </w:rPr>
              <w:t xml:space="preserve">Gestion centrale des préparations parentérales dans 8 hôpitaux </w:t>
            </w:r>
          </w:p>
        </w:tc>
        <w:tc>
          <w:tcPr>
            <w:tcW w:w="1985" w:type="dxa"/>
            <w:tcBorders>
              <w:top w:val="single" w:sz="4" w:space="0" w:color="auto"/>
              <w:left w:val="nil"/>
              <w:bottom w:val="single" w:sz="4" w:space="0" w:color="auto"/>
              <w:right w:val="single" w:sz="4" w:space="0" w:color="auto"/>
            </w:tcBorders>
            <w:shd w:val="clear" w:color="auto" w:fill="C6EFCE"/>
            <w:noWrap/>
          </w:tcPr>
          <w:p w14:paraId="1D017F0E" w14:textId="77777777" w:rsidR="00553430" w:rsidRDefault="00212577">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5D73ED03" w14:textId="77777777" w:rsidR="00553430" w:rsidRDefault="00212577">
            <w:pPr>
              <w:pStyle w:val="P68B1DB1-Normal66"/>
              <w:spacing w:after="200" w:line="276" w:lineRule="auto"/>
              <w:jc w:val="center"/>
              <w:rPr>
                <w:noProof/>
              </w:rPr>
            </w:pPr>
            <w:r>
              <w:rPr>
                <w:noProof/>
              </w:rPr>
              <w:t>% (pourcentage)</w:t>
            </w:r>
          </w:p>
        </w:tc>
        <w:tc>
          <w:tcPr>
            <w:tcW w:w="1087" w:type="dxa"/>
            <w:tcBorders>
              <w:top w:val="single" w:sz="4" w:space="0" w:color="auto"/>
              <w:left w:val="nil"/>
              <w:bottom w:val="single" w:sz="4" w:space="0" w:color="auto"/>
              <w:right w:val="single" w:sz="4" w:space="0" w:color="auto"/>
            </w:tcBorders>
            <w:shd w:val="clear" w:color="auto" w:fill="C6EFCE"/>
            <w:noWrap/>
          </w:tcPr>
          <w:p w14:paraId="43587D62"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34CEE4A8" w14:textId="77777777" w:rsidR="00553430" w:rsidRDefault="00212577">
            <w:pPr>
              <w:pStyle w:val="P68B1DB1-Normal66"/>
              <w:spacing w:after="200" w:line="276" w:lineRule="auto"/>
              <w:jc w:val="center"/>
              <w:rPr>
                <w:noProof/>
              </w:rPr>
            </w:pPr>
            <w:r>
              <w:rPr>
                <w:noProof/>
              </w:rPr>
              <w:t>75</w:t>
            </w:r>
          </w:p>
        </w:tc>
        <w:tc>
          <w:tcPr>
            <w:tcW w:w="756" w:type="dxa"/>
            <w:tcBorders>
              <w:top w:val="single" w:sz="4" w:space="0" w:color="auto"/>
              <w:left w:val="nil"/>
              <w:bottom w:val="single" w:sz="4" w:space="0" w:color="auto"/>
              <w:right w:val="single" w:sz="4" w:space="0" w:color="auto"/>
            </w:tcBorders>
            <w:shd w:val="clear" w:color="auto" w:fill="C6EFCE"/>
            <w:noWrap/>
          </w:tcPr>
          <w:p w14:paraId="0026C286" w14:textId="77777777" w:rsidR="00553430" w:rsidRDefault="00212577">
            <w:pPr>
              <w:pStyle w:val="P68B1DB1-Normal66"/>
              <w:spacing w:after="200" w:line="276" w:lineRule="auto"/>
              <w:jc w:val="center"/>
              <w:rPr>
                <w:noProof/>
              </w:rPr>
            </w:pPr>
            <w:r>
              <w:rPr>
                <w:noProof/>
              </w:rPr>
              <w:t>T2</w:t>
            </w:r>
          </w:p>
        </w:tc>
        <w:tc>
          <w:tcPr>
            <w:tcW w:w="895" w:type="dxa"/>
            <w:tcBorders>
              <w:top w:val="single" w:sz="4" w:space="0" w:color="auto"/>
              <w:left w:val="nil"/>
              <w:bottom w:val="single" w:sz="4" w:space="0" w:color="auto"/>
              <w:right w:val="single" w:sz="4" w:space="0" w:color="auto"/>
            </w:tcBorders>
            <w:shd w:val="clear" w:color="auto" w:fill="C6EFCE"/>
            <w:noWrap/>
          </w:tcPr>
          <w:p w14:paraId="6A0138B6" w14:textId="77777777" w:rsidR="00553430" w:rsidRDefault="00212577">
            <w:pPr>
              <w:pStyle w:val="P68B1DB1-Normal66"/>
              <w:spacing w:after="200" w:line="276" w:lineRule="auto"/>
              <w:jc w:val="center"/>
              <w:rPr>
                <w:noProof/>
              </w:rPr>
            </w:pPr>
            <w:r>
              <w:rPr>
                <w:noProof/>
              </w:rPr>
              <w:t>2025</w:t>
            </w:r>
          </w:p>
        </w:tc>
        <w:tc>
          <w:tcPr>
            <w:tcW w:w="3827" w:type="dxa"/>
            <w:tcBorders>
              <w:top w:val="single" w:sz="4" w:space="0" w:color="auto"/>
              <w:left w:val="nil"/>
              <w:bottom w:val="single" w:sz="4" w:space="0" w:color="auto"/>
              <w:right w:val="single" w:sz="4" w:space="0" w:color="auto"/>
            </w:tcBorders>
            <w:shd w:val="clear" w:color="auto" w:fill="C6EFCE"/>
            <w:noWrap/>
          </w:tcPr>
          <w:p w14:paraId="4BE99A80" w14:textId="77777777" w:rsidR="00553430" w:rsidRDefault="00212577">
            <w:pPr>
              <w:pStyle w:val="P68B1DB1-Normal66"/>
              <w:spacing w:after="200" w:line="276" w:lineRule="auto"/>
              <w:rPr>
                <w:noProof/>
              </w:rPr>
            </w:pPr>
            <w:r>
              <w:rPr>
                <w:noProof/>
              </w:rPr>
              <w:t xml:space="preserve">Au moins 75 % des préparations parentérales dans huit hôpitaux croates sont effectuées au moyen d’une préparation centrale de médicaments. </w:t>
            </w:r>
          </w:p>
        </w:tc>
      </w:tr>
      <w:tr w:rsidR="00553430" w14:paraId="489554B2"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D733401" w14:textId="77777777" w:rsidR="00553430" w:rsidRDefault="00212577">
            <w:pPr>
              <w:pStyle w:val="P68B1DB1-Normal66"/>
              <w:spacing w:after="200" w:line="276" w:lineRule="auto"/>
              <w:jc w:val="center"/>
              <w:rPr>
                <w:noProof/>
              </w:rPr>
            </w:pPr>
            <w:r>
              <w:rPr>
                <w:noProof/>
              </w:rPr>
              <w:t>340</w:t>
            </w:r>
          </w:p>
        </w:tc>
        <w:tc>
          <w:tcPr>
            <w:tcW w:w="1208" w:type="dxa"/>
            <w:tcBorders>
              <w:top w:val="single" w:sz="4" w:space="0" w:color="auto"/>
              <w:left w:val="nil"/>
              <w:bottom w:val="single" w:sz="4" w:space="0" w:color="auto"/>
              <w:right w:val="single" w:sz="4" w:space="0" w:color="auto"/>
            </w:tcBorders>
            <w:shd w:val="clear" w:color="auto" w:fill="C6EFCE"/>
            <w:noWrap/>
          </w:tcPr>
          <w:p w14:paraId="379ED3DE" w14:textId="77777777" w:rsidR="00553430" w:rsidRDefault="00212577">
            <w:pPr>
              <w:pStyle w:val="P68B1DB1-Normal66"/>
              <w:spacing w:after="200" w:line="276" w:lineRule="auto"/>
              <w:jc w:val="center"/>
              <w:rPr>
                <w:noProof/>
              </w:rPr>
            </w:pPr>
            <w:r>
              <w:rPr>
                <w:noProof/>
              </w:rPr>
              <w:t>C5.1. R4-I2</w:t>
            </w:r>
          </w:p>
        </w:tc>
        <w:tc>
          <w:tcPr>
            <w:tcW w:w="1019" w:type="dxa"/>
            <w:tcBorders>
              <w:top w:val="single" w:sz="4" w:space="0" w:color="auto"/>
              <w:left w:val="nil"/>
              <w:bottom w:val="single" w:sz="4" w:space="0" w:color="auto"/>
              <w:right w:val="single" w:sz="4" w:space="0" w:color="auto"/>
            </w:tcBorders>
            <w:shd w:val="clear" w:color="auto" w:fill="C6EFCE"/>
            <w:noWrap/>
          </w:tcPr>
          <w:p w14:paraId="6332CCC1" w14:textId="77777777" w:rsidR="00553430" w:rsidRDefault="00212577">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2EE5F18A" w14:textId="77777777" w:rsidR="00553430" w:rsidRDefault="00212577">
            <w:pPr>
              <w:pStyle w:val="P68B1DB1-Normal66"/>
              <w:spacing w:after="200" w:line="276" w:lineRule="auto"/>
              <w:rPr>
                <w:noProof/>
              </w:rPr>
            </w:pPr>
            <w:r>
              <w:rPr>
                <w:noProof/>
              </w:rPr>
              <w:t xml:space="preserve">Système de thérapie unitaire pour les formes solides de médicaments dans 40 hôpitaux croates </w:t>
            </w:r>
          </w:p>
        </w:tc>
        <w:tc>
          <w:tcPr>
            <w:tcW w:w="1985" w:type="dxa"/>
            <w:tcBorders>
              <w:top w:val="single" w:sz="4" w:space="0" w:color="auto"/>
              <w:left w:val="nil"/>
              <w:bottom w:val="single" w:sz="4" w:space="0" w:color="auto"/>
              <w:right w:val="single" w:sz="4" w:space="0" w:color="auto"/>
            </w:tcBorders>
            <w:shd w:val="clear" w:color="auto" w:fill="C6EFCE"/>
            <w:noWrap/>
          </w:tcPr>
          <w:p w14:paraId="4670046A" w14:textId="77777777" w:rsidR="00553430" w:rsidRDefault="00212577">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526622B6" w14:textId="77777777" w:rsidR="00553430" w:rsidRDefault="00212577">
            <w:pPr>
              <w:pStyle w:val="P68B1DB1-Normal66"/>
              <w:spacing w:after="200" w:line="276" w:lineRule="auto"/>
              <w:jc w:val="center"/>
              <w:rPr>
                <w:noProof/>
              </w:rPr>
            </w:pPr>
            <w:r>
              <w:rPr>
                <w:noProof/>
              </w:rPr>
              <w:t>Numéro</w:t>
            </w:r>
          </w:p>
        </w:tc>
        <w:tc>
          <w:tcPr>
            <w:tcW w:w="1087" w:type="dxa"/>
            <w:tcBorders>
              <w:top w:val="single" w:sz="4" w:space="0" w:color="auto"/>
              <w:left w:val="nil"/>
              <w:bottom w:val="single" w:sz="4" w:space="0" w:color="auto"/>
              <w:right w:val="single" w:sz="4" w:space="0" w:color="auto"/>
            </w:tcBorders>
            <w:shd w:val="clear" w:color="auto" w:fill="C6EFCE"/>
            <w:noWrap/>
          </w:tcPr>
          <w:p w14:paraId="334E6F8B"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6319EFA6" w14:textId="77777777" w:rsidR="00553430" w:rsidRDefault="00212577">
            <w:pPr>
              <w:pStyle w:val="P68B1DB1-Normal66"/>
              <w:spacing w:after="200" w:line="276" w:lineRule="auto"/>
              <w:jc w:val="center"/>
              <w:rPr>
                <w:noProof/>
              </w:rPr>
            </w:pPr>
            <w:r>
              <w:rPr>
                <w:noProof/>
              </w:rPr>
              <w:t>40</w:t>
            </w:r>
          </w:p>
        </w:tc>
        <w:tc>
          <w:tcPr>
            <w:tcW w:w="756" w:type="dxa"/>
            <w:tcBorders>
              <w:top w:val="single" w:sz="4" w:space="0" w:color="auto"/>
              <w:left w:val="nil"/>
              <w:bottom w:val="single" w:sz="4" w:space="0" w:color="auto"/>
              <w:right w:val="single" w:sz="4" w:space="0" w:color="auto"/>
            </w:tcBorders>
            <w:shd w:val="clear" w:color="auto" w:fill="C6EFCE"/>
            <w:noWrap/>
          </w:tcPr>
          <w:p w14:paraId="750BB06F" w14:textId="77777777" w:rsidR="00553430" w:rsidRDefault="00212577">
            <w:pPr>
              <w:pStyle w:val="P68B1DB1-Normal66"/>
              <w:spacing w:after="200" w:line="276" w:lineRule="auto"/>
              <w:jc w:val="center"/>
              <w:rPr>
                <w:noProof/>
              </w:rPr>
            </w:pPr>
            <w:r>
              <w:rPr>
                <w:noProof/>
              </w:rPr>
              <w:t>T4</w:t>
            </w:r>
          </w:p>
        </w:tc>
        <w:tc>
          <w:tcPr>
            <w:tcW w:w="895" w:type="dxa"/>
            <w:tcBorders>
              <w:top w:val="single" w:sz="4" w:space="0" w:color="auto"/>
              <w:left w:val="nil"/>
              <w:bottom w:val="single" w:sz="4" w:space="0" w:color="auto"/>
              <w:right w:val="single" w:sz="4" w:space="0" w:color="auto"/>
            </w:tcBorders>
            <w:shd w:val="clear" w:color="auto" w:fill="C6EFCE"/>
            <w:noWrap/>
          </w:tcPr>
          <w:p w14:paraId="5C7C7933" w14:textId="77777777" w:rsidR="00553430" w:rsidRDefault="00212577">
            <w:pPr>
              <w:pStyle w:val="P68B1DB1-Normal66"/>
              <w:spacing w:after="200" w:line="276" w:lineRule="auto"/>
              <w:jc w:val="center"/>
              <w:rPr>
                <w:noProof/>
              </w:rPr>
            </w:pPr>
            <w:r>
              <w:rPr>
                <w:noProof/>
              </w:rPr>
              <w:t>2025</w:t>
            </w:r>
          </w:p>
        </w:tc>
        <w:tc>
          <w:tcPr>
            <w:tcW w:w="3827" w:type="dxa"/>
            <w:tcBorders>
              <w:top w:val="single" w:sz="4" w:space="0" w:color="auto"/>
              <w:left w:val="nil"/>
              <w:bottom w:val="single" w:sz="4" w:space="0" w:color="auto"/>
              <w:right w:val="single" w:sz="4" w:space="0" w:color="auto"/>
            </w:tcBorders>
            <w:shd w:val="clear" w:color="auto" w:fill="C6EFCE"/>
            <w:noWrap/>
          </w:tcPr>
          <w:p w14:paraId="2E428281" w14:textId="1168BB36" w:rsidR="00553430" w:rsidRDefault="00212577">
            <w:pPr>
              <w:pStyle w:val="P68B1DB1-Normal66"/>
              <w:spacing w:after="200" w:line="276" w:lineRule="auto"/>
              <w:rPr>
                <w:noProof/>
              </w:rPr>
            </w:pPr>
            <w:r>
              <w:rPr>
                <w:noProof/>
              </w:rPr>
              <w:t xml:space="preserve">Installation d'un système de thérapie unitaire dans 40 hôpitaux croates. </w:t>
            </w:r>
          </w:p>
        </w:tc>
      </w:tr>
      <w:tr w:rsidR="00553430" w14:paraId="1DE747D8"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3DF1598" w14:textId="77777777" w:rsidR="00553430" w:rsidRDefault="00212577">
            <w:pPr>
              <w:pStyle w:val="P68B1DB1-Normal66"/>
              <w:spacing w:after="200" w:line="276" w:lineRule="auto"/>
              <w:jc w:val="center"/>
              <w:rPr>
                <w:noProof/>
              </w:rPr>
            </w:pPr>
            <w:r>
              <w:rPr>
                <w:noProof/>
              </w:rPr>
              <w:t>341</w:t>
            </w:r>
          </w:p>
        </w:tc>
        <w:tc>
          <w:tcPr>
            <w:tcW w:w="1208" w:type="dxa"/>
            <w:tcBorders>
              <w:top w:val="single" w:sz="4" w:space="0" w:color="auto"/>
              <w:left w:val="nil"/>
              <w:bottom w:val="single" w:sz="4" w:space="0" w:color="auto"/>
              <w:right w:val="single" w:sz="4" w:space="0" w:color="auto"/>
            </w:tcBorders>
            <w:shd w:val="clear" w:color="auto" w:fill="C6EFCE"/>
            <w:noWrap/>
          </w:tcPr>
          <w:p w14:paraId="404C3565" w14:textId="77777777" w:rsidR="00553430" w:rsidRDefault="00212577">
            <w:pPr>
              <w:pStyle w:val="P68B1DB1-Normal66"/>
              <w:spacing w:after="200" w:line="276" w:lineRule="auto"/>
              <w:jc w:val="center"/>
              <w:rPr>
                <w:noProof/>
              </w:rPr>
            </w:pPr>
            <w:r>
              <w:rPr>
                <w:noProof/>
              </w:rPr>
              <w:t>C5.1. R4-I3</w:t>
            </w:r>
          </w:p>
        </w:tc>
        <w:tc>
          <w:tcPr>
            <w:tcW w:w="1019" w:type="dxa"/>
            <w:tcBorders>
              <w:top w:val="single" w:sz="4" w:space="0" w:color="auto"/>
              <w:left w:val="nil"/>
              <w:bottom w:val="single" w:sz="4" w:space="0" w:color="auto"/>
              <w:right w:val="single" w:sz="4" w:space="0" w:color="auto"/>
            </w:tcBorders>
            <w:shd w:val="clear" w:color="auto" w:fill="C6EFCE"/>
            <w:noWrap/>
          </w:tcPr>
          <w:p w14:paraId="46A940FA" w14:textId="77777777" w:rsidR="00553430" w:rsidRDefault="00212577">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662E9621" w14:textId="77777777" w:rsidR="00553430" w:rsidRDefault="00212577">
            <w:pPr>
              <w:pStyle w:val="P68B1DB1-Normal66"/>
              <w:spacing w:after="200" w:line="276" w:lineRule="auto"/>
              <w:rPr>
                <w:noProof/>
              </w:rPr>
            </w:pPr>
            <w:r>
              <w:rPr>
                <w:noProof/>
              </w:rPr>
              <w:t xml:space="preserve">Surveillance des médicaments dans le système hospitalier de la pharmacie au patient </w:t>
            </w:r>
          </w:p>
        </w:tc>
        <w:tc>
          <w:tcPr>
            <w:tcW w:w="1985" w:type="dxa"/>
            <w:tcBorders>
              <w:top w:val="single" w:sz="4" w:space="0" w:color="auto"/>
              <w:left w:val="nil"/>
              <w:bottom w:val="single" w:sz="4" w:space="0" w:color="auto"/>
              <w:right w:val="single" w:sz="4" w:space="0" w:color="auto"/>
            </w:tcBorders>
            <w:shd w:val="clear" w:color="auto" w:fill="C6EFCE"/>
            <w:noWrap/>
          </w:tcPr>
          <w:p w14:paraId="24424BA1" w14:textId="77777777" w:rsidR="00553430" w:rsidRDefault="00212577">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1E5C1896" w14:textId="77777777" w:rsidR="00553430" w:rsidRDefault="00212577">
            <w:pPr>
              <w:pStyle w:val="P68B1DB1-Normal66"/>
              <w:spacing w:after="200" w:line="276" w:lineRule="auto"/>
              <w:jc w:val="center"/>
              <w:rPr>
                <w:noProof/>
              </w:rPr>
            </w:pPr>
            <w:r>
              <w:rPr>
                <w:noProof/>
              </w:rPr>
              <w:t>Numéro</w:t>
            </w:r>
          </w:p>
        </w:tc>
        <w:tc>
          <w:tcPr>
            <w:tcW w:w="1087" w:type="dxa"/>
            <w:tcBorders>
              <w:top w:val="single" w:sz="4" w:space="0" w:color="auto"/>
              <w:left w:val="nil"/>
              <w:bottom w:val="single" w:sz="4" w:space="0" w:color="auto"/>
              <w:right w:val="single" w:sz="4" w:space="0" w:color="auto"/>
            </w:tcBorders>
            <w:shd w:val="clear" w:color="auto" w:fill="C6EFCE"/>
            <w:noWrap/>
          </w:tcPr>
          <w:p w14:paraId="4E27F5B4"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6E09D19B" w14:textId="77777777" w:rsidR="00553430" w:rsidRDefault="00212577">
            <w:pPr>
              <w:pStyle w:val="P68B1DB1-Normal66"/>
              <w:spacing w:after="200" w:line="276" w:lineRule="auto"/>
              <w:jc w:val="center"/>
              <w:rPr>
                <w:noProof/>
              </w:rPr>
            </w:pPr>
            <w:r>
              <w:rPr>
                <w:noProof/>
              </w:rPr>
              <w:t>30</w:t>
            </w:r>
          </w:p>
        </w:tc>
        <w:tc>
          <w:tcPr>
            <w:tcW w:w="756" w:type="dxa"/>
            <w:tcBorders>
              <w:top w:val="single" w:sz="4" w:space="0" w:color="auto"/>
              <w:left w:val="nil"/>
              <w:bottom w:val="single" w:sz="4" w:space="0" w:color="auto"/>
              <w:right w:val="single" w:sz="4" w:space="0" w:color="auto"/>
            </w:tcBorders>
            <w:shd w:val="clear" w:color="auto" w:fill="C6EFCE"/>
            <w:noWrap/>
          </w:tcPr>
          <w:p w14:paraId="09BB11A3" w14:textId="77777777" w:rsidR="00553430" w:rsidRDefault="00212577">
            <w:pPr>
              <w:pStyle w:val="P68B1DB1-Normal66"/>
              <w:spacing w:after="200" w:line="276" w:lineRule="auto"/>
              <w:jc w:val="center"/>
              <w:rPr>
                <w:noProof/>
              </w:rPr>
            </w:pPr>
            <w:r>
              <w:rPr>
                <w:noProof/>
              </w:rPr>
              <w:t>T2</w:t>
            </w:r>
          </w:p>
        </w:tc>
        <w:tc>
          <w:tcPr>
            <w:tcW w:w="895" w:type="dxa"/>
            <w:tcBorders>
              <w:top w:val="single" w:sz="4" w:space="0" w:color="auto"/>
              <w:left w:val="nil"/>
              <w:bottom w:val="single" w:sz="4" w:space="0" w:color="auto"/>
              <w:right w:val="single" w:sz="4" w:space="0" w:color="auto"/>
            </w:tcBorders>
            <w:shd w:val="clear" w:color="auto" w:fill="C6EFCE"/>
            <w:noWrap/>
          </w:tcPr>
          <w:p w14:paraId="68A04419" w14:textId="77777777" w:rsidR="00553430" w:rsidRDefault="00212577">
            <w:pPr>
              <w:pStyle w:val="P68B1DB1-Normal66"/>
              <w:spacing w:after="200" w:line="276" w:lineRule="auto"/>
              <w:jc w:val="center"/>
              <w:rPr>
                <w:noProof/>
              </w:rPr>
            </w:pPr>
            <w:r>
              <w:rPr>
                <w:noProof/>
              </w:rPr>
              <w:t>2026</w:t>
            </w:r>
          </w:p>
        </w:tc>
        <w:tc>
          <w:tcPr>
            <w:tcW w:w="3827" w:type="dxa"/>
            <w:tcBorders>
              <w:top w:val="single" w:sz="4" w:space="0" w:color="auto"/>
              <w:left w:val="nil"/>
              <w:bottom w:val="single" w:sz="4" w:space="0" w:color="auto"/>
              <w:right w:val="single" w:sz="4" w:space="0" w:color="auto"/>
            </w:tcBorders>
            <w:shd w:val="clear" w:color="auto" w:fill="C6EFCE"/>
            <w:noWrap/>
          </w:tcPr>
          <w:p w14:paraId="67616186" w14:textId="77777777" w:rsidR="00553430" w:rsidRDefault="00212577">
            <w:pPr>
              <w:pStyle w:val="P68B1DB1-Normal66"/>
              <w:spacing w:after="200" w:line="276" w:lineRule="auto"/>
              <w:rPr>
                <w:noProof/>
              </w:rPr>
            </w:pPr>
            <w:r>
              <w:rPr>
                <w:noProof/>
              </w:rPr>
              <w:t xml:space="preserve">Au moins 30 hôpitaux disposent d’une solution informatique fonctionnelle intégrée pour la surveillance des médicaments dans le système hospitalier, de la pharmacie au patient. </w:t>
            </w:r>
          </w:p>
        </w:tc>
      </w:tr>
      <w:tr w:rsidR="00553430" w14:paraId="26F96D23" w14:textId="77777777">
        <w:trPr>
          <w:trHeight w:val="77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CBBEE1A" w14:textId="77777777" w:rsidR="00553430" w:rsidRDefault="00212577">
            <w:pPr>
              <w:pStyle w:val="P68B1DB1-Normal66"/>
              <w:spacing w:after="200" w:line="276" w:lineRule="auto"/>
              <w:jc w:val="center"/>
              <w:rPr>
                <w:noProof/>
              </w:rPr>
            </w:pPr>
            <w:r>
              <w:rPr>
                <w:noProof/>
              </w:rPr>
              <w:t>342</w:t>
            </w:r>
          </w:p>
        </w:tc>
        <w:tc>
          <w:tcPr>
            <w:tcW w:w="1208" w:type="dxa"/>
            <w:tcBorders>
              <w:top w:val="single" w:sz="4" w:space="0" w:color="auto"/>
              <w:left w:val="nil"/>
              <w:bottom w:val="single" w:sz="4" w:space="0" w:color="auto"/>
              <w:right w:val="single" w:sz="4" w:space="0" w:color="auto"/>
            </w:tcBorders>
            <w:shd w:val="clear" w:color="auto" w:fill="C6EFCE"/>
            <w:noWrap/>
          </w:tcPr>
          <w:p w14:paraId="60AA43F8" w14:textId="77777777" w:rsidR="00553430" w:rsidRDefault="00212577">
            <w:pPr>
              <w:pStyle w:val="P68B1DB1-Normal66"/>
              <w:spacing w:after="200" w:line="276" w:lineRule="auto"/>
              <w:jc w:val="center"/>
              <w:rPr>
                <w:noProof/>
              </w:rPr>
            </w:pPr>
            <w:r>
              <w:rPr>
                <w:noProof/>
              </w:rPr>
              <w:t>C5.1. R4-I4</w:t>
            </w:r>
          </w:p>
        </w:tc>
        <w:tc>
          <w:tcPr>
            <w:tcW w:w="1019" w:type="dxa"/>
            <w:tcBorders>
              <w:top w:val="single" w:sz="4" w:space="0" w:color="auto"/>
              <w:left w:val="nil"/>
              <w:bottom w:val="single" w:sz="4" w:space="0" w:color="auto"/>
              <w:right w:val="single" w:sz="4" w:space="0" w:color="auto"/>
            </w:tcBorders>
            <w:shd w:val="clear" w:color="auto" w:fill="C6EFCE"/>
            <w:noWrap/>
          </w:tcPr>
          <w:p w14:paraId="7EFE69D7" w14:textId="77777777" w:rsidR="00553430" w:rsidRDefault="00212577">
            <w:pPr>
              <w:pStyle w:val="P68B1DB1-Normal66"/>
              <w:spacing w:after="200" w:line="276" w:lineRule="auto"/>
              <w:jc w:val="center"/>
              <w:rPr>
                <w:noProof/>
                <w:color w:val="000000" w:themeColor="text1"/>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012F5AC4" w14:textId="77777777" w:rsidR="00553430" w:rsidRDefault="00212577">
            <w:pPr>
              <w:pStyle w:val="P68B1DB1-Normal66"/>
              <w:spacing w:after="200" w:line="276" w:lineRule="auto"/>
              <w:rPr>
                <w:noProof/>
              </w:rPr>
            </w:pPr>
            <w:r>
              <w:rPr>
                <w:noProof/>
              </w:rPr>
              <w:t xml:space="preserve">Système de surveillance des pénuries de médicaments fondé </w:t>
            </w:r>
            <w:r>
              <w:rPr>
                <w:noProof/>
              </w:rPr>
              <w:t>sur la technologie de la «chaîne de blocs»</w:t>
            </w:r>
          </w:p>
        </w:tc>
        <w:tc>
          <w:tcPr>
            <w:tcW w:w="1985" w:type="dxa"/>
            <w:tcBorders>
              <w:top w:val="single" w:sz="4" w:space="0" w:color="auto"/>
              <w:left w:val="nil"/>
              <w:bottom w:val="single" w:sz="4" w:space="0" w:color="auto"/>
              <w:right w:val="single" w:sz="4" w:space="0" w:color="auto"/>
            </w:tcBorders>
            <w:shd w:val="clear" w:color="auto" w:fill="C6EFCE"/>
            <w:noWrap/>
          </w:tcPr>
          <w:p w14:paraId="10B9B5D9" w14:textId="77777777" w:rsidR="00553430" w:rsidRDefault="00212577">
            <w:pPr>
              <w:pStyle w:val="P68B1DB1-Normal66"/>
              <w:spacing w:after="200" w:line="276" w:lineRule="auto"/>
              <w:rPr>
                <w:noProof/>
              </w:rPr>
            </w:pPr>
            <w:r>
              <w:rPr>
                <w:noProof/>
              </w:rPr>
              <w:t> </w:t>
            </w:r>
          </w:p>
        </w:tc>
        <w:tc>
          <w:tcPr>
            <w:tcW w:w="1296" w:type="dxa"/>
            <w:tcBorders>
              <w:top w:val="single" w:sz="4" w:space="0" w:color="auto"/>
              <w:left w:val="nil"/>
              <w:bottom w:val="single" w:sz="4" w:space="0" w:color="auto"/>
              <w:right w:val="single" w:sz="4" w:space="0" w:color="auto"/>
            </w:tcBorders>
            <w:shd w:val="clear" w:color="auto" w:fill="C6EFCE"/>
            <w:noWrap/>
          </w:tcPr>
          <w:p w14:paraId="3F81F27E" w14:textId="77777777" w:rsidR="00553430" w:rsidRDefault="00212577">
            <w:pPr>
              <w:pStyle w:val="P68B1DB1-Normal66"/>
              <w:spacing w:after="200" w:line="276" w:lineRule="auto"/>
              <w:jc w:val="center"/>
              <w:rPr>
                <w:noProof/>
                <w:color w:val="000000" w:themeColor="text1"/>
              </w:rPr>
            </w:pPr>
            <w:r>
              <w:rPr>
                <w:noProof/>
              </w:rPr>
              <w:t>Numéro</w:t>
            </w:r>
          </w:p>
        </w:tc>
        <w:tc>
          <w:tcPr>
            <w:tcW w:w="1087" w:type="dxa"/>
            <w:tcBorders>
              <w:top w:val="single" w:sz="4" w:space="0" w:color="auto"/>
              <w:left w:val="nil"/>
              <w:bottom w:val="single" w:sz="4" w:space="0" w:color="auto"/>
              <w:right w:val="single" w:sz="4" w:space="0" w:color="auto"/>
            </w:tcBorders>
            <w:shd w:val="clear" w:color="auto" w:fill="C6EFCE"/>
            <w:noWrap/>
          </w:tcPr>
          <w:p w14:paraId="774094A3"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0393370A" w14:textId="77777777" w:rsidR="00553430" w:rsidRDefault="00212577">
            <w:pPr>
              <w:pStyle w:val="P68B1DB1-Normal66"/>
              <w:spacing w:after="200" w:line="276" w:lineRule="auto"/>
              <w:jc w:val="center"/>
              <w:rPr>
                <w:noProof/>
              </w:rPr>
            </w:pPr>
            <w:r>
              <w:rPr>
                <w:noProof/>
              </w:rPr>
              <w:t>1</w:t>
            </w:r>
          </w:p>
        </w:tc>
        <w:tc>
          <w:tcPr>
            <w:tcW w:w="756" w:type="dxa"/>
            <w:tcBorders>
              <w:top w:val="single" w:sz="4" w:space="0" w:color="auto"/>
              <w:left w:val="nil"/>
              <w:bottom w:val="single" w:sz="4" w:space="0" w:color="auto"/>
              <w:right w:val="single" w:sz="4" w:space="0" w:color="auto"/>
            </w:tcBorders>
            <w:shd w:val="clear" w:color="auto" w:fill="C6EFCE"/>
            <w:noWrap/>
          </w:tcPr>
          <w:p w14:paraId="41B33DFE" w14:textId="77777777" w:rsidR="00553430" w:rsidRDefault="00212577">
            <w:pPr>
              <w:pStyle w:val="P68B1DB1-Normal66"/>
              <w:spacing w:after="200" w:line="276" w:lineRule="auto"/>
              <w:jc w:val="center"/>
              <w:rPr>
                <w:noProof/>
              </w:rPr>
            </w:pPr>
            <w:r>
              <w:rPr>
                <w:noProof/>
              </w:rPr>
              <w:t>T2</w:t>
            </w:r>
          </w:p>
        </w:tc>
        <w:tc>
          <w:tcPr>
            <w:tcW w:w="895" w:type="dxa"/>
            <w:tcBorders>
              <w:top w:val="single" w:sz="4" w:space="0" w:color="auto"/>
              <w:left w:val="nil"/>
              <w:bottom w:val="single" w:sz="4" w:space="0" w:color="auto"/>
              <w:right w:val="single" w:sz="4" w:space="0" w:color="auto"/>
            </w:tcBorders>
            <w:shd w:val="clear" w:color="auto" w:fill="C6EFCE"/>
            <w:noWrap/>
          </w:tcPr>
          <w:p w14:paraId="145E1E6E" w14:textId="77777777" w:rsidR="00553430" w:rsidRDefault="00212577">
            <w:pPr>
              <w:pStyle w:val="P68B1DB1-Normal66"/>
              <w:spacing w:after="200" w:line="276" w:lineRule="auto"/>
              <w:jc w:val="center"/>
              <w:rPr>
                <w:noProof/>
              </w:rPr>
            </w:pPr>
            <w:r>
              <w:rPr>
                <w:noProof/>
              </w:rPr>
              <w:t>2025</w:t>
            </w:r>
          </w:p>
        </w:tc>
        <w:tc>
          <w:tcPr>
            <w:tcW w:w="3827" w:type="dxa"/>
            <w:tcBorders>
              <w:top w:val="single" w:sz="4" w:space="0" w:color="auto"/>
              <w:left w:val="nil"/>
              <w:bottom w:val="single" w:sz="4" w:space="0" w:color="auto"/>
              <w:right w:val="single" w:sz="4" w:space="0" w:color="auto"/>
            </w:tcBorders>
            <w:shd w:val="clear" w:color="auto" w:fill="C6EFCE"/>
            <w:noWrap/>
          </w:tcPr>
          <w:p w14:paraId="79C21DAD" w14:textId="09A2810D" w:rsidR="00553430" w:rsidRDefault="00212577">
            <w:pPr>
              <w:pStyle w:val="P68B1DB1-Normal66"/>
              <w:spacing w:after="200" w:line="276" w:lineRule="auto"/>
              <w:rPr>
                <w:noProof/>
              </w:rPr>
            </w:pPr>
            <w:r>
              <w:rPr>
                <w:noProof/>
              </w:rPr>
              <w:t>Une solution logicielle sera mise au point pour surveiller les pénuries de médicaments en Croatie et élaborer un modèle intégré pour anticiper et prévenir les pénuries de médicaments. Les médi</w:t>
            </w:r>
            <w:r>
              <w:rPr>
                <w:noProof/>
              </w:rPr>
              <w:t>caments sont surveillés au moyen de la solution logicielle blockchain.</w:t>
            </w:r>
          </w:p>
        </w:tc>
      </w:tr>
      <w:tr w:rsidR="00553430" w14:paraId="7C387859"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9DC91C9" w14:textId="77777777" w:rsidR="00553430" w:rsidRDefault="00212577">
            <w:pPr>
              <w:pStyle w:val="P68B1DB1-Normal66"/>
              <w:spacing w:after="200" w:line="276" w:lineRule="auto"/>
              <w:jc w:val="center"/>
              <w:rPr>
                <w:noProof/>
              </w:rPr>
            </w:pPr>
            <w:r>
              <w:rPr>
                <w:noProof/>
              </w:rPr>
              <w:t>343</w:t>
            </w:r>
          </w:p>
        </w:tc>
        <w:tc>
          <w:tcPr>
            <w:tcW w:w="1208" w:type="dxa"/>
            <w:tcBorders>
              <w:top w:val="single" w:sz="4" w:space="0" w:color="auto"/>
              <w:left w:val="nil"/>
              <w:bottom w:val="single" w:sz="4" w:space="0" w:color="auto"/>
              <w:right w:val="single" w:sz="4" w:space="0" w:color="auto"/>
            </w:tcBorders>
            <w:shd w:val="clear" w:color="auto" w:fill="C6EFCE"/>
            <w:noWrap/>
          </w:tcPr>
          <w:p w14:paraId="2DD19D18" w14:textId="77777777" w:rsidR="00553430" w:rsidRDefault="00212577">
            <w:pPr>
              <w:pStyle w:val="P68B1DB1-Normal66"/>
              <w:spacing w:after="200" w:line="276" w:lineRule="auto"/>
              <w:jc w:val="center"/>
              <w:rPr>
                <w:noProof/>
              </w:rPr>
            </w:pPr>
            <w:r>
              <w:rPr>
                <w:noProof/>
              </w:rPr>
              <w:t>C5.1. R5-I5</w:t>
            </w:r>
          </w:p>
        </w:tc>
        <w:tc>
          <w:tcPr>
            <w:tcW w:w="1019" w:type="dxa"/>
            <w:tcBorders>
              <w:top w:val="single" w:sz="4" w:space="0" w:color="auto"/>
              <w:left w:val="nil"/>
              <w:bottom w:val="single" w:sz="4" w:space="0" w:color="auto"/>
              <w:right w:val="single" w:sz="4" w:space="0" w:color="auto"/>
            </w:tcBorders>
            <w:shd w:val="clear" w:color="auto" w:fill="C6EFCE"/>
            <w:noWrap/>
          </w:tcPr>
          <w:p w14:paraId="5D8469B9" w14:textId="77777777" w:rsidR="00553430" w:rsidRDefault="00212577">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3BD8CD67" w14:textId="77777777" w:rsidR="00553430" w:rsidRDefault="00212577">
            <w:pPr>
              <w:pStyle w:val="P68B1DB1-Normal66"/>
              <w:spacing w:after="200" w:line="276" w:lineRule="auto"/>
              <w:rPr>
                <w:noProof/>
              </w:rPr>
            </w:pPr>
            <w:r>
              <w:rPr>
                <w:noProof/>
              </w:rPr>
              <w:t xml:space="preserve">Unités de diagnostic Centre hospitalier clinique (KBC) Merkur </w:t>
            </w:r>
          </w:p>
        </w:tc>
        <w:tc>
          <w:tcPr>
            <w:tcW w:w="1985" w:type="dxa"/>
            <w:tcBorders>
              <w:top w:val="single" w:sz="4" w:space="0" w:color="auto"/>
              <w:left w:val="nil"/>
              <w:bottom w:val="single" w:sz="4" w:space="0" w:color="auto"/>
              <w:right w:val="single" w:sz="4" w:space="0" w:color="auto"/>
            </w:tcBorders>
            <w:shd w:val="clear" w:color="auto" w:fill="C6EFCE"/>
            <w:noWrap/>
          </w:tcPr>
          <w:p w14:paraId="074CB12D" w14:textId="77777777" w:rsidR="00553430" w:rsidRDefault="00212577">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2435CD23" w14:textId="77777777" w:rsidR="00553430" w:rsidRDefault="00212577">
            <w:pPr>
              <w:pStyle w:val="P68B1DB1-Normal66"/>
              <w:spacing w:after="200" w:line="276" w:lineRule="auto"/>
              <w:jc w:val="center"/>
              <w:rPr>
                <w:noProof/>
              </w:rPr>
            </w:pPr>
            <w:r>
              <w:rPr>
                <w:noProof/>
              </w:rPr>
              <w:t>Numéro</w:t>
            </w:r>
          </w:p>
        </w:tc>
        <w:tc>
          <w:tcPr>
            <w:tcW w:w="1087" w:type="dxa"/>
            <w:tcBorders>
              <w:top w:val="single" w:sz="4" w:space="0" w:color="auto"/>
              <w:left w:val="nil"/>
              <w:bottom w:val="single" w:sz="4" w:space="0" w:color="auto"/>
              <w:right w:val="single" w:sz="4" w:space="0" w:color="auto"/>
            </w:tcBorders>
            <w:shd w:val="clear" w:color="auto" w:fill="C6EFCE"/>
            <w:noWrap/>
          </w:tcPr>
          <w:p w14:paraId="3F0B7DA0"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36DF28A9" w14:textId="77777777" w:rsidR="00553430" w:rsidRDefault="00212577">
            <w:pPr>
              <w:pStyle w:val="P68B1DB1-Normal66"/>
              <w:spacing w:after="200" w:line="276" w:lineRule="auto"/>
              <w:jc w:val="center"/>
              <w:rPr>
                <w:noProof/>
              </w:rPr>
            </w:pPr>
            <w:r>
              <w:rPr>
                <w:noProof/>
              </w:rPr>
              <w:t>4</w:t>
            </w:r>
          </w:p>
        </w:tc>
        <w:tc>
          <w:tcPr>
            <w:tcW w:w="756" w:type="dxa"/>
            <w:tcBorders>
              <w:top w:val="single" w:sz="4" w:space="0" w:color="auto"/>
              <w:left w:val="nil"/>
              <w:bottom w:val="single" w:sz="4" w:space="0" w:color="auto"/>
              <w:right w:val="single" w:sz="4" w:space="0" w:color="auto"/>
            </w:tcBorders>
            <w:shd w:val="clear" w:color="auto" w:fill="C6EFCE"/>
            <w:noWrap/>
          </w:tcPr>
          <w:p w14:paraId="2A27A474" w14:textId="77777777" w:rsidR="00553430" w:rsidRDefault="00212577">
            <w:pPr>
              <w:pStyle w:val="P68B1DB1-Normal66"/>
              <w:spacing w:after="200" w:line="276" w:lineRule="auto"/>
              <w:jc w:val="center"/>
              <w:rPr>
                <w:noProof/>
              </w:rPr>
            </w:pPr>
            <w:r>
              <w:rPr>
                <w:noProof/>
              </w:rPr>
              <w:t>T1</w:t>
            </w:r>
          </w:p>
        </w:tc>
        <w:tc>
          <w:tcPr>
            <w:tcW w:w="895" w:type="dxa"/>
            <w:tcBorders>
              <w:top w:val="single" w:sz="4" w:space="0" w:color="auto"/>
              <w:left w:val="nil"/>
              <w:bottom w:val="single" w:sz="4" w:space="0" w:color="auto"/>
              <w:right w:val="single" w:sz="4" w:space="0" w:color="auto"/>
            </w:tcBorders>
            <w:shd w:val="clear" w:color="auto" w:fill="C6EFCE"/>
            <w:noWrap/>
          </w:tcPr>
          <w:p w14:paraId="4DDCAD70" w14:textId="77777777" w:rsidR="00553430" w:rsidRDefault="00212577">
            <w:pPr>
              <w:pStyle w:val="P68B1DB1-Normal66"/>
              <w:spacing w:after="200" w:line="276" w:lineRule="auto"/>
              <w:jc w:val="center"/>
              <w:rPr>
                <w:noProof/>
              </w:rPr>
            </w:pPr>
            <w:r>
              <w:rPr>
                <w:noProof/>
              </w:rPr>
              <w:t>2023</w:t>
            </w:r>
          </w:p>
        </w:tc>
        <w:tc>
          <w:tcPr>
            <w:tcW w:w="3827" w:type="dxa"/>
            <w:tcBorders>
              <w:top w:val="single" w:sz="4" w:space="0" w:color="auto"/>
              <w:left w:val="nil"/>
              <w:bottom w:val="single" w:sz="4" w:space="0" w:color="auto"/>
              <w:right w:val="single" w:sz="4" w:space="0" w:color="auto"/>
            </w:tcBorders>
            <w:shd w:val="clear" w:color="auto" w:fill="C6EFCE"/>
            <w:noWrap/>
          </w:tcPr>
          <w:p w14:paraId="25F67D7A" w14:textId="77777777" w:rsidR="00553430" w:rsidRDefault="00212577">
            <w:pPr>
              <w:pStyle w:val="P68B1DB1-Normal66"/>
              <w:spacing w:after="200" w:line="276" w:lineRule="auto"/>
              <w:rPr>
                <w:noProof/>
              </w:rPr>
            </w:pPr>
            <w:r>
              <w:rPr>
                <w:noProof/>
              </w:rPr>
              <w:t xml:space="preserve">Afin d’améliorer la qualité du service, d’augmenter le nombre de traitements pour </w:t>
            </w:r>
            <w:r>
              <w:rPr>
                <w:noProof/>
              </w:rPr>
              <w:t>les patients, d’accélérer et d’accroître la disponibilité et la qualité des soins de santé pour toutes les catégories de patients, l’équipement doit être installé pour au moins 4 unités de diagnostic au Centre hospitalier clinique (KBC) de Merkur. L'équipe</w:t>
            </w:r>
            <w:r>
              <w:rPr>
                <w:noProof/>
              </w:rPr>
              <w:t>ment installé se compose:</w:t>
            </w:r>
            <w:r>
              <w:rPr>
                <w:noProof/>
              </w:rPr>
              <w:br/>
              <w:t>-Appareils d'échocardiographie transthoracique et transésogastrique;</w:t>
            </w:r>
            <w:r>
              <w:rPr>
                <w:noProof/>
              </w:rPr>
              <w:br/>
              <w:t>-trois moniteurs à des fins d’unité coronaire;</w:t>
            </w:r>
            <w:r>
              <w:rPr>
                <w:noProof/>
              </w:rPr>
              <w:br/>
              <w:t>-Système de télémétrie des patients dans le service ouvert;</w:t>
            </w:r>
            <w:r>
              <w:rPr>
                <w:noProof/>
              </w:rPr>
              <w:br/>
              <w:t>-Échographie de puissance plus forte;</w:t>
            </w:r>
            <w:r>
              <w:rPr>
                <w:noProof/>
              </w:rPr>
              <w:br/>
              <w:t xml:space="preserve">-Échographie de </w:t>
            </w:r>
            <w:r>
              <w:rPr>
                <w:noProof/>
              </w:rPr>
              <w:t>puissance inférieure;</w:t>
            </w:r>
            <w:r>
              <w:rPr>
                <w:noProof/>
              </w:rPr>
              <w:br/>
              <w:t>-Résonance magnétique MR 3T;</w:t>
            </w:r>
            <w:r>
              <w:rPr>
                <w:noProof/>
              </w:rPr>
              <w:br/>
              <w:t>-Scanner de mammographie;</w:t>
            </w:r>
            <w:r>
              <w:rPr>
                <w:noProof/>
              </w:rPr>
              <w:br/>
              <w:t>tomographie par ordinateur à plusieurs tranches (MSCT);</w:t>
            </w:r>
            <w:r>
              <w:rPr>
                <w:noProof/>
              </w:rPr>
              <w:br/>
              <w:t xml:space="preserve">-Ultrasons; </w:t>
            </w:r>
            <w:r>
              <w:rPr>
                <w:noProof/>
              </w:rPr>
              <w:br/>
              <w:t>Ultrasons avec sonde et imprimante 3D/4D convexe, 3D/4D vaginale, 2D vaginale et 2D convexe;</w:t>
            </w:r>
            <w:r>
              <w:rPr>
                <w:noProof/>
              </w:rPr>
              <w:br/>
              <w:t xml:space="preserve">-Ultrasound High </w:t>
            </w:r>
            <w:r>
              <w:rPr>
                <w:noProof/>
              </w:rPr>
              <w:t>Class Color Doppler.</w:t>
            </w:r>
          </w:p>
        </w:tc>
      </w:tr>
      <w:tr w:rsidR="00553430" w14:paraId="692C04E2"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D6DF608" w14:textId="77777777" w:rsidR="00553430" w:rsidRDefault="00212577">
            <w:pPr>
              <w:pStyle w:val="P68B1DB1-Normal66"/>
              <w:spacing w:after="200" w:line="276" w:lineRule="auto"/>
              <w:jc w:val="center"/>
              <w:rPr>
                <w:noProof/>
              </w:rPr>
            </w:pPr>
            <w:r>
              <w:rPr>
                <w:noProof/>
              </w:rPr>
              <w:t>344</w:t>
            </w:r>
          </w:p>
        </w:tc>
        <w:tc>
          <w:tcPr>
            <w:tcW w:w="1208" w:type="dxa"/>
            <w:tcBorders>
              <w:top w:val="single" w:sz="4" w:space="0" w:color="auto"/>
              <w:left w:val="nil"/>
              <w:bottom w:val="single" w:sz="4" w:space="0" w:color="auto"/>
              <w:right w:val="single" w:sz="4" w:space="0" w:color="auto"/>
            </w:tcBorders>
            <w:shd w:val="clear" w:color="auto" w:fill="C6EFCE"/>
            <w:noWrap/>
          </w:tcPr>
          <w:p w14:paraId="1E844296" w14:textId="77777777" w:rsidR="00553430" w:rsidRDefault="00212577">
            <w:pPr>
              <w:pStyle w:val="P68B1DB1-Normal66"/>
              <w:spacing w:after="200" w:line="276" w:lineRule="auto"/>
              <w:jc w:val="center"/>
              <w:rPr>
                <w:noProof/>
              </w:rPr>
            </w:pPr>
            <w:r>
              <w:rPr>
                <w:noProof/>
              </w:rPr>
              <w:t>C5.1. R4-I5</w:t>
            </w:r>
          </w:p>
        </w:tc>
        <w:tc>
          <w:tcPr>
            <w:tcW w:w="1019" w:type="dxa"/>
            <w:tcBorders>
              <w:top w:val="single" w:sz="4" w:space="0" w:color="auto"/>
              <w:left w:val="nil"/>
              <w:bottom w:val="single" w:sz="4" w:space="0" w:color="auto"/>
              <w:right w:val="single" w:sz="4" w:space="0" w:color="auto"/>
            </w:tcBorders>
            <w:shd w:val="clear" w:color="auto" w:fill="C6EFCE"/>
            <w:noWrap/>
          </w:tcPr>
          <w:p w14:paraId="52FB3860" w14:textId="77777777" w:rsidR="00553430" w:rsidRDefault="00212577">
            <w:pPr>
              <w:pStyle w:val="P68B1DB1-Normal66"/>
              <w:spacing w:after="200" w:line="276" w:lineRule="auto"/>
              <w:jc w:val="center"/>
              <w:rPr>
                <w:noProof/>
                <w:color w:val="000000" w:themeColor="text1"/>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0AAEAA72" w14:textId="77777777" w:rsidR="00553430" w:rsidRDefault="00212577">
            <w:pPr>
              <w:pStyle w:val="P68B1DB1-Normal66"/>
              <w:spacing w:after="200" w:line="276" w:lineRule="auto"/>
              <w:rPr>
                <w:noProof/>
              </w:rPr>
            </w:pPr>
            <w:r>
              <w:rPr>
                <w:noProof/>
              </w:rPr>
              <w:t>Surveiller les résultats du traitement des patients chroniques non hospitaliers dans les pharmacies publiques</w:t>
            </w:r>
          </w:p>
        </w:tc>
        <w:tc>
          <w:tcPr>
            <w:tcW w:w="1985" w:type="dxa"/>
            <w:tcBorders>
              <w:top w:val="single" w:sz="4" w:space="0" w:color="auto"/>
              <w:left w:val="nil"/>
              <w:bottom w:val="single" w:sz="4" w:space="0" w:color="auto"/>
              <w:right w:val="single" w:sz="4" w:space="0" w:color="auto"/>
            </w:tcBorders>
            <w:shd w:val="clear" w:color="auto" w:fill="C6EFCE"/>
            <w:noWrap/>
          </w:tcPr>
          <w:p w14:paraId="69CD9CA5" w14:textId="77777777" w:rsidR="00553430" w:rsidRDefault="00212577">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0FFF5FDA" w14:textId="77777777" w:rsidR="00553430" w:rsidRDefault="00212577">
            <w:pPr>
              <w:pStyle w:val="P68B1DB1-Normal66"/>
              <w:spacing w:after="200" w:line="276" w:lineRule="auto"/>
              <w:jc w:val="center"/>
              <w:rPr>
                <w:noProof/>
              </w:rPr>
            </w:pPr>
            <w:r>
              <w:rPr>
                <w:noProof/>
              </w:rPr>
              <w:t>Numéro</w:t>
            </w:r>
          </w:p>
        </w:tc>
        <w:tc>
          <w:tcPr>
            <w:tcW w:w="1087" w:type="dxa"/>
            <w:tcBorders>
              <w:top w:val="single" w:sz="4" w:space="0" w:color="auto"/>
              <w:left w:val="nil"/>
              <w:bottom w:val="single" w:sz="4" w:space="0" w:color="auto"/>
              <w:right w:val="single" w:sz="4" w:space="0" w:color="auto"/>
            </w:tcBorders>
            <w:shd w:val="clear" w:color="auto" w:fill="C6EFCE"/>
            <w:noWrap/>
          </w:tcPr>
          <w:p w14:paraId="530CF5FA"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3345521C" w14:textId="77777777" w:rsidR="00553430" w:rsidRDefault="00212577">
            <w:pPr>
              <w:pStyle w:val="P68B1DB1-Normal66"/>
              <w:spacing w:after="200" w:line="276" w:lineRule="auto"/>
              <w:jc w:val="center"/>
              <w:rPr>
                <w:noProof/>
              </w:rPr>
            </w:pPr>
            <w:r>
              <w:rPr>
                <w:noProof/>
              </w:rPr>
              <w:t>1</w:t>
            </w:r>
          </w:p>
        </w:tc>
        <w:tc>
          <w:tcPr>
            <w:tcW w:w="756" w:type="dxa"/>
            <w:tcBorders>
              <w:top w:val="single" w:sz="4" w:space="0" w:color="auto"/>
              <w:left w:val="nil"/>
              <w:bottom w:val="single" w:sz="4" w:space="0" w:color="auto"/>
              <w:right w:val="single" w:sz="4" w:space="0" w:color="auto"/>
            </w:tcBorders>
            <w:shd w:val="clear" w:color="auto" w:fill="C6EFCE"/>
            <w:noWrap/>
          </w:tcPr>
          <w:p w14:paraId="056BD14B" w14:textId="77777777" w:rsidR="00553430" w:rsidRDefault="00212577">
            <w:pPr>
              <w:pStyle w:val="P68B1DB1-Normal66"/>
              <w:spacing w:after="200" w:line="276" w:lineRule="auto"/>
              <w:jc w:val="center"/>
              <w:rPr>
                <w:noProof/>
              </w:rPr>
            </w:pPr>
            <w:r>
              <w:rPr>
                <w:noProof/>
              </w:rPr>
              <w:t>T4</w:t>
            </w:r>
          </w:p>
        </w:tc>
        <w:tc>
          <w:tcPr>
            <w:tcW w:w="895" w:type="dxa"/>
            <w:tcBorders>
              <w:top w:val="single" w:sz="4" w:space="0" w:color="auto"/>
              <w:left w:val="nil"/>
              <w:bottom w:val="single" w:sz="4" w:space="0" w:color="auto"/>
              <w:right w:val="single" w:sz="4" w:space="0" w:color="auto"/>
            </w:tcBorders>
            <w:shd w:val="clear" w:color="auto" w:fill="C6EFCE"/>
            <w:noWrap/>
          </w:tcPr>
          <w:p w14:paraId="1448EAEA" w14:textId="77777777" w:rsidR="00553430" w:rsidRDefault="00212577">
            <w:pPr>
              <w:pStyle w:val="P68B1DB1-Normal66"/>
              <w:spacing w:after="200" w:line="276" w:lineRule="auto"/>
              <w:jc w:val="center"/>
              <w:rPr>
                <w:noProof/>
              </w:rPr>
            </w:pPr>
            <w:r>
              <w:rPr>
                <w:noProof/>
              </w:rPr>
              <w:t>2025</w:t>
            </w:r>
          </w:p>
        </w:tc>
        <w:tc>
          <w:tcPr>
            <w:tcW w:w="3827" w:type="dxa"/>
            <w:tcBorders>
              <w:top w:val="single" w:sz="4" w:space="0" w:color="auto"/>
              <w:left w:val="nil"/>
              <w:bottom w:val="single" w:sz="4" w:space="0" w:color="auto"/>
              <w:right w:val="single" w:sz="4" w:space="0" w:color="auto"/>
            </w:tcBorders>
            <w:shd w:val="clear" w:color="auto" w:fill="C6EFCE"/>
            <w:noWrap/>
          </w:tcPr>
          <w:p w14:paraId="4C68BD1E" w14:textId="77777777" w:rsidR="00553430" w:rsidRDefault="00212577">
            <w:pPr>
              <w:pStyle w:val="P68B1DB1-Normal66"/>
              <w:spacing w:after="200" w:line="276" w:lineRule="auto"/>
              <w:rPr>
                <w:noProof/>
              </w:rPr>
            </w:pPr>
            <w:r>
              <w:rPr>
                <w:noProof/>
              </w:rPr>
              <w:t xml:space="preserve">Le projet consiste à surveiller les patients et à créer des données structurées qui </w:t>
            </w:r>
            <w:r>
              <w:rPr>
                <w:noProof/>
              </w:rPr>
              <w:t>seront mises à disposition par l’intermédiaire du système central d’information sanitaire de la République de Croatie (CEZIH).</w:t>
            </w:r>
          </w:p>
        </w:tc>
      </w:tr>
      <w:tr w:rsidR="00553430" w14:paraId="28FEB45C"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58C43BE6" w14:textId="77777777" w:rsidR="00553430" w:rsidRDefault="00212577">
            <w:pPr>
              <w:pStyle w:val="P68B1DB1-Normal66"/>
              <w:spacing w:after="200" w:line="276" w:lineRule="auto"/>
              <w:jc w:val="center"/>
              <w:rPr>
                <w:noProof/>
              </w:rPr>
            </w:pPr>
            <w:r>
              <w:rPr>
                <w:noProof/>
              </w:rPr>
              <w:t>346</w:t>
            </w:r>
          </w:p>
        </w:tc>
        <w:tc>
          <w:tcPr>
            <w:tcW w:w="1208" w:type="dxa"/>
            <w:tcBorders>
              <w:top w:val="single" w:sz="4" w:space="0" w:color="auto"/>
              <w:left w:val="nil"/>
              <w:bottom w:val="single" w:sz="4" w:space="0" w:color="auto"/>
              <w:right w:val="single" w:sz="4" w:space="0" w:color="auto"/>
            </w:tcBorders>
            <w:shd w:val="clear" w:color="auto" w:fill="C6EFCE"/>
            <w:noWrap/>
          </w:tcPr>
          <w:p w14:paraId="7B3AD2AC" w14:textId="77777777" w:rsidR="00553430" w:rsidRDefault="00212577">
            <w:pPr>
              <w:pStyle w:val="P68B1DB1-Normal66"/>
              <w:spacing w:after="200" w:line="276" w:lineRule="auto"/>
              <w:jc w:val="center"/>
              <w:rPr>
                <w:noProof/>
              </w:rPr>
            </w:pPr>
            <w:r>
              <w:rPr>
                <w:noProof/>
              </w:rPr>
              <w:t>C5.1. R5</w:t>
            </w:r>
          </w:p>
        </w:tc>
        <w:tc>
          <w:tcPr>
            <w:tcW w:w="1019" w:type="dxa"/>
            <w:tcBorders>
              <w:top w:val="single" w:sz="4" w:space="0" w:color="auto"/>
              <w:left w:val="nil"/>
              <w:bottom w:val="single" w:sz="4" w:space="0" w:color="auto"/>
              <w:right w:val="single" w:sz="4" w:space="0" w:color="auto"/>
            </w:tcBorders>
            <w:shd w:val="clear" w:color="auto" w:fill="C6EFCE"/>
            <w:noWrap/>
          </w:tcPr>
          <w:p w14:paraId="1AB114CF" w14:textId="77777777" w:rsidR="00553430" w:rsidRDefault="00212577">
            <w:pPr>
              <w:pStyle w:val="P68B1DB1-Normal66"/>
              <w:spacing w:after="200" w:line="276" w:lineRule="auto"/>
              <w:jc w:val="center"/>
              <w:rPr>
                <w:noProof/>
              </w:rPr>
            </w:pPr>
            <w:r>
              <w:rPr>
                <w:noProof/>
              </w:rPr>
              <w:t>M</w:t>
            </w:r>
          </w:p>
        </w:tc>
        <w:tc>
          <w:tcPr>
            <w:tcW w:w="1888" w:type="dxa"/>
            <w:tcBorders>
              <w:top w:val="single" w:sz="4" w:space="0" w:color="auto"/>
              <w:left w:val="nil"/>
              <w:bottom w:val="single" w:sz="4" w:space="0" w:color="auto"/>
              <w:right w:val="single" w:sz="4" w:space="0" w:color="auto"/>
            </w:tcBorders>
            <w:shd w:val="clear" w:color="auto" w:fill="C6EFCE"/>
            <w:noWrap/>
          </w:tcPr>
          <w:p w14:paraId="16781AA6" w14:textId="77777777" w:rsidR="00553430" w:rsidRDefault="00212577">
            <w:pPr>
              <w:pStyle w:val="P68B1DB1-Normal66"/>
              <w:spacing w:after="200" w:line="276" w:lineRule="auto"/>
              <w:rPr>
                <w:noProof/>
              </w:rPr>
            </w:pPr>
            <w:r>
              <w:rPr>
                <w:noProof/>
              </w:rPr>
              <w:t>Amélioration et extension des services télémédicaux</w:t>
            </w:r>
          </w:p>
        </w:tc>
        <w:tc>
          <w:tcPr>
            <w:tcW w:w="1985" w:type="dxa"/>
            <w:tcBorders>
              <w:top w:val="single" w:sz="4" w:space="0" w:color="auto"/>
              <w:left w:val="nil"/>
              <w:bottom w:val="single" w:sz="4" w:space="0" w:color="auto"/>
              <w:right w:val="single" w:sz="4" w:space="0" w:color="auto"/>
            </w:tcBorders>
            <w:shd w:val="clear" w:color="auto" w:fill="C6EFCE"/>
            <w:noWrap/>
          </w:tcPr>
          <w:p w14:paraId="18A316CB" w14:textId="77777777" w:rsidR="00553430" w:rsidRDefault="00212577">
            <w:pPr>
              <w:pStyle w:val="P68B1DB1-Normal66"/>
              <w:spacing w:after="200" w:line="276" w:lineRule="auto"/>
              <w:rPr>
                <w:noProof/>
              </w:rPr>
            </w:pPr>
            <w:r>
              <w:rPr>
                <w:noProof/>
              </w:rPr>
              <w:t>Entrée en vigueur d'un cadre télémédical national élargissant</w:t>
            </w:r>
            <w:r>
              <w:rPr>
                <w:noProof/>
              </w:rPr>
              <w:t xml:space="preserve"> le champ d'application des services télémédicaux</w:t>
            </w:r>
          </w:p>
        </w:tc>
        <w:tc>
          <w:tcPr>
            <w:tcW w:w="1296" w:type="dxa"/>
            <w:tcBorders>
              <w:top w:val="single" w:sz="4" w:space="0" w:color="auto"/>
              <w:left w:val="nil"/>
              <w:bottom w:val="single" w:sz="4" w:space="0" w:color="auto"/>
              <w:right w:val="single" w:sz="4" w:space="0" w:color="auto"/>
            </w:tcBorders>
            <w:shd w:val="clear" w:color="auto" w:fill="C6EFCE"/>
            <w:noWrap/>
          </w:tcPr>
          <w:p w14:paraId="43AE1DF9" w14:textId="77777777" w:rsidR="00553430" w:rsidRDefault="00212577">
            <w:pPr>
              <w:pStyle w:val="P68B1DB1-Normal66"/>
              <w:spacing w:after="200" w:line="276" w:lineRule="auto"/>
              <w:jc w:val="center"/>
              <w:rPr>
                <w:noProof/>
              </w:rPr>
            </w:pPr>
            <w:r>
              <w:rPr>
                <w:noProof/>
              </w:rPr>
              <w:t> </w:t>
            </w:r>
          </w:p>
        </w:tc>
        <w:tc>
          <w:tcPr>
            <w:tcW w:w="1087" w:type="dxa"/>
            <w:tcBorders>
              <w:top w:val="single" w:sz="4" w:space="0" w:color="auto"/>
              <w:left w:val="nil"/>
              <w:bottom w:val="single" w:sz="4" w:space="0" w:color="auto"/>
              <w:right w:val="single" w:sz="4" w:space="0" w:color="auto"/>
            </w:tcBorders>
            <w:shd w:val="clear" w:color="auto" w:fill="C6EFCE"/>
            <w:noWrap/>
          </w:tcPr>
          <w:p w14:paraId="09C0A417" w14:textId="77777777" w:rsidR="00553430" w:rsidRDefault="00212577">
            <w:pPr>
              <w:pStyle w:val="P68B1DB1-Normal66"/>
              <w:spacing w:after="200" w:line="276" w:lineRule="auto"/>
              <w:jc w:val="center"/>
              <w:rPr>
                <w:noProof/>
              </w:rPr>
            </w:pPr>
            <w:r>
              <w:rPr>
                <w:noProof/>
              </w:rPr>
              <w:t> </w:t>
            </w:r>
          </w:p>
        </w:tc>
        <w:tc>
          <w:tcPr>
            <w:tcW w:w="976" w:type="dxa"/>
            <w:tcBorders>
              <w:top w:val="single" w:sz="4" w:space="0" w:color="auto"/>
              <w:left w:val="nil"/>
              <w:bottom w:val="single" w:sz="4" w:space="0" w:color="auto"/>
              <w:right w:val="single" w:sz="4" w:space="0" w:color="auto"/>
            </w:tcBorders>
            <w:shd w:val="clear" w:color="auto" w:fill="C6EFCE"/>
            <w:noWrap/>
          </w:tcPr>
          <w:p w14:paraId="3E63B689" w14:textId="77777777" w:rsidR="00553430" w:rsidRDefault="00212577">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125E77BF" w14:textId="77777777" w:rsidR="00553430" w:rsidRDefault="00212577">
            <w:pPr>
              <w:pStyle w:val="P68B1DB1-Normal66"/>
              <w:spacing w:after="200" w:line="276" w:lineRule="auto"/>
              <w:jc w:val="center"/>
              <w:rPr>
                <w:noProof/>
              </w:rPr>
            </w:pPr>
            <w:r>
              <w:rPr>
                <w:noProof/>
              </w:rPr>
              <w:t>T4</w:t>
            </w:r>
          </w:p>
        </w:tc>
        <w:tc>
          <w:tcPr>
            <w:tcW w:w="895" w:type="dxa"/>
            <w:tcBorders>
              <w:top w:val="single" w:sz="4" w:space="0" w:color="auto"/>
              <w:left w:val="nil"/>
              <w:bottom w:val="single" w:sz="4" w:space="0" w:color="auto"/>
              <w:right w:val="single" w:sz="4" w:space="0" w:color="auto"/>
            </w:tcBorders>
            <w:shd w:val="clear" w:color="auto" w:fill="C6EFCE"/>
            <w:noWrap/>
          </w:tcPr>
          <w:p w14:paraId="4D2482EC" w14:textId="77777777" w:rsidR="00553430" w:rsidRDefault="00212577">
            <w:pPr>
              <w:pStyle w:val="P68B1DB1-Normal66"/>
              <w:spacing w:after="200" w:line="276" w:lineRule="auto"/>
              <w:jc w:val="center"/>
              <w:rPr>
                <w:noProof/>
              </w:rPr>
            </w:pPr>
            <w:r>
              <w:rPr>
                <w:noProof/>
              </w:rPr>
              <w:t>2022</w:t>
            </w:r>
          </w:p>
        </w:tc>
        <w:tc>
          <w:tcPr>
            <w:tcW w:w="3827" w:type="dxa"/>
            <w:tcBorders>
              <w:top w:val="single" w:sz="4" w:space="0" w:color="auto"/>
              <w:left w:val="nil"/>
              <w:bottom w:val="single" w:sz="4" w:space="0" w:color="auto"/>
              <w:right w:val="single" w:sz="4" w:space="0" w:color="auto"/>
            </w:tcBorders>
            <w:shd w:val="clear" w:color="auto" w:fill="C6EFCE"/>
            <w:noWrap/>
          </w:tcPr>
          <w:p w14:paraId="0CBF7BD8" w14:textId="77777777" w:rsidR="00553430" w:rsidRDefault="00212577">
            <w:pPr>
              <w:pStyle w:val="P68B1DB1-Normal66"/>
              <w:spacing w:after="200" w:line="276" w:lineRule="auto"/>
              <w:rPr>
                <w:noProof/>
              </w:rPr>
            </w:pPr>
            <w:r>
              <w:rPr>
                <w:noProof/>
              </w:rPr>
              <w:t>La réforme introduit des dispositions relatives à la mise en place d’un cadre télémédical national fonctionnel pour la transmission des paramètres vitaux des patients du service de santé d’urg</w:t>
            </w:r>
            <w:r>
              <w:rPr>
                <w:noProof/>
              </w:rPr>
              <w:t>ence (HMS) au service hospitalier commun d’urgence (OHBP) et la surveillance à distance du service de santé d’urgence ambulatoire (HMS). Le projet doit permettre: i). analyse de la situation; ii) Un cadre national pour la mise en place d'une surveillance à</w:t>
            </w:r>
            <w:r>
              <w:rPr>
                <w:noProof/>
              </w:rPr>
              <w:t xml:space="preserve"> distance des services de santé d'urgence (SMU) et iii) Un plan d'action pour l'introduction d'une surveillance et un cadre pour le suivi de la mise en œuvre. </w:t>
            </w:r>
            <w:r>
              <w:rPr>
                <w:noProof/>
              </w:rPr>
              <w:br/>
              <w:t>Compte tenu des ressources limitées et de la durée de l'assistance technique, la composante télé</w:t>
            </w:r>
            <w:r>
              <w:rPr>
                <w:noProof/>
              </w:rPr>
              <w:t>radiologie ne constitue qu'une composante introductive au niveau de la cartographie des meilleures pratiques.</w:t>
            </w:r>
          </w:p>
        </w:tc>
      </w:tr>
      <w:tr w:rsidR="00553430" w14:paraId="1F5C07F9"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E59EB50" w14:textId="77777777" w:rsidR="00553430" w:rsidRDefault="00212577">
            <w:pPr>
              <w:pStyle w:val="P68B1DB1-Normal66"/>
              <w:spacing w:after="200" w:line="276" w:lineRule="auto"/>
              <w:jc w:val="center"/>
              <w:rPr>
                <w:noProof/>
              </w:rPr>
            </w:pPr>
            <w:r>
              <w:rPr>
                <w:noProof/>
              </w:rPr>
              <w:t>347</w:t>
            </w:r>
          </w:p>
        </w:tc>
        <w:tc>
          <w:tcPr>
            <w:tcW w:w="1208" w:type="dxa"/>
            <w:tcBorders>
              <w:top w:val="single" w:sz="4" w:space="0" w:color="auto"/>
              <w:left w:val="nil"/>
              <w:bottom w:val="single" w:sz="4" w:space="0" w:color="auto"/>
              <w:right w:val="single" w:sz="4" w:space="0" w:color="auto"/>
            </w:tcBorders>
            <w:shd w:val="clear" w:color="auto" w:fill="C6EFCE"/>
            <w:noWrap/>
          </w:tcPr>
          <w:p w14:paraId="6AA5373F" w14:textId="77777777" w:rsidR="00553430" w:rsidRDefault="00212577">
            <w:pPr>
              <w:pStyle w:val="P68B1DB1-Normal66"/>
              <w:spacing w:after="200" w:line="276" w:lineRule="auto"/>
              <w:jc w:val="center"/>
              <w:rPr>
                <w:noProof/>
              </w:rPr>
            </w:pPr>
            <w:r>
              <w:rPr>
                <w:noProof/>
              </w:rPr>
              <w:t>C5.1. R5-I1</w:t>
            </w:r>
          </w:p>
        </w:tc>
        <w:tc>
          <w:tcPr>
            <w:tcW w:w="1019" w:type="dxa"/>
            <w:tcBorders>
              <w:top w:val="single" w:sz="4" w:space="0" w:color="auto"/>
              <w:left w:val="nil"/>
              <w:bottom w:val="single" w:sz="4" w:space="0" w:color="auto"/>
              <w:right w:val="single" w:sz="4" w:space="0" w:color="auto"/>
            </w:tcBorders>
            <w:shd w:val="clear" w:color="auto" w:fill="C6EFCE"/>
            <w:noWrap/>
          </w:tcPr>
          <w:p w14:paraId="5F456E43" w14:textId="77777777" w:rsidR="00553430" w:rsidRDefault="00212577">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05A3DC48" w14:textId="77777777" w:rsidR="00553430" w:rsidRDefault="00212577">
            <w:pPr>
              <w:pStyle w:val="P68B1DB1-Normal66"/>
              <w:spacing w:after="200" w:line="276" w:lineRule="auto"/>
              <w:rPr>
                <w:noProof/>
              </w:rPr>
            </w:pPr>
            <w:r>
              <w:rPr>
                <w:noProof/>
              </w:rPr>
              <w:t xml:space="preserve">Installation et fonctionnement de salles d'opération intégrées numérisées (Firule et Križine) et d'un système robotique sur le </w:t>
            </w:r>
            <w:r>
              <w:rPr>
                <w:noProof/>
              </w:rPr>
              <w:t>site de Firule</w:t>
            </w:r>
          </w:p>
        </w:tc>
        <w:tc>
          <w:tcPr>
            <w:tcW w:w="1985" w:type="dxa"/>
            <w:tcBorders>
              <w:top w:val="single" w:sz="4" w:space="0" w:color="auto"/>
              <w:left w:val="nil"/>
              <w:bottom w:val="single" w:sz="4" w:space="0" w:color="auto"/>
              <w:right w:val="single" w:sz="4" w:space="0" w:color="auto"/>
            </w:tcBorders>
            <w:shd w:val="clear" w:color="auto" w:fill="C6EFCE"/>
            <w:noWrap/>
          </w:tcPr>
          <w:p w14:paraId="7A4664C2" w14:textId="77777777" w:rsidR="00553430" w:rsidRDefault="00212577">
            <w:pPr>
              <w:pStyle w:val="P68B1DB1-Normal66"/>
              <w:spacing w:after="200" w:line="276" w:lineRule="auto"/>
              <w:rPr>
                <w:noProof/>
              </w:rPr>
            </w:pPr>
            <w:r>
              <w:rPr>
                <w:noProof/>
              </w:rPr>
              <w:t> </w:t>
            </w:r>
          </w:p>
        </w:tc>
        <w:tc>
          <w:tcPr>
            <w:tcW w:w="1296" w:type="dxa"/>
            <w:tcBorders>
              <w:top w:val="single" w:sz="4" w:space="0" w:color="auto"/>
              <w:left w:val="nil"/>
              <w:bottom w:val="single" w:sz="4" w:space="0" w:color="auto"/>
              <w:right w:val="single" w:sz="4" w:space="0" w:color="auto"/>
            </w:tcBorders>
            <w:shd w:val="clear" w:color="auto" w:fill="C6EFCE"/>
            <w:noWrap/>
          </w:tcPr>
          <w:p w14:paraId="799465ED" w14:textId="77777777" w:rsidR="00553430" w:rsidRDefault="00212577">
            <w:pPr>
              <w:pStyle w:val="P68B1DB1-Normal66"/>
              <w:spacing w:after="200" w:line="276" w:lineRule="auto"/>
              <w:jc w:val="center"/>
              <w:rPr>
                <w:noProof/>
              </w:rPr>
            </w:pPr>
            <w:r>
              <w:rPr>
                <w:noProof/>
              </w:rPr>
              <w:t>Numéro</w:t>
            </w:r>
          </w:p>
        </w:tc>
        <w:tc>
          <w:tcPr>
            <w:tcW w:w="1087" w:type="dxa"/>
            <w:tcBorders>
              <w:top w:val="single" w:sz="4" w:space="0" w:color="auto"/>
              <w:left w:val="nil"/>
              <w:bottom w:val="single" w:sz="4" w:space="0" w:color="auto"/>
              <w:right w:val="single" w:sz="4" w:space="0" w:color="auto"/>
            </w:tcBorders>
            <w:shd w:val="clear" w:color="auto" w:fill="C6EFCE"/>
            <w:noWrap/>
          </w:tcPr>
          <w:p w14:paraId="4D173440"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0E3C5E89" w14:textId="77777777" w:rsidR="00553430" w:rsidRDefault="00212577">
            <w:pPr>
              <w:pStyle w:val="P68B1DB1-Normal66"/>
              <w:spacing w:after="200" w:line="276" w:lineRule="auto"/>
              <w:jc w:val="center"/>
              <w:rPr>
                <w:noProof/>
              </w:rPr>
            </w:pPr>
            <w:r>
              <w:rPr>
                <w:noProof/>
              </w:rPr>
              <w:t>4</w:t>
            </w:r>
          </w:p>
        </w:tc>
        <w:tc>
          <w:tcPr>
            <w:tcW w:w="756" w:type="dxa"/>
            <w:tcBorders>
              <w:top w:val="single" w:sz="4" w:space="0" w:color="auto"/>
              <w:left w:val="nil"/>
              <w:bottom w:val="single" w:sz="4" w:space="0" w:color="auto"/>
              <w:right w:val="single" w:sz="4" w:space="0" w:color="auto"/>
            </w:tcBorders>
            <w:shd w:val="clear" w:color="auto" w:fill="C6EFCE"/>
            <w:noWrap/>
          </w:tcPr>
          <w:p w14:paraId="3D0354BC" w14:textId="77777777" w:rsidR="00553430" w:rsidRDefault="00212577">
            <w:pPr>
              <w:pStyle w:val="P68B1DB1-Normal66"/>
              <w:spacing w:after="200" w:line="276" w:lineRule="auto"/>
              <w:jc w:val="center"/>
              <w:rPr>
                <w:noProof/>
              </w:rPr>
            </w:pPr>
            <w:r>
              <w:rPr>
                <w:noProof/>
              </w:rPr>
              <w:t>T2</w:t>
            </w:r>
          </w:p>
        </w:tc>
        <w:tc>
          <w:tcPr>
            <w:tcW w:w="895" w:type="dxa"/>
            <w:tcBorders>
              <w:top w:val="single" w:sz="4" w:space="0" w:color="auto"/>
              <w:left w:val="nil"/>
              <w:bottom w:val="single" w:sz="4" w:space="0" w:color="auto"/>
              <w:right w:val="single" w:sz="4" w:space="0" w:color="auto"/>
            </w:tcBorders>
            <w:shd w:val="clear" w:color="auto" w:fill="C6EFCE"/>
            <w:noWrap/>
          </w:tcPr>
          <w:p w14:paraId="43D67528" w14:textId="77777777" w:rsidR="00553430" w:rsidRDefault="00212577">
            <w:pPr>
              <w:pStyle w:val="P68B1DB1-Normal66"/>
              <w:spacing w:after="200" w:line="276" w:lineRule="auto"/>
              <w:jc w:val="center"/>
              <w:rPr>
                <w:noProof/>
              </w:rPr>
            </w:pPr>
            <w:r>
              <w:rPr>
                <w:noProof/>
              </w:rPr>
              <w:t>2024</w:t>
            </w:r>
          </w:p>
        </w:tc>
        <w:tc>
          <w:tcPr>
            <w:tcW w:w="3827" w:type="dxa"/>
            <w:tcBorders>
              <w:top w:val="single" w:sz="4" w:space="0" w:color="auto"/>
              <w:left w:val="nil"/>
              <w:bottom w:val="single" w:sz="4" w:space="0" w:color="auto"/>
              <w:right w:val="single" w:sz="4" w:space="0" w:color="auto"/>
            </w:tcBorders>
            <w:shd w:val="clear" w:color="auto" w:fill="C6EFCE"/>
            <w:noWrap/>
          </w:tcPr>
          <w:p w14:paraId="1559569A" w14:textId="77777777" w:rsidR="00553430" w:rsidRDefault="00212577">
            <w:pPr>
              <w:pStyle w:val="P68B1DB1-Normal66"/>
              <w:spacing w:after="200" w:line="276" w:lineRule="auto"/>
              <w:rPr>
                <w:noProof/>
              </w:rPr>
            </w:pPr>
            <w:r>
              <w:rPr>
                <w:noProof/>
              </w:rPr>
              <w:t>Le projet comprend la numérisation et l'intégration de 4 salles d'opération à Firule et Križine, ainsi qu'un système robotique sur le site de Firule. La transition numérique, l’intégration et la chirurgie robotisée modif</w:t>
            </w:r>
            <w:r>
              <w:rPr>
                <w:noProof/>
              </w:rPr>
              <w:t>ient le parcours de traitement en améliorant la qualité des traitements chirurgicaux, en améliorant la sécurité des patients, en assurant une plus grande transparence des traitements, en contrôlant mieux les coûts et les résultats en matière de santé, en r</w:t>
            </w:r>
            <w:r>
              <w:rPr>
                <w:noProof/>
              </w:rPr>
              <w:t xml:space="preserve">enforçant et en consolidant les principales ressources en infrastructures d’information sur la santé et en modernisant les services de soins de santé sans support papier. </w:t>
            </w:r>
          </w:p>
        </w:tc>
      </w:tr>
      <w:tr w:rsidR="00553430" w14:paraId="178A7FDE"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8AA8D83" w14:textId="77777777" w:rsidR="00553430" w:rsidRDefault="00212577">
            <w:pPr>
              <w:pStyle w:val="P68B1DB1-Normal66"/>
              <w:spacing w:after="200" w:line="276" w:lineRule="auto"/>
              <w:jc w:val="center"/>
              <w:rPr>
                <w:noProof/>
              </w:rPr>
            </w:pPr>
            <w:r>
              <w:rPr>
                <w:noProof/>
              </w:rPr>
              <w:t>348</w:t>
            </w:r>
          </w:p>
        </w:tc>
        <w:tc>
          <w:tcPr>
            <w:tcW w:w="1208" w:type="dxa"/>
            <w:tcBorders>
              <w:top w:val="single" w:sz="4" w:space="0" w:color="auto"/>
              <w:left w:val="nil"/>
              <w:bottom w:val="single" w:sz="4" w:space="0" w:color="auto"/>
              <w:right w:val="single" w:sz="4" w:space="0" w:color="auto"/>
            </w:tcBorders>
            <w:shd w:val="clear" w:color="auto" w:fill="C6EFCE"/>
            <w:noWrap/>
          </w:tcPr>
          <w:p w14:paraId="32039AF4" w14:textId="77777777" w:rsidR="00553430" w:rsidRDefault="00212577">
            <w:pPr>
              <w:pStyle w:val="P68B1DB1-Normal66"/>
              <w:spacing w:after="200" w:line="276" w:lineRule="auto"/>
              <w:jc w:val="center"/>
              <w:rPr>
                <w:noProof/>
              </w:rPr>
            </w:pPr>
            <w:r>
              <w:rPr>
                <w:noProof/>
              </w:rPr>
              <w:t>C5.1. R5-I2</w:t>
            </w:r>
          </w:p>
        </w:tc>
        <w:tc>
          <w:tcPr>
            <w:tcW w:w="1019" w:type="dxa"/>
            <w:tcBorders>
              <w:top w:val="single" w:sz="4" w:space="0" w:color="auto"/>
              <w:left w:val="nil"/>
              <w:bottom w:val="single" w:sz="4" w:space="0" w:color="auto"/>
              <w:right w:val="single" w:sz="4" w:space="0" w:color="auto"/>
            </w:tcBorders>
            <w:shd w:val="clear" w:color="auto" w:fill="C6EFCE"/>
            <w:noWrap/>
          </w:tcPr>
          <w:p w14:paraId="4F5C5D9A" w14:textId="77777777" w:rsidR="00553430" w:rsidRDefault="00212577">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257FCA6B" w14:textId="77777777" w:rsidR="00553430" w:rsidRDefault="00212577">
            <w:pPr>
              <w:pStyle w:val="P68B1DB1-Normal66"/>
              <w:spacing w:after="200" w:line="276" w:lineRule="auto"/>
              <w:rPr>
                <w:noProof/>
              </w:rPr>
            </w:pPr>
            <w:r>
              <w:rPr>
                <w:noProof/>
              </w:rPr>
              <w:t>Services télécardiologiques</w:t>
            </w:r>
          </w:p>
        </w:tc>
        <w:tc>
          <w:tcPr>
            <w:tcW w:w="1985" w:type="dxa"/>
            <w:tcBorders>
              <w:top w:val="single" w:sz="4" w:space="0" w:color="auto"/>
              <w:left w:val="nil"/>
              <w:bottom w:val="single" w:sz="4" w:space="0" w:color="auto"/>
              <w:right w:val="single" w:sz="4" w:space="0" w:color="auto"/>
            </w:tcBorders>
            <w:shd w:val="clear" w:color="auto" w:fill="C6EFCE"/>
            <w:noWrap/>
          </w:tcPr>
          <w:p w14:paraId="32852CCF" w14:textId="77777777" w:rsidR="00553430" w:rsidRDefault="00212577">
            <w:pPr>
              <w:pStyle w:val="P68B1DB1-Normal66"/>
              <w:spacing w:after="200" w:line="276" w:lineRule="auto"/>
              <w:rPr>
                <w:noProof/>
              </w:rPr>
            </w:pPr>
            <w:r>
              <w:rPr>
                <w:noProof/>
              </w:rPr>
              <w:t> </w:t>
            </w:r>
          </w:p>
        </w:tc>
        <w:tc>
          <w:tcPr>
            <w:tcW w:w="1296" w:type="dxa"/>
            <w:tcBorders>
              <w:top w:val="single" w:sz="4" w:space="0" w:color="auto"/>
              <w:left w:val="nil"/>
              <w:bottom w:val="single" w:sz="4" w:space="0" w:color="auto"/>
              <w:right w:val="single" w:sz="4" w:space="0" w:color="auto"/>
            </w:tcBorders>
            <w:shd w:val="clear" w:color="auto" w:fill="C6EFCE"/>
            <w:noWrap/>
          </w:tcPr>
          <w:p w14:paraId="3A14D50B" w14:textId="77777777" w:rsidR="00553430" w:rsidRDefault="00212577">
            <w:pPr>
              <w:pStyle w:val="P68B1DB1-Normal66"/>
              <w:spacing w:after="200" w:line="276" w:lineRule="auto"/>
              <w:jc w:val="center"/>
              <w:rPr>
                <w:noProof/>
              </w:rPr>
            </w:pPr>
            <w:r>
              <w:rPr>
                <w:noProof/>
              </w:rPr>
              <w:t>Numéro</w:t>
            </w:r>
          </w:p>
        </w:tc>
        <w:tc>
          <w:tcPr>
            <w:tcW w:w="1087" w:type="dxa"/>
            <w:tcBorders>
              <w:top w:val="single" w:sz="4" w:space="0" w:color="auto"/>
              <w:left w:val="nil"/>
              <w:bottom w:val="single" w:sz="4" w:space="0" w:color="auto"/>
              <w:right w:val="single" w:sz="4" w:space="0" w:color="auto"/>
            </w:tcBorders>
            <w:shd w:val="clear" w:color="auto" w:fill="C6EFCE"/>
            <w:noWrap/>
          </w:tcPr>
          <w:p w14:paraId="4C3DEAA6"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7E5FD278" w14:textId="77777777" w:rsidR="00553430" w:rsidRDefault="00212577">
            <w:pPr>
              <w:pStyle w:val="P68B1DB1-Normal66"/>
              <w:spacing w:after="200" w:line="276" w:lineRule="auto"/>
              <w:jc w:val="center"/>
              <w:rPr>
                <w:noProof/>
              </w:rPr>
            </w:pPr>
            <w:r>
              <w:rPr>
                <w:noProof/>
              </w:rPr>
              <w:t>40</w:t>
            </w:r>
          </w:p>
        </w:tc>
        <w:tc>
          <w:tcPr>
            <w:tcW w:w="756" w:type="dxa"/>
            <w:tcBorders>
              <w:top w:val="single" w:sz="4" w:space="0" w:color="auto"/>
              <w:left w:val="nil"/>
              <w:bottom w:val="single" w:sz="4" w:space="0" w:color="auto"/>
              <w:right w:val="single" w:sz="4" w:space="0" w:color="auto"/>
            </w:tcBorders>
            <w:shd w:val="clear" w:color="auto" w:fill="C6EFCE"/>
            <w:noWrap/>
          </w:tcPr>
          <w:p w14:paraId="3D1A4293" w14:textId="77777777" w:rsidR="00553430" w:rsidRDefault="00212577">
            <w:pPr>
              <w:pStyle w:val="P68B1DB1-Normal66"/>
              <w:spacing w:after="200" w:line="276" w:lineRule="auto"/>
              <w:jc w:val="center"/>
              <w:rPr>
                <w:noProof/>
              </w:rPr>
            </w:pPr>
            <w:r>
              <w:rPr>
                <w:noProof/>
              </w:rPr>
              <w:t>T1</w:t>
            </w:r>
          </w:p>
        </w:tc>
        <w:tc>
          <w:tcPr>
            <w:tcW w:w="895" w:type="dxa"/>
            <w:tcBorders>
              <w:top w:val="single" w:sz="4" w:space="0" w:color="auto"/>
              <w:left w:val="nil"/>
              <w:bottom w:val="single" w:sz="4" w:space="0" w:color="auto"/>
              <w:right w:val="single" w:sz="4" w:space="0" w:color="auto"/>
            </w:tcBorders>
            <w:shd w:val="clear" w:color="auto" w:fill="C6EFCE"/>
            <w:noWrap/>
          </w:tcPr>
          <w:p w14:paraId="3378DA58" w14:textId="77777777" w:rsidR="00553430" w:rsidRDefault="00212577">
            <w:pPr>
              <w:pStyle w:val="P68B1DB1-Normal66"/>
              <w:spacing w:after="200" w:line="276" w:lineRule="auto"/>
              <w:jc w:val="center"/>
              <w:rPr>
                <w:noProof/>
              </w:rPr>
            </w:pPr>
            <w:r>
              <w:rPr>
                <w:noProof/>
              </w:rPr>
              <w:t>2023</w:t>
            </w:r>
          </w:p>
        </w:tc>
        <w:tc>
          <w:tcPr>
            <w:tcW w:w="3827" w:type="dxa"/>
            <w:tcBorders>
              <w:top w:val="single" w:sz="4" w:space="0" w:color="auto"/>
              <w:left w:val="nil"/>
              <w:bottom w:val="single" w:sz="4" w:space="0" w:color="auto"/>
              <w:right w:val="single" w:sz="4" w:space="0" w:color="auto"/>
            </w:tcBorders>
            <w:shd w:val="clear" w:color="auto" w:fill="C6EFCE"/>
            <w:noWrap/>
          </w:tcPr>
          <w:p w14:paraId="3E5D2CBF" w14:textId="77777777" w:rsidR="00553430" w:rsidRDefault="00212577">
            <w:pPr>
              <w:pStyle w:val="P68B1DB1-Normal66"/>
              <w:spacing w:after="200" w:line="276" w:lineRule="auto"/>
              <w:rPr>
                <w:noProof/>
              </w:rPr>
            </w:pPr>
            <w:r>
              <w:rPr>
                <w:noProof/>
              </w:rPr>
              <w:t>L’objectif du projet TeleCordis est d’installer les équipements médicaux et informatiques nécessaires à l’exécution des services d’électrocardiogramme (ECG), d’électrocardiogramme sous pression et d’électrocardiogramme à 12 canaux (ECG) dans les zones recu</w:t>
            </w:r>
            <w:r>
              <w:rPr>
                <w:noProof/>
              </w:rPr>
              <w:t>lées et rurales insuffisamment couvertes par ces services, telles que l’absence d’un spécialiste en cardiologie à leur disposition. L'équipement doit être acheté (forfait par centre) et placé dans au moins 40 centres d'accès télémédical. Le programme est m</w:t>
            </w:r>
            <w:r>
              <w:rPr>
                <w:noProof/>
              </w:rPr>
              <w:t>is en relation avec les centres de télémédecine spécialisés et fournit un service de télécardiologie.</w:t>
            </w:r>
          </w:p>
        </w:tc>
      </w:tr>
      <w:tr w:rsidR="00553430" w14:paraId="60D5B634"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7583161" w14:textId="77777777" w:rsidR="00553430" w:rsidRDefault="00212577">
            <w:pPr>
              <w:pStyle w:val="P68B1DB1-Normal66"/>
              <w:spacing w:after="200" w:line="276" w:lineRule="auto"/>
              <w:jc w:val="center"/>
              <w:rPr>
                <w:noProof/>
              </w:rPr>
            </w:pPr>
            <w:r>
              <w:rPr>
                <w:noProof/>
              </w:rPr>
              <w:t>349</w:t>
            </w:r>
          </w:p>
        </w:tc>
        <w:tc>
          <w:tcPr>
            <w:tcW w:w="1208" w:type="dxa"/>
            <w:tcBorders>
              <w:top w:val="single" w:sz="4" w:space="0" w:color="auto"/>
              <w:left w:val="nil"/>
              <w:bottom w:val="single" w:sz="4" w:space="0" w:color="auto"/>
              <w:right w:val="single" w:sz="4" w:space="0" w:color="auto"/>
            </w:tcBorders>
            <w:shd w:val="clear" w:color="auto" w:fill="C6EFCE"/>
            <w:noWrap/>
          </w:tcPr>
          <w:p w14:paraId="4D6B25E3" w14:textId="77777777" w:rsidR="00553430" w:rsidRDefault="00212577">
            <w:pPr>
              <w:pStyle w:val="P68B1DB1-Normal66"/>
              <w:spacing w:after="200" w:line="276" w:lineRule="auto"/>
              <w:jc w:val="center"/>
              <w:rPr>
                <w:noProof/>
              </w:rPr>
            </w:pPr>
            <w:r>
              <w:rPr>
                <w:noProof/>
              </w:rPr>
              <w:t>C5.1. R5-I3</w:t>
            </w:r>
          </w:p>
        </w:tc>
        <w:tc>
          <w:tcPr>
            <w:tcW w:w="1019" w:type="dxa"/>
            <w:tcBorders>
              <w:top w:val="single" w:sz="4" w:space="0" w:color="auto"/>
              <w:left w:val="nil"/>
              <w:bottom w:val="single" w:sz="4" w:space="0" w:color="auto"/>
              <w:right w:val="single" w:sz="4" w:space="0" w:color="auto"/>
            </w:tcBorders>
            <w:shd w:val="clear" w:color="auto" w:fill="C6EFCE"/>
            <w:noWrap/>
          </w:tcPr>
          <w:p w14:paraId="22995287" w14:textId="77777777" w:rsidR="00553430" w:rsidRDefault="00212577">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6EFFCF72" w14:textId="77777777" w:rsidR="00553430" w:rsidRDefault="00212577">
            <w:pPr>
              <w:pStyle w:val="P68B1DB1-Normal66"/>
              <w:spacing w:after="200" w:line="276" w:lineRule="auto"/>
              <w:rPr>
                <w:noProof/>
              </w:rPr>
            </w:pPr>
            <w:r>
              <w:rPr>
                <w:noProof/>
              </w:rPr>
              <w:t xml:space="preserve">Services de télétransfusion </w:t>
            </w:r>
          </w:p>
        </w:tc>
        <w:tc>
          <w:tcPr>
            <w:tcW w:w="1985" w:type="dxa"/>
            <w:tcBorders>
              <w:top w:val="single" w:sz="4" w:space="0" w:color="auto"/>
              <w:left w:val="nil"/>
              <w:bottom w:val="single" w:sz="4" w:space="0" w:color="auto"/>
              <w:right w:val="single" w:sz="4" w:space="0" w:color="auto"/>
            </w:tcBorders>
            <w:shd w:val="clear" w:color="auto" w:fill="C6EFCE"/>
            <w:noWrap/>
          </w:tcPr>
          <w:p w14:paraId="66C6306A" w14:textId="77777777" w:rsidR="00553430" w:rsidRDefault="00212577">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5C3C30D7" w14:textId="77777777" w:rsidR="00553430" w:rsidRDefault="00212577">
            <w:pPr>
              <w:pStyle w:val="P68B1DB1-Normal66"/>
              <w:spacing w:after="200" w:line="276" w:lineRule="auto"/>
              <w:jc w:val="center"/>
              <w:rPr>
                <w:noProof/>
              </w:rPr>
            </w:pPr>
            <w:r>
              <w:rPr>
                <w:noProof/>
              </w:rPr>
              <w:t>Numéro</w:t>
            </w:r>
          </w:p>
        </w:tc>
        <w:tc>
          <w:tcPr>
            <w:tcW w:w="1087" w:type="dxa"/>
            <w:tcBorders>
              <w:top w:val="single" w:sz="4" w:space="0" w:color="auto"/>
              <w:left w:val="nil"/>
              <w:bottom w:val="single" w:sz="4" w:space="0" w:color="auto"/>
              <w:right w:val="single" w:sz="4" w:space="0" w:color="auto"/>
            </w:tcBorders>
            <w:shd w:val="clear" w:color="auto" w:fill="C6EFCE"/>
            <w:noWrap/>
          </w:tcPr>
          <w:p w14:paraId="0C2A9C3F"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59B8E531" w14:textId="77777777" w:rsidR="00553430" w:rsidRDefault="00212577">
            <w:pPr>
              <w:pStyle w:val="P68B1DB1-Normal66"/>
              <w:spacing w:after="200" w:line="276" w:lineRule="auto"/>
              <w:jc w:val="center"/>
              <w:rPr>
                <w:noProof/>
              </w:rPr>
            </w:pPr>
            <w:r>
              <w:rPr>
                <w:noProof/>
              </w:rPr>
              <w:t>35</w:t>
            </w:r>
          </w:p>
        </w:tc>
        <w:tc>
          <w:tcPr>
            <w:tcW w:w="756" w:type="dxa"/>
            <w:tcBorders>
              <w:top w:val="single" w:sz="4" w:space="0" w:color="auto"/>
              <w:left w:val="nil"/>
              <w:bottom w:val="single" w:sz="4" w:space="0" w:color="auto"/>
              <w:right w:val="single" w:sz="4" w:space="0" w:color="auto"/>
            </w:tcBorders>
            <w:shd w:val="clear" w:color="auto" w:fill="C6EFCE"/>
            <w:noWrap/>
          </w:tcPr>
          <w:p w14:paraId="253D6D82" w14:textId="77777777" w:rsidR="00553430" w:rsidRDefault="00212577">
            <w:pPr>
              <w:pStyle w:val="P68B1DB1-Normal66"/>
              <w:spacing w:after="200" w:line="276" w:lineRule="auto"/>
              <w:jc w:val="center"/>
              <w:rPr>
                <w:noProof/>
              </w:rPr>
            </w:pPr>
            <w:r>
              <w:rPr>
                <w:noProof/>
              </w:rPr>
              <w:t>T4</w:t>
            </w:r>
          </w:p>
        </w:tc>
        <w:tc>
          <w:tcPr>
            <w:tcW w:w="895" w:type="dxa"/>
            <w:tcBorders>
              <w:top w:val="single" w:sz="4" w:space="0" w:color="auto"/>
              <w:left w:val="nil"/>
              <w:bottom w:val="single" w:sz="4" w:space="0" w:color="auto"/>
              <w:right w:val="single" w:sz="4" w:space="0" w:color="auto"/>
            </w:tcBorders>
            <w:shd w:val="clear" w:color="auto" w:fill="C6EFCE"/>
            <w:noWrap/>
          </w:tcPr>
          <w:p w14:paraId="409ECC7F" w14:textId="77777777" w:rsidR="00553430" w:rsidRDefault="00212577">
            <w:pPr>
              <w:pStyle w:val="P68B1DB1-Normal66"/>
              <w:spacing w:after="200" w:line="276" w:lineRule="auto"/>
              <w:jc w:val="center"/>
              <w:rPr>
                <w:noProof/>
              </w:rPr>
            </w:pPr>
            <w:r>
              <w:rPr>
                <w:noProof/>
              </w:rPr>
              <w:t>2022</w:t>
            </w:r>
          </w:p>
        </w:tc>
        <w:tc>
          <w:tcPr>
            <w:tcW w:w="3827" w:type="dxa"/>
            <w:tcBorders>
              <w:top w:val="single" w:sz="4" w:space="0" w:color="auto"/>
              <w:left w:val="nil"/>
              <w:bottom w:val="single" w:sz="4" w:space="0" w:color="auto"/>
              <w:right w:val="single" w:sz="4" w:space="0" w:color="auto"/>
            </w:tcBorders>
            <w:shd w:val="clear" w:color="auto" w:fill="C6EFCE"/>
            <w:noWrap/>
          </w:tcPr>
          <w:p w14:paraId="27180DCA" w14:textId="77777777" w:rsidR="00553430" w:rsidRDefault="00212577">
            <w:pPr>
              <w:pStyle w:val="P68B1DB1-Normal66"/>
              <w:spacing w:after="200" w:line="276" w:lineRule="auto"/>
              <w:rPr>
                <w:noProof/>
              </w:rPr>
            </w:pPr>
            <w:r>
              <w:rPr>
                <w:noProof/>
              </w:rPr>
              <w:t xml:space="preserve">Le projet de télétransfusion soutient l’infrastructure de traitement numérique </w:t>
            </w:r>
            <w:r>
              <w:rPr>
                <w:noProof/>
              </w:rPr>
              <w:t>existante lorsqu’il utilise les données sur les patients obtenues à partir de l’ordonnance électronique et du dossier électronique nécessaires pour commencer un traitement dans un établissement de soins de santé secondaire ou tertiaire.</w:t>
            </w:r>
            <w:r>
              <w:rPr>
                <w:noProof/>
              </w:rPr>
              <w:br/>
              <w:t>Le projet reliera l</w:t>
            </w:r>
            <w:r>
              <w:rPr>
                <w:noProof/>
              </w:rPr>
              <w:t>es centres hospitaliers de transfusion situés sur le territoire croate (au moins 35 centres hospitaliers de transfusion) et mettra le service à disposition 24 heures sur 24, sept jours sur sept. L'équipement sera acheté (forfait par centre) et placé dans d</w:t>
            </w:r>
            <w:r>
              <w:rPr>
                <w:noProof/>
              </w:rPr>
              <w:t>es centres d'accès télémédical, le programme sera relié à des centres spécialisés en télémédecine et fournira un service de télétransfusion.</w:t>
            </w:r>
          </w:p>
        </w:tc>
      </w:tr>
      <w:tr w:rsidR="00553430" w14:paraId="6BA99F1C"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1BBCF19" w14:textId="77777777" w:rsidR="00553430" w:rsidRDefault="00212577">
            <w:pPr>
              <w:pStyle w:val="P68B1DB1-Normal66"/>
              <w:spacing w:after="200" w:line="276" w:lineRule="auto"/>
              <w:jc w:val="center"/>
              <w:rPr>
                <w:noProof/>
              </w:rPr>
            </w:pPr>
            <w:r>
              <w:rPr>
                <w:noProof/>
              </w:rPr>
              <w:t>350</w:t>
            </w:r>
          </w:p>
        </w:tc>
        <w:tc>
          <w:tcPr>
            <w:tcW w:w="1208" w:type="dxa"/>
            <w:tcBorders>
              <w:top w:val="single" w:sz="4" w:space="0" w:color="auto"/>
              <w:left w:val="nil"/>
              <w:bottom w:val="single" w:sz="4" w:space="0" w:color="auto"/>
              <w:right w:val="single" w:sz="4" w:space="0" w:color="auto"/>
            </w:tcBorders>
            <w:shd w:val="clear" w:color="auto" w:fill="C6EFCE"/>
            <w:noWrap/>
          </w:tcPr>
          <w:p w14:paraId="1D049C45" w14:textId="77777777" w:rsidR="00553430" w:rsidRDefault="00212577">
            <w:pPr>
              <w:pStyle w:val="P68B1DB1-Normal66"/>
              <w:spacing w:after="200" w:line="276" w:lineRule="auto"/>
              <w:jc w:val="center"/>
              <w:rPr>
                <w:noProof/>
              </w:rPr>
            </w:pPr>
            <w:r>
              <w:rPr>
                <w:noProof/>
              </w:rPr>
              <w:t>C5.1. R5-I4</w:t>
            </w:r>
          </w:p>
        </w:tc>
        <w:tc>
          <w:tcPr>
            <w:tcW w:w="1019" w:type="dxa"/>
            <w:tcBorders>
              <w:top w:val="single" w:sz="4" w:space="0" w:color="auto"/>
              <w:left w:val="nil"/>
              <w:bottom w:val="single" w:sz="4" w:space="0" w:color="auto"/>
              <w:right w:val="single" w:sz="4" w:space="0" w:color="auto"/>
            </w:tcBorders>
            <w:shd w:val="clear" w:color="auto" w:fill="C6EFCE"/>
            <w:noWrap/>
          </w:tcPr>
          <w:p w14:paraId="54EBC0A9" w14:textId="77777777" w:rsidR="00553430" w:rsidRDefault="00212577">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734AE9B6" w14:textId="77777777" w:rsidR="00553430" w:rsidRDefault="00212577">
            <w:pPr>
              <w:pStyle w:val="P68B1DB1-Normal66"/>
              <w:spacing w:after="200" w:line="276" w:lineRule="auto"/>
              <w:rPr>
                <w:noProof/>
              </w:rPr>
            </w:pPr>
            <w:r>
              <w:rPr>
                <w:noProof/>
              </w:rPr>
              <w:t xml:space="preserve">Salles d'opération Centre hospitalier clinique (KBC) Sestre milosrdnice équipé de chirurgie </w:t>
            </w:r>
            <w:r>
              <w:rPr>
                <w:noProof/>
              </w:rPr>
              <w:t>robotique</w:t>
            </w:r>
          </w:p>
        </w:tc>
        <w:tc>
          <w:tcPr>
            <w:tcW w:w="1985" w:type="dxa"/>
            <w:tcBorders>
              <w:top w:val="single" w:sz="4" w:space="0" w:color="auto"/>
              <w:left w:val="nil"/>
              <w:bottom w:val="single" w:sz="4" w:space="0" w:color="auto"/>
              <w:right w:val="single" w:sz="4" w:space="0" w:color="auto"/>
            </w:tcBorders>
            <w:shd w:val="clear" w:color="auto" w:fill="C6EFCE"/>
            <w:noWrap/>
          </w:tcPr>
          <w:p w14:paraId="1BF4CE8D" w14:textId="77777777" w:rsidR="00553430" w:rsidRDefault="00212577">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19A4AC33" w14:textId="77777777" w:rsidR="00553430" w:rsidRDefault="00212577">
            <w:pPr>
              <w:pStyle w:val="P68B1DB1-Normal66"/>
              <w:spacing w:after="200" w:line="276" w:lineRule="auto"/>
              <w:jc w:val="center"/>
              <w:rPr>
                <w:noProof/>
              </w:rPr>
            </w:pPr>
            <w:r>
              <w:rPr>
                <w:noProof/>
              </w:rPr>
              <w:t>Numéro</w:t>
            </w:r>
          </w:p>
        </w:tc>
        <w:tc>
          <w:tcPr>
            <w:tcW w:w="1087" w:type="dxa"/>
            <w:tcBorders>
              <w:top w:val="single" w:sz="4" w:space="0" w:color="auto"/>
              <w:left w:val="nil"/>
              <w:bottom w:val="single" w:sz="4" w:space="0" w:color="auto"/>
              <w:right w:val="single" w:sz="4" w:space="0" w:color="auto"/>
            </w:tcBorders>
            <w:shd w:val="clear" w:color="auto" w:fill="C6EFCE"/>
            <w:noWrap/>
          </w:tcPr>
          <w:p w14:paraId="5D6EE41C"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0232003C" w14:textId="77777777" w:rsidR="00553430" w:rsidRDefault="00212577">
            <w:pPr>
              <w:pStyle w:val="P68B1DB1-Normal66"/>
              <w:spacing w:after="200" w:line="276" w:lineRule="auto"/>
              <w:jc w:val="center"/>
              <w:rPr>
                <w:noProof/>
              </w:rPr>
            </w:pPr>
            <w:r>
              <w:rPr>
                <w:noProof/>
              </w:rPr>
              <w:t>4</w:t>
            </w:r>
          </w:p>
        </w:tc>
        <w:tc>
          <w:tcPr>
            <w:tcW w:w="756" w:type="dxa"/>
            <w:tcBorders>
              <w:top w:val="single" w:sz="4" w:space="0" w:color="auto"/>
              <w:left w:val="nil"/>
              <w:bottom w:val="single" w:sz="4" w:space="0" w:color="auto"/>
              <w:right w:val="single" w:sz="4" w:space="0" w:color="auto"/>
            </w:tcBorders>
            <w:shd w:val="clear" w:color="auto" w:fill="C6EFCE"/>
            <w:noWrap/>
          </w:tcPr>
          <w:p w14:paraId="533FAD27" w14:textId="77777777" w:rsidR="00553430" w:rsidRDefault="00212577">
            <w:pPr>
              <w:pStyle w:val="P68B1DB1-Normal66"/>
              <w:spacing w:after="200" w:line="276" w:lineRule="auto"/>
              <w:jc w:val="center"/>
              <w:rPr>
                <w:noProof/>
              </w:rPr>
            </w:pPr>
            <w:r>
              <w:rPr>
                <w:noProof/>
              </w:rPr>
              <w:t>T1</w:t>
            </w:r>
          </w:p>
        </w:tc>
        <w:tc>
          <w:tcPr>
            <w:tcW w:w="895" w:type="dxa"/>
            <w:tcBorders>
              <w:top w:val="single" w:sz="4" w:space="0" w:color="auto"/>
              <w:left w:val="nil"/>
              <w:bottom w:val="single" w:sz="4" w:space="0" w:color="auto"/>
              <w:right w:val="single" w:sz="4" w:space="0" w:color="auto"/>
            </w:tcBorders>
            <w:shd w:val="clear" w:color="auto" w:fill="C6EFCE"/>
            <w:noWrap/>
          </w:tcPr>
          <w:p w14:paraId="4CE28337" w14:textId="77777777" w:rsidR="00553430" w:rsidRDefault="00212577">
            <w:pPr>
              <w:pStyle w:val="P68B1DB1-Normal66"/>
              <w:spacing w:after="200" w:line="276" w:lineRule="auto"/>
              <w:jc w:val="center"/>
              <w:rPr>
                <w:noProof/>
              </w:rPr>
            </w:pPr>
            <w:r>
              <w:rPr>
                <w:noProof/>
              </w:rPr>
              <w:t>2024</w:t>
            </w:r>
          </w:p>
        </w:tc>
        <w:tc>
          <w:tcPr>
            <w:tcW w:w="3827" w:type="dxa"/>
            <w:tcBorders>
              <w:top w:val="single" w:sz="4" w:space="0" w:color="auto"/>
              <w:left w:val="nil"/>
              <w:bottom w:val="single" w:sz="4" w:space="0" w:color="auto"/>
              <w:right w:val="single" w:sz="4" w:space="0" w:color="auto"/>
            </w:tcBorders>
            <w:shd w:val="clear" w:color="auto" w:fill="C6EFCE"/>
            <w:noWrap/>
          </w:tcPr>
          <w:p w14:paraId="28D0C1DA" w14:textId="77777777" w:rsidR="00553430" w:rsidRDefault="00212577">
            <w:pPr>
              <w:pStyle w:val="P68B1DB1-Normal66"/>
              <w:spacing w:after="200" w:line="276" w:lineRule="auto"/>
              <w:rPr>
                <w:noProof/>
              </w:rPr>
            </w:pPr>
            <w:r>
              <w:rPr>
                <w:noProof/>
              </w:rPr>
              <w:t>Au moins 4 salles d'opération nouvellement équipées avec une technologie robotique de pointe,</w:t>
            </w:r>
            <w:r>
              <w:rPr>
                <w:noProof/>
              </w:rPr>
              <w:br/>
              <w:t xml:space="preserve"> Les fonctionnalités suivantes doivent être possibles: obtenir toutes les données relatives au patient en temps réel sur l’écran du</w:t>
            </w:r>
            <w:r>
              <w:rPr>
                <w:noProof/>
              </w:rPr>
              <w:t xml:space="preserve"> moniteur dans la salle d’opération elle-même pendant l’opération. En outre, il doit être possible de disposer de tout le matériel d’imagerie du patient sur l’écran du moniteur pendant l’opération, ce qui contribue à des procédures plus sûres et plus effic</w:t>
            </w:r>
            <w:r>
              <w:rPr>
                <w:noProof/>
              </w:rPr>
              <w:t xml:space="preserve">aces. L'intégration doit également permettre l'utilisation d'autres dispositifs diagnostiques et thérapeutiques dans la même salle d'opération, qui doivent également être intégrés dans le système intégré de salle d'opération. </w:t>
            </w:r>
          </w:p>
        </w:tc>
      </w:tr>
    </w:tbl>
    <w:p w14:paraId="6549E9FC" w14:textId="77777777" w:rsidR="00553430" w:rsidRDefault="00553430">
      <w:pPr>
        <w:rPr>
          <w:noProof/>
        </w:rPr>
        <w:sectPr w:rsidR="00553430" w:rsidSect="00FA29B2">
          <w:headerReference w:type="even" r:id="rId369"/>
          <w:headerReference w:type="default" r:id="rId370"/>
          <w:footerReference w:type="even" r:id="rId371"/>
          <w:footerReference w:type="default" r:id="rId372"/>
          <w:headerReference w:type="first" r:id="rId373"/>
          <w:footerReference w:type="first" r:id="rId374"/>
          <w:pgSz w:w="16839" w:h="11907" w:orient="landscape"/>
          <w:pgMar w:top="1134" w:right="1134" w:bottom="1134" w:left="1134" w:header="567" w:footer="567" w:gutter="0"/>
          <w:cols w:space="708"/>
          <w:docGrid w:linePitch="360"/>
        </w:sectPr>
      </w:pPr>
    </w:p>
    <w:p w14:paraId="5FA24947" w14:textId="77777777" w:rsidR="00553430" w:rsidRDefault="00212577">
      <w:pPr>
        <w:pStyle w:val="paragraph"/>
        <w:spacing w:before="0" w:beforeAutospacing="0" w:after="0" w:afterAutospacing="0"/>
        <w:ind w:left="840"/>
        <w:jc w:val="both"/>
        <w:textAlignment w:val="baseline"/>
        <w:rPr>
          <w:noProof/>
          <w:szCs w:val="24"/>
        </w:rPr>
      </w:pPr>
      <w:r>
        <w:rPr>
          <w:rStyle w:val="normaltextrun"/>
          <w:b/>
          <w:noProof/>
          <w:szCs w:val="24"/>
        </w:rPr>
        <w:t xml:space="preserve">U.3. </w:t>
      </w:r>
      <w:r>
        <w:rPr>
          <w:rStyle w:val="tabchar"/>
          <w:noProof/>
          <w:szCs w:val="24"/>
        </w:rPr>
        <w:t xml:space="preserve"> </w:t>
      </w:r>
      <w:r>
        <w:rPr>
          <w:rStyle w:val="normaltextrun"/>
          <w:b/>
          <w:bCs/>
          <w:noProof/>
          <w:szCs w:val="24"/>
        </w:rPr>
        <w:t>Description des réformes et des investissements pour le prêt </w:t>
      </w:r>
      <w:r>
        <w:rPr>
          <w:rStyle w:val="normaltextrun"/>
          <w:noProof/>
          <w:szCs w:val="24"/>
        </w:rPr>
        <w:t xml:space="preserve"> </w:t>
      </w:r>
    </w:p>
    <w:p w14:paraId="6FE215BC" w14:textId="77777777" w:rsidR="00553430" w:rsidRDefault="00553430">
      <w:pPr>
        <w:spacing w:line="240" w:lineRule="auto"/>
        <w:ind w:left="850"/>
        <w:jc w:val="both"/>
        <w:rPr>
          <w:rFonts w:ascii="Times New Roman" w:eastAsia="Calibri" w:hAnsi="Times New Roman" w:cs="Times New Roman"/>
          <w:noProof/>
          <w:sz w:val="24"/>
          <w:szCs w:val="24"/>
          <w:u w:val="single"/>
        </w:rPr>
      </w:pPr>
    </w:p>
    <w:p w14:paraId="4F68D18B" w14:textId="77777777" w:rsidR="00553430" w:rsidRDefault="00212577">
      <w:pPr>
        <w:pStyle w:val="P68B1DB1-Normal42"/>
        <w:spacing w:line="240" w:lineRule="auto"/>
        <w:ind w:left="850"/>
        <w:jc w:val="both"/>
        <w:rPr>
          <w:noProof/>
        </w:rPr>
      </w:pPr>
      <w:r>
        <w:rPr>
          <w:noProof/>
        </w:rPr>
        <w:t>Investissement C5.1 R1-I1 - Introduction des pharmacies mobiles dans les soins primaires</w:t>
      </w:r>
    </w:p>
    <w:p w14:paraId="033BB244" w14:textId="77777777" w:rsidR="00553430" w:rsidRDefault="00212577">
      <w:pPr>
        <w:pStyle w:val="P68B1DB1-Normal33"/>
        <w:spacing w:line="240" w:lineRule="auto"/>
        <w:jc w:val="both"/>
        <w:rPr>
          <w:noProof/>
        </w:rPr>
      </w:pPr>
      <w:r>
        <w:rPr>
          <w:noProof/>
        </w:rPr>
        <w:t xml:space="preserve">L'objectif de cet investissement est de fournir des médicaments dans les zones qui n'ont pas de pharmacies. </w:t>
      </w:r>
    </w:p>
    <w:p w14:paraId="24329C58" w14:textId="77777777" w:rsidR="00553430" w:rsidRDefault="00212577">
      <w:pPr>
        <w:pStyle w:val="P68B1DB1-Normal42"/>
        <w:spacing w:line="240" w:lineRule="auto"/>
        <w:ind w:left="850"/>
        <w:jc w:val="both"/>
        <w:rPr>
          <w:noProof/>
        </w:rPr>
      </w:pPr>
      <w:r>
        <w:rPr>
          <w:noProof/>
        </w:rPr>
        <w:t>Investissement C5.1 R1-I2 – Unités mobiles de soins ambulatoires</w:t>
      </w:r>
    </w:p>
    <w:p w14:paraId="44A493F1" w14:textId="77777777" w:rsidR="00553430" w:rsidRDefault="00212577">
      <w:pPr>
        <w:pStyle w:val="P68B1DB1-Normal33"/>
        <w:spacing w:line="240" w:lineRule="auto"/>
        <w:jc w:val="both"/>
        <w:rPr>
          <w:iCs/>
          <w:noProof/>
        </w:rPr>
      </w:pPr>
      <w:r>
        <w:rPr>
          <w:noProof/>
        </w:rPr>
        <w:t>L’objectif de cette mesure est de mettre en place un système mobile de soins ambul</w:t>
      </w:r>
      <w:r>
        <w:rPr>
          <w:noProof/>
        </w:rPr>
        <w:t xml:space="preserve">atoires primaires dans les zones rurales, reculées et insulaires. La mesure consiste en la mise en place du système de clinique mobile. </w:t>
      </w:r>
    </w:p>
    <w:p w14:paraId="78CC6954" w14:textId="77777777" w:rsidR="00553430" w:rsidRDefault="00212577">
      <w:pPr>
        <w:pStyle w:val="P68B1DB1-Normal42"/>
        <w:spacing w:line="240" w:lineRule="auto"/>
        <w:ind w:left="850"/>
        <w:jc w:val="both"/>
        <w:rPr>
          <w:noProof/>
        </w:rPr>
      </w:pPr>
      <w:r>
        <w:rPr>
          <w:noProof/>
        </w:rPr>
        <w:t>Investissement C5.1 R1-I3 - Construction et équipement d’unités d’isolation clinique (3, 4 et 1/5 des bâtiments) Cliniq</w:t>
      </w:r>
      <w:r>
        <w:rPr>
          <w:noProof/>
        </w:rPr>
        <w:t>ue des maladies infectieuses «Dr Fran Mihaljević»</w:t>
      </w:r>
    </w:p>
    <w:p w14:paraId="54F1A11E" w14:textId="77777777" w:rsidR="00553430" w:rsidRDefault="00212577">
      <w:pPr>
        <w:pStyle w:val="P68B1DB1-Normal33"/>
        <w:spacing w:line="240" w:lineRule="auto"/>
        <w:jc w:val="both"/>
        <w:rPr>
          <w:noProof/>
        </w:rPr>
      </w:pPr>
      <w:r>
        <w:rPr>
          <w:noProof/>
        </w:rPr>
        <w:t>L’objectif de cette mesure est de parvenir à un traitement des maladies infectieuses au moyen de technologies modernes et innovantes visant à réduire le temps de traitement, le coût et la fourniture de soin</w:t>
      </w:r>
      <w:r>
        <w:rPr>
          <w:noProof/>
        </w:rPr>
        <w:t>s de qualité aux patients. Cette mesure consiste à construire des bâtiments et à remplacer l’équipement de la clinique des maladies infectieuses Dr Fran Mihaljević.</w:t>
      </w:r>
    </w:p>
    <w:p w14:paraId="54BEE16D" w14:textId="77777777" w:rsidR="00553430" w:rsidRDefault="00553430">
      <w:pPr>
        <w:spacing w:line="240" w:lineRule="auto"/>
        <w:jc w:val="both"/>
        <w:rPr>
          <w:rFonts w:eastAsia="Calibri"/>
          <w:iCs/>
          <w:noProof/>
        </w:rPr>
        <w:sectPr w:rsidR="00553430" w:rsidSect="00FA29B2">
          <w:headerReference w:type="even" r:id="rId375"/>
          <w:headerReference w:type="default" r:id="rId376"/>
          <w:footerReference w:type="even" r:id="rId377"/>
          <w:footerReference w:type="default" r:id="rId378"/>
          <w:headerReference w:type="first" r:id="rId379"/>
          <w:footerReference w:type="first" r:id="rId380"/>
          <w:pgSz w:w="11907" w:h="16839"/>
          <w:pgMar w:top="1134" w:right="1134" w:bottom="1134" w:left="1134" w:header="567" w:footer="567" w:gutter="0"/>
          <w:cols w:space="708"/>
          <w:docGrid w:linePitch="360"/>
        </w:sectPr>
      </w:pPr>
    </w:p>
    <w:p w14:paraId="39DAF128" w14:textId="64101682" w:rsidR="00553430" w:rsidRDefault="00212577">
      <w:pPr>
        <w:pStyle w:val="P68B1DB1-Normal82"/>
        <w:spacing w:after="0" w:line="240" w:lineRule="auto"/>
        <w:jc w:val="both"/>
        <w:textAlignment w:val="baseline"/>
        <w:rPr>
          <w:noProof/>
        </w:rPr>
      </w:pPr>
      <w:r>
        <w:rPr>
          <w:b/>
          <w:noProof/>
        </w:rPr>
        <w:t xml:space="preserve">U.4. </w:t>
      </w:r>
      <w:r>
        <w:rPr>
          <w:noProof/>
        </w:rPr>
        <w:t xml:space="preserve"> </w:t>
      </w:r>
      <w:r>
        <w:rPr>
          <w:b/>
          <w:noProof/>
        </w:rPr>
        <w:t xml:space="preserve">Étapes, objectifs, indicateurs et calendrier du suivi et de la mise en œuvre du prêt </w:t>
      </w:r>
    </w:p>
    <w:p w14:paraId="1F626E37" w14:textId="77777777" w:rsidR="00553430" w:rsidRDefault="00212577">
      <w:pPr>
        <w:pStyle w:val="P68B1DB1-Normal134"/>
        <w:spacing w:after="0" w:line="240" w:lineRule="auto"/>
        <w:jc w:val="both"/>
        <w:textAlignment w:val="baseline"/>
        <w:rPr>
          <w:noProof/>
        </w:rPr>
      </w:pPr>
      <w:r>
        <w:rPr>
          <w:noProof/>
        </w:rPr>
        <w:t> </w:t>
      </w:r>
    </w:p>
    <w:tbl>
      <w:tblPr>
        <w:tblW w:w="15814" w:type="dxa"/>
        <w:jc w:val="center"/>
        <w:tblCellMar>
          <w:top w:w="28" w:type="dxa"/>
          <w:left w:w="28" w:type="dxa"/>
          <w:bottom w:w="28" w:type="dxa"/>
          <w:right w:w="28" w:type="dxa"/>
        </w:tblCellMar>
        <w:tblLook w:val="04A0" w:firstRow="1" w:lastRow="0" w:firstColumn="1" w:lastColumn="0" w:noHBand="0" w:noVBand="1"/>
      </w:tblPr>
      <w:tblGrid>
        <w:gridCol w:w="846"/>
        <w:gridCol w:w="1150"/>
        <w:gridCol w:w="1012"/>
        <w:gridCol w:w="1847"/>
        <w:gridCol w:w="2159"/>
        <w:gridCol w:w="1078"/>
        <w:gridCol w:w="1087"/>
        <w:gridCol w:w="976"/>
        <w:gridCol w:w="893"/>
        <w:gridCol w:w="850"/>
        <w:gridCol w:w="4277"/>
      </w:tblGrid>
      <w:tr w:rsidR="00553430" w14:paraId="0ECC01FA" w14:textId="77777777">
        <w:trPr>
          <w:trHeight w:val="636"/>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2AEFED" w14:textId="77777777" w:rsidR="00553430" w:rsidRDefault="00212577">
            <w:pPr>
              <w:pStyle w:val="P68B1DB1-Normal58"/>
              <w:spacing w:after="0" w:line="276" w:lineRule="auto"/>
              <w:jc w:val="center"/>
              <w:rPr>
                <w:bCs/>
                <w:noProof/>
              </w:rPr>
            </w:pPr>
            <w:r>
              <w:rPr>
                <w:noProof/>
              </w:rPr>
              <w:t>Numéro</w:t>
            </w:r>
          </w:p>
        </w:tc>
        <w:tc>
          <w:tcPr>
            <w:tcW w:w="11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43168F" w14:textId="77777777" w:rsidR="00553430" w:rsidRDefault="00212577">
            <w:pPr>
              <w:pStyle w:val="P68B1DB1-Normal58"/>
              <w:spacing w:after="0" w:line="276" w:lineRule="auto"/>
              <w:jc w:val="center"/>
              <w:rPr>
                <w:bCs/>
                <w:noProof/>
              </w:rPr>
            </w:pPr>
            <w:r>
              <w:rPr>
                <w:noProof/>
              </w:rPr>
              <w:t>Mesure</w:t>
            </w:r>
          </w:p>
        </w:tc>
        <w:tc>
          <w:tcPr>
            <w:tcW w:w="9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C56662" w14:textId="77777777" w:rsidR="00553430" w:rsidRDefault="00212577">
            <w:pPr>
              <w:pStyle w:val="P68B1DB1-Normal58"/>
              <w:spacing w:after="0" w:line="276" w:lineRule="auto"/>
              <w:jc w:val="center"/>
              <w:rPr>
                <w:bCs/>
                <w:noProof/>
              </w:rPr>
            </w:pPr>
            <w:r>
              <w:rPr>
                <w:noProof/>
              </w:rPr>
              <w:t>Étape/cible</w:t>
            </w:r>
          </w:p>
        </w:tc>
        <w:tc>
          <w:tcPr>
            <w:tcW w:w="1847" w:type="dxa"/>
            <w:vMerge w:val="restart"/>
            <w:tcBorders>
              <w:top w:val="single" w:sz="4" w:space="0" w:color="auto"/>
              <w:left w:val="nil"/>
              <w:bottom w:val="single" w:sz="4" w:space="0" w:color="auto"/>
              <w:right w:val="single" w:sz="4" w:space="0" w:color="auto"/>
            </w:tcBorders>
            <w:shd w:val="clear" w:color="auto" w:fill="BDD7EE"/>
            <w:vAlign w:val="center"/>
            <w:hideMark/>
          </w:tcPr>
          <w:p w14:paraId="27F58FF3" w14:textId="77777777" w:rsidR="00553430" w:rsidRDefault="00212577">
            <w:pPr>
              <w:pStyle w:val="P68B1DB1-Normal58"/>
              <w:spacing w:after="0" w:line="276" w:lineRule="auto"/>
              <w:jc w:val="center"/>
              <w:rPr>
                <w:bCs/>
                <w:noProof/>
              </w:rPr>
            </w:pPr>
            <w:r>
              <w:rPr>
                <w:noProof/>
              </w:rPr>
              <w:t>Nom</w:t>
            </w:r>
          </w:p>
        </w:tc>
        <w:tc>
          <w:tcPr>
            <w:tcW w:w="21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A028A9"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qualitatifs</w:t>
            </w:r>
            <w:r>
              <w:rPr>
                <w:rFonts w:ascii="Times New Roman" w:eastAsia="Calibri" w:hAnsi="Times New Roman" w:cs="Times New Roman"/>
                <w:noProof/>
              </w:rPr>
              <w:br/>
            </w:r>
            <w:r>
              <w:rPr>
                <w:rFonts w:ascii="Times New Roman" w:eastAsia="Times New Roman" w:hAnsi="Times New Roman" w:cs="Times New Roman"/>
                <w:b/>
                <w:noProof/>
              </w:rPr>
              <w:t>(pour les jalons)</w:t>
            </w:r>
          </w:p>
        </w:tc>
        <w:tc>
          <w:tcPr>
            <w:tcW w:w="3141" w:type="dxa"/>
            <w:gridSpan w:val="3"/>
            <w:tcBorders>
              <w:top w:val="single" w:sz="4" w:space="0" w:color="auto"/>
              <w:left w:val="nil"/>
              <w:bottom w:val="single" w:sz="4" w:space="0" w:color="auto"/>
              <w:right w:val="single" w:sz="4" w:space="0" w:color="auto"/>
            </w:tcBorders>
            <w:shd w:val="clear" w:color="auto" w:fill="BDD7EE"/>
            <w:vAlign w:val="center"/>
            <w:hideMark/>
          </w:tcPr>
          <w:p w14:paraId="25448488"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eastAsia="Calibri" w:hAnsi="Times New Roman" w:cs="Times New Roman"/>
                <w:noProof/>
              </w:rPr>
              <w:br/>
            </w:r>
            <w:r>
              <w:rPr>
                <w:rFonts w:ascii="Times New Roman" w:eastAsia="Times New Roman" w:hAnsi="Times New Roman" w:cs="Times New Roman"/>
                <w:b/>
                <w:noProof/>
              </w:rPr>
              <w:t>(pour les objectifs)</w:t>
            </w:r>
          </w:p>
        </w:tc>
        <w:tc>
          <w:tcPr>
            <w:tcW w:w="1395" w:type="dxa"/>
            <w:gridSpan w:val="2"/>
            <w:tcBorders>
              <w:top w:val="single" w:sz="4" w:space="0" w:color="auto"/>
              <w:left w:val="nil"/>
              <w:bottom w:val="single" w:sz="4" w:space="0" w:color="auto"/>
              <w:right w:val="single" w:sz="4" w:space="0" w:color="auto"/>
            </w:tcBorders>
            <w:shd w:val="clear" w:color="auto" w:fill="BDD7EE"/>
            <w:vAlign w:val="center"/>
            <w:hideMark/>
          </w:tcPr>
          <w:p w14:paraId="509D2488" w14:textId="77777777" w:rsidR="00553430" w:rsidRDefault="00212577">
            <w:pPr>
              <w:pStyle w:val="P68B1DB1-Normal58"/>
              <w:spacing w:after="0" w:line="276" w:lineRule="auto"/>
              <w:jc w:val="center"/>
              <w:rPr>
                <w:bCs/>
                <w:noProof/>
              </w:rPr>
            </w:pPr>
            <w:r>
              <w:rPr>
                <w:noProof/>
              </w:rPr>
              <w:t>Temps</w:t>
            </w:r>
          </w:p>
        </w:tc>
        <w:tc>
          <w:tcPr>
            <w:tcW w:w="427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78F480E" w14:textId="77777777" w:rsidR="00553430" w:rsidRDefault="00212577">
            <w:pPr>
              <w:pStyle w:val="P68B1DB1-Normal58"/>
              <w:spacing w:after="0" w:line="276" w:lineRule="auto"/>
              <w:jc w:val="center"/>
              <w:rPr>
                <w:bCs/>
                <w:noProof/>
              </w:rPr>
            </w:pPr>
            <w:r>
              <w:rPr>
                <w:noProof/>
              </w:rPr>
              <w:t>Description de chaque jalon et cible</w:t>
            </w:r>
          </w:p>
        </w:tc>
      </w:tr>
      <w:tr w:rsidR="00553430" w14:paraId="5509B032" w14:textId="77777777">
        <w:trPr>
          <w:trHeight w:val="362"/>
          <w:tblHeader/>
          <w:jc w:val="center"/>
        </w:trPr>
        <w:tc>
          <w:tcPr>
            <w:tcW w:w="846" w:type="dxa"/>
            <w:vMerge/>
            <w:tcBorders>
              <w:top w:val="single" w:sz="4" w:space="0" w:color="auto"/>
              <w:left w:val="single" w:sz="4" w:space="0" w:color="auto"/>
              <w:bottom w:val="single" w:sz="4" w:space="0" w:color="auto"/>
              <w:right w:val="single" w:sz="4" w:space="0" w:color="auto"/>
            </w:tcBorders>
            <w:hideMark/>
          </w:tcPr>
          <w:p w14:paraId="437492D6"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150" w:type="dxa"/>
            <w:vMerge/>
            <w:tcBorders>
              <w:top w:val="single" w:sz="4" w:space="0" w:color="auto"/>
              <w:left w:val="single" w:sz="4" w:space="0" w:color="auto"/>
              <w:bottom w:val="single" w:sz="4" w:space="0" w:color="auto"/>
              <w:right w:val="single" w:sz="4" w:space="0" w:color="auto"/>
            </w:tcBorders>
            <w:hideMark/>
          </w:tcPr>
          <w:p w14:paraId="6A31EC5D"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999" w:type="dxa"/>
            <w:vMerge/>
            <w:tcBorders>
              <w:top w:val="single" w:sz="4" w:space="0" w:color="auto"/>
              <w:left w:val="single" w:sz="4" w:space="0" w:color="auto"/>
              <w:bottom w:val="single" w:sz="4" w:space="0" w:color="auto"/>
              <w:right w:val="single" w:sz="4" w:space="0" w:color="auto"/>
            </w:tcBorders>
            <w:hideMark/>
          </w:tcPr>
          <w:p w14:paraId="184596B6"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847" w:type="dxa"/>
            <w:vMerge/>
            <w:tcBorders>
              <w:top w:val="single" w:sz="4" w:space="0" w:color="auto"/>
              <w:left w:val="single" w:sz="4" w:space="0" w:color="auto"/>
              <w:bottom w:val="single" w:sz="4" w:space="0" w:color="auto"/>
              <w:right w:val="single" w:sz="4" w:space="0" w:color="auto"/>
            </w:tcBorders>
            <w:hideMark/>
          </w:tcPr>
          <w:p w14:paraId="40B37F50" w14:textId="77777777" w:rsidR="00553430" w:rsidRDefault="00553430">
            <w:pPr>
              <w:spacing w:after="0" w:line="276" w:lineRule="auto"/>
              <w:rPr>
                <w:rFonts w:ascii="Times New Roman" w:eastAsia="Times New Roman" w:hAnsi="Times New Roman" w:cs="Times New Roman"/>
                <w:b/>
                <w:noProof/>
                <w:sz w:val="20"/>
                <w:szCs w:val="20"/>
              </w:rPr>
            </w:pPr>
          </w:p>
        </w:tc>
        <w:tc>
          <w:tcPr>
            <w:tcW w:w="2159" w:type="dxa"/>
            <w:vMerge/>
            <w:tcBorders>
              <w:top w:val="single" w:sz="4" w:space="0" w:color="auto"/>
              <w:left w:val="single" w:sz="4" w:space="0" w:color="auto"/>
              <w:bottom w:val="single" w:sz="4" w:space="0" w:color="auto"/>
              <w:right w:val="single" w:sz="4" w:space="0" w:color="auto"/>
            </w:tcBorders>
            <w:hideMark/>
          </w:tcPr>
          <w:p w14:paraId="4127E692" w14:textId="77777777" w:rsidR="00553430" w:rsidRDefault="00553430">
            <w:pPr>
              <w:spacing w:after="0" w:line="276" w:lineRule="auto"/>
              <w:rPr>
                <w:rFonts w:ascii="Times New Roman" w:eastAsia="Times New Roman" w:hAnsi="Times New Roman" w:cs="Times New Roman"/>
                <w:b/>
                <w:noProof/>
                <w:sz w:val="20"/>
                <w:szCs w:val="20"/>
              </w:rPr>
            </w:pPr>
          </w:p>
        </w:tc>
        <w:tc>
          <w:tcPr>
            <w:tcW w:w="107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2C545F5" w14:textId="77777777" w:rsidR="00553430" w:rsidRDefault="00212577">
            <w:pPr>
              <w:pStyle w:val="P68B1DB1-Normal58"/>
              <w:spacing w:after="0" w:line="276" w:lineRule="auto"/>
              <w:jc w:val="center"/>
              <w:rPr>
                <w:bCs/>
                <w:noProof/>
              </w:rPr>
            </w:pPr>
            <w:r>
              <w:rPr>
                <w:noProof/>
              </w:rPr>
              <w:t>Unité</w:t>
            </w:r>
          </w:p>
        </w:tc>
        <w:tc>
          <w:tcPr>
            <w:tcW w:w="10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5199674" w14:textId="77777777" w:rsidR="00553430" w:rsidRDefault="00212577">
            <w:pPr>
              <w:pStyle w:val="P68B1DB1-Normal58"/>
              <w:spacing w:after="0" w:line="276" w:lineRule="auto"/>
              <w:jc w:val="center"/>
              <w:rPr>
                <w:bCs/>
                <w:noProof/>
              </w:rPr>
            </w:pPr>
            <w:r>
              <w:rPr>
                <w:noProof/>
              </w:rPr>
              <w:t>Données de référence</w:t>
            </w:r>
          </w:p>
        </w:tc>
        <w:tc>
          <w:tcPr>
            <w:tcW w:w="9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1ADC0CC" w14:textId="77777777" w:rsidR="00553430" w:rsidRDefault="00212577">
            <w:pPr>
              <w:pStyle w:val="P68B1DB1-Normal58"/>
              <w:spacing w:after="0" w:line="276" w:lineRule="auto"/>
              <w:jc w:val="center"/>
              <w:rPr>
                <w:bCs/>
                <w:noProof/>
              </w:rPr>
            </w:pPr>
            <w:r>
              <w:rPr>
                <w:noProof/>
              </w:rPr>
              <w:t>Objectif</w:t>
            </w:r>
          </w:p>
        </w:tc>
        <w:tc>
          <w:tcPr>
            <w:tcW w:w="54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1CA3817" w14:textId="77777777" w:rsidR="00553430" w:rsidRDefault="00212577">
            <w:pPr>
              <w:pStyle w:val="P68B1DB1-Normal58"/>
              <w:spacing w:after="0" w:line="276" w:lineRule="auto"/>
              <w:jc w:val="center"/>
              <w:rPr>
                <w:bCs/>
                <w:noProof/>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5D68600" w14:textId="77777777" w:rsidR="00553430" w:rsidRDefault="00212577">
            <w:pPr>
              <w:pStyle w:val="P68B1DB1-Normal58"/>
              <w:spacing w:after="0" w:line="276" w:lineRule="auto"/>
              <w:jc w:val="center"/>
              <w:rPr>
                <w:bCs/>
                <w:noProof/>
              </w:rPr>
            </w:pPr>
            <w:r>
              <w:rPr>
                <w:noProof/>
              </w:rPr>
              <w:t>Année</w:t>
            </w:r>
          </w:p>
        </w:tc>
        <w:tc>
          <w:tcPr>
            <w:tcW w:w="4277" w:type="dxa"/>
            <w:vMerge/>
            <w:tcBorders>
              <w:top w:val="single" w:sz="4" w:space="0" w:color="auto"/>
              <w:left w:val="single" w:sz="4" w:space="0" w:color="auto"/>
              <w:bottom w:val="single" w:sz="4" w:space="0" w:color="auto"/>
              <w:right w:val="single" w:sz="4" w:space="0" w:color="auto"/>
            </w:tcBorders>
            <w:hideMark/>
          </w:tcPr>
          <w:p w14:paraId="61DF77F4"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0634FDDE" w14:textId="77777777">
        <w:trPr>
          <w:trHeight w:val="283"/>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6FB93EDC" w14:textId="77777777" w:rsidR="00553430" w:rsidRDefault="00212577">
            <w:pPr>
              <w:pStyle w:val="P68B1DB1-Normal66"/>
              <w:spacing w:after="200" w:line="276" w:lineRule="auto"/>
              <w:jc w:val="center"/>
              <w:rPr>
                <w:noProof/>
              </w:rPr>
            </w:pPr>
            <w:r>
              <w:rPr>
                <w:noProof/>
              </w:rPr>
              <w:t>320</w:t>
            </w:r>
          </w:p>
        </w:tc>
        <w:tc>
          <w:tcPr>
            <w:tcW w:w="1150" w:type="dxa"/>
            <w:tcBorders>
              <w:top w:val="single" w:sz="4" w:space="0" w:color="auto"/>
              <w:left w:val="nil"/>
              <w:bottom w:val="single" w:sz="4" w:space="0" w:color="auto"/>
              <w:right w:val="single" w:sz="4" w:space="0" w:color="auto"/>
            </w:tcBorders>
            <w:shd w:val="clear" w:color="auto" w:fill="C6EFCE"/>
            <w:noWrap/>
          </w:tcPr>
          <w:p w14:paraId="30AD6FD0" w14:textId="77777777" w:rsidR="00553430" w:rsidRDefault="00212577">
            <w:pPr>
              <w:pStyle w:val="P68B1DB1-Normal66"/>
              <w:spacing w:after="200" w:line="276" w:lineRule="auto"/>
              <w:jc w:val="center"/>
              <w:rPr>
                <w:noProof/>
              </w:rPr>
            </w:pPr>
            <w:r>
              <w:rPr>
                <w:noProof/>
              </w:rPr>
              <w:t>C5.1. R1-I1</w:t>
            </w:r>
          </w:p>
        </w:tc>
        <w:tc>
          <w:tcPr>
            <w:tcW w:w="999" w:type="dxa"/>
            <w:tcBorders>
              <w:top w:val="single" w:sz="4" w:space="0" w:color="auto"/>
              <w:left w:val="nil"/>
              <w:bottom w:val="single" w:sz="4" w:space="0" w:color="auto"/>
              <w:right w:val="single" w:sz="4" w:space="0" w:color="auto"/>
            </w:tcBorders>
            <w:shd w:val="clear" w:color="auto" w:fill="C6EFCE"/>
            <w:noWrap/>
          </w:tcPr>
          <w:p w14:paraId="08A75C00" w14:textId="77777777" w:rsidR="00553430" w:rsidRDefault="00212577">
            <w:pPr>
              <w:pStyle w:val="P68B1DB1-Normal66"/>
              <w:spacing w:after="200" w:line="276" w:lineRule="auto"/>
              <w:jc w:val="center"/>
              <w:rPr>
                <w:noProof/>
              </w:rPr>
            </w:pPr>
            <w:r>
              <w:rPr>
                <w:noProof/>
              </w:rPr>
              <w:t>T</w:t>
            </w:r>
          </w:p>
        </w:tc>
        <w:tc>
          <w:tcPr>
            <w:tcW w:w="1847" w:type="dxa"/>
            <w:tcBorders>
              <w:top w:val="single" w:sz="4" w:space="0" w:color="auto"/>
              <w:left w:val="nil"/>
              <w:bottom w:val="single" w:sz="4" w:space="0" w:color="auto"/>
              <w:right w:val="single" w:sz="4" w:space="0" w:color="auto"/>
            </w:tcBorders>
            <w:shd w:val="clear" w:color="auto" w:fill="C6EFCE"/>
            <w:noWrap/>
          </w:tcPr>
          <w:p w14:paraId="178132E3" w14:textId="77777777" w:rsidR="00553430" w:rsidRDefault="00212577">
            <w:pPr>
              <w:pStyle w:val="P68B1DB1-Normal66"/>
              <w:spacing w:after="200" w:line="276" w:lineRule="auto"/>
              <w:rPr>
                <w:noProof/>
              </w:rPr>
            </w:pPr>
            <w:r>
              <w:rPr>
                <w:noProof/>
              </w:rPr>
              <w:t xml:space="preserve">Accès aux soins de pharmacie et aux médicaments </w:t>
            </w:r>
          </w:p>
        </w:tc>
        <w:tc>
          <w:tcPr>
            <w:tcW w:w="2159" w:type="dxa"/>
            <w:tcBorders>
              <w:top w:val="single" w:sz="4" w:space="0" w:color="auto"/>
              <w:left w:val="nil"/>
              <w:bottom w:val="single" w:sz="4" w:space="0" w:color="auto"/>
              <w:right w:val="single" w:sz="4" w:space="0" w:color="auto"/>
            </w:tcBorders>
            <w:shd w:val="clear" w:color="auto" w:fill="C6EFCE"/>
            <w:noWrap/>
          </w:tcPr>
          <w:p w14:paraId="5289DB7F" w14:textId="77777777" w:rsidR="00553430" w:rsidRDefault="00212577">
            <w:pPr>
              <w:pStyle w:val="P68B1DB1-Normal66"/>
              <w:spacing w:after="200" w:line="276" w:lineRule="auto"/>
              <w:rPr>
                <w:noProof/>
              </w:rPr>
            </w:pPr>
            <w:r>
              <w:rPr>
                <w:noProof/>
              </w:rPr>
              <w:t xml:space="preserve"> </w:t>
            </w:r>
          </w:p>
        </w:tc>
        <w:tc>
          <w:tcPr>
            <w:tcW w:w="1078" w:type="dxa"/>
            <w:tcBorders>
              <w:top w:val="single" w:sz="4" w:space="0" w:color="auto"/>
              <w:left w:val="nil"/>
              <w:bottom w:val="single" w:sz="4" w:space="0" w:color="auto"/>
              <w:right w:val="single" w:sz="4" w:space="0" w:color="auto"/>
            </w:tcBorders>
            <w:shd w:val="clear" w:color="auto" w:fill="C6EFCE"/>
            <w:noWrap/>
          </w:tcPr>
          <w:p w14:paraId="0DB67759" w14:textId="77777777" w:rsidR="00553430" w:rsidRDefault="00212577">
            <w:pPr>
              <w:pStyle w:val="P68B1DB1-Normal66"/>
              <w:spacing w:after="200" w:line="276" w:lineRule="auto"/>
              <w:jc w:val="center"/>
              <w:rPr>
                <w:noProof/>
              </w:rPr>
            </w:pPr>
            <w:r>
              <w:rPr>
                <w:noProof/>
              </w:rPr>
              <w:t>Numéro</w:t>
            </w:r>
          </w:p>
        </w:tc>
        <w:tc>
          <w:tcPr>
            <w:tcW w:w="1087" w:type="dxa"/>
            <w:tcBorders>
              <w:top w:val="single" w:sz="4" w:space="0" w:color="auto"/>
              <w:left w:val="nil"/>
              <w:bottom w:val="single" w:sz="4" w:space="0" w:color="auto"/>
              <w:right w:val="single" w:sz="4" w:space="0" w:color="auto"/>
            </w:tcBorders>
            <w:shd w:val="clear" w:color="auto" w:fill="C6EFCE"/>
            <w:noWrap/>
          </w:tcPr>
          <w:p w14:paraId="2C0D4D80" w14:textId="77777777" w:rsidR="00553430" w:rsidRDefault="00212577">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1562FBDF" w14:textId="77777777" w:rsidR="00553430" w:rsidRDefault="00212577">
            <w:pPr>
              <w:pStyle w:val="P68B1DB1-Normal66"/>
              <w:spacing w:after="200" w:line="276" w:lineRule="auto"/>
              <w:jc w:val="center"/>
              <w:rPr>
                <w:noProof/>
              </w:rPr>
            </w:pPr>
            <w:r>
              <w:rPr>
                <w:noProof/>
              </w:rPr>
              <w:t>8</w:t>
            </w:r>
          </w:p>
        </w:tc>
        <w:tc>
          <w:tcPr>
            <w:tcW w:w="545" w:type="dxa"/>
            <w:tcBorders>
              <w:top w:val="single" w:sz="4" w:space="0" w:color="auto"/>
              <w:left w:val="nil"/>
              <w:bottom w:val="single" w:sz="4" w:space="0" w:color="auto"/>
              <w:right w:val="single" w:sz="4" w:space="0" w:color="auto"/>
            </w:tcBorders>
            <w:shd w:val="clear" w:color="auto" w:fill="C6EFCE"/>
            <w:noWrap/>
          </w:tcPr>
          <w:p w14:paraId="116561B9" w14:textId="77777777" w:rsidR="00553430" w:rsidRDefault="00212577">
            <w:pPr>
              <w:pStyle w:val="P68B1DB1-Normal66"/>
              <w:spacing w:after="200" w:line="276" w:lineRule="auto"/>
              <w:jc w:val="center"/>
              <w:rPr>
                <w:noProof/>
              </w:rPr>
            </w:pPr>
            <w:r>
              <w:rPr>
                <w:noProof/>
              </w:rPr>
              <w:t>T2</w:t>
            </w:r>
          </w:p>
        </w:tc>
        <w:tc>
          <w:tcPr>
            <w:tcW w:w="850" w:type="dxa"/>
            <w:tcBorders>
              <w:top w:val="single" w:sz="4" w:space="0" w:color="auto"/>
              <w:left w:val="nil"/>
              <w:bottom w:val="single" w:sz="4" w:space="0" w:color="auto"/>
              <w:right w:val="single" w:sz="4" w:space="0" w:color="auto"/>
            </w:tcBorders>
            <w:shd w:val="clear" w:color="auto" w:fill="C6EFCE"/>
            <w:noWrap/>
          </w:tcPr>
          <w:p w14:paraId="7962A329" w14:textId="77777777" w:rsidR="00553430" w:rsidRDefault="00212577">
            <w:pPr>
              <w:pStyle w:val="P68B1DB1-Normal66"/>
              <w:spacing w:after="200" w:line="276" w:lineRule="auto"/>
              <w:jc w:val="center"/>
              <w:rPr>
                <w:noProof/>
              </w:rPr>
            </w:pPr>
            <w:r>
              <w:rPr>
                <w:noProof/>
              </w:rPr>
              <w:t>2025</w:t>
            </w:r>
          </w:p>
        </w:tc>
        <w:tc>
          <w:tcPr>
            <w:tcW w:w="4277" w:type="dxa"/>
            <w:tcBorders>
              <w:top w:val="single" w:sz="4" w:space="0" w:color="auto"/>
              <w:left w:val="nil"/>
              <w:bottom w:val="single" w:sz="4" w:space="0" w:color="auto"/>
              <w:right w:val="single" w:sz="4" w:space="0" w:color="auto"/>
            </w:tcBorders>
            <w:shd w:val="clear" w:color="auto" w:fill="C6EFCE"/>
            <w:noWrap/>
          </w:tcPr>
          <w:p w14:paraId="581A5B7F" w14:textId="77777777" w:rsidR="00553430" w:rsidRDefault="00212577">
            <w:pPr>
              <w:pStyle w:val="P68B1DB1-Normal66"/>
              <w:spacing w:after="200" w:line="276" w:lineRule="auto"/>
              <w:rPr>
                <w:noProof/>
              </w:rPr>
            </w:pPr>
            <w:r>
              <w:rPr>
                <w:noProof/>
              </w:rPr>
              <w:t>Au moins six pharmacies mobiles pour caravanes et au moins deux pharmacies pour bateaux sont achetées.</w:t>
            </w:r>
          </w:p>
        </w:tc>
      </w:tr>
      <w:tr w:rsidR="00553430" w14:paraId="755C1D29" w14:textId="77777777">
        <w:trPr>
          <w:trHeight w:val="283"/>
          <w:jc w:val="center"/>
        </w:trPr>
        <w:tc>
          <w:tcPr>
            <w:tcW w:w="846" w:type="dxa"/>
            <w:tcBorders>
              <w:top w:val="nil"/>
              <w:left w:val="single" w:sz="4" w:space="0" w:color="auto"/>
              <w:bottom w:val="single" w:sz="4" w:space="0" w:color="auto"/>
              <w:right w:val="single" w:sz="4" w:space="0" w:color="auto"/>
            </w:tcBorders>
            <w:shd w:val="clear" w:color="auto" w:fill="C6EFCE"/>
            <w:noWrap/>
          </w:tcPr>
          <w:p w14:paraId="39FBE240" w14:textId="77777777" w:rsidR="00553430" w:rsidRDefault="00212577">
            <w:pPr>
              <w:pStyle w:val="P68B1DB1-Normal66"/>
              <w:spacing w:after="200" w:line="276" w:lineRule="auto"/>
              <w:jc w:val="center"/>
              <w:rPr>
                <w:noProof/>
              </w:rPr>
            </w:pPr>
            <w:r>
              <w:rPr>
                <w:noProof/>
              </w:rPr>
              <w:t>321</w:t>
            </w:r>
          </w:p>
        </w:tc>
        <w:tc>
          <w:tcPr>
            <w:tcW w:w="1150" w:type="dxa"/>
            <w:tcBorders>
              <w:top w:val="nil"/>
              <w:left w:val="nil"/>
              <w:bottom w:val="single" w:sz="4" w:space="0" w:color="auto"/>
              <w:right w:val="single" w:sz="4" w:space="0" w:color="auto"/>
            </w:tcBorders>
            <w:shd w:val="clear" w:color="auto" w:fill="C6EFCE"/>
            <w:noWrap/>
          </w:tcPr>
          <w:p w14:paraId="0F23785C" w14:textId="77777777" w:rsidR="00553430" w:rsidRDefault="00212577">
            <w:pPr>
              <w:pStyle w:val="P68B1DB1-Normal66"/>
              <w:spacing w:after="200" w:line="276" w:lineRule="auto"/>
              <w:jc w:val="center"/>
              <w:rPr>
                <w:noProof/>
              </w:rPr>
            </w:pPr>
            <w:r>
              <w:rPr>
                <w:noProof/>
              </w:rPr>
              <w:t xml:space="preserve">C5.1. </w:t>
            </w:r>
            <w:r>
              <w:rPr>
                <w:noProof/>
              </w:rPr>
              <w:t>R1-I2</w:t>
            </w:r>
          </w:p>
        </w:tc>
        <w:tc>
          <w:tcPr>
            <w:tcW w:w="999" w:type="dxa"/>
            <w:tcBorders>
              <w:top w:val="nil"/>
              <w:left w:val="nil"/>
              <w:bottom w:val="single" w:sz="4" w:space="0" w:color="auto"/>
              <w:right w:val="single" w:sz="4" w:space="0" w:color="auto"/>
            </w:tcBorders>
            <w:shd w:val="clear" w:color="auto" w:fill="C6EFCE"/>
            <w:noWrap/>
          </w:tcPr>
          <w:p w14:paraId="5ECD235B" w14:textId="77777777" w:rsidR="00553430" w:rsidRDefault="00212577">
            <w:pPr>
              <w:pStyle w:val="P68B1DB1-Normal66"/>
              <w:spacing w:after="200" w:line="276" w:lineRule="auto"/>
              <w:jc w:val="center"/>
              <w:rPr>
                <w:noProof/>
              </w:rPr>
            </w:pPr>
            <w:r>
              <w:rPr>
                <w:noProof/>
              </w:rPr>
              <w:t>T</w:t>
            </w:r>
          </w:p>
        </w:tc>
        <w:tc>
          <w:tcPr>
            <w:tcW w:w="1847" w:type="dxa"/>
            <w:tcBorders>
              <w:top w:val="nil"/>
              <w:left w:val="nil"/>
              <w:bottom w:val="single" w:sz="4" w:space="0" w:color="auto"/>
              <w:right w:val="single" w:sz="4" w:space="0" w:color="auto"/>
            </w:tcBorders>
            <w:shd w:val="clear" w:color="auto" w:fill="C6EFCE"/>
            <w:noWrap/>
          </w:tcPr>
          <w:p w14:paraId="7ED25443" w14:textId="77777777" w:rsidR="00553430" w:rsidRDefault="00212577">
            <w:pPr>
              <w:pStyle w:val="P68B1DB1-Normal66"/>
              <w:spacing w:after="200" w:line="276" w:lineRule="auto"/>
              <w:rPr>
                <w:noProof/>
              </w:rPr>
            </w:pPr>
            <w:r>
              <w:rPr>
                <w:noProof/>
              </w:rPr>
              <w:t xml:space="preserve">Fourniture de soins de santé primaires ambulatoires mobiles </w:t>
            </w:r>
          </w:p>
        </w:tc>
        <w:tc>
          <w:tcPr>
            <w:tcW w:w="2159" w:type="dxa"/>
            <w:tcBorders>
              <w:top w:val="nil"/>
              <w:left w:val="nil"/>
              <w:bottom w:val="single" w:sz="4" w:space="0" w:color="auto"/>
              <w:right w:val="single" w:sz="4" w:space="0" w:color="auto"/>
            </w:tcBorders>
            <w:shd w:val="clear" w:color="auto" w:fill="C6EFCE"/>
            <w:noWrap/>
          </w:tcPr>
          <w:p w14:paraId="65F7985B" w14:textId="77777777" w:rsidR="00553430" w:rsidRDefault="00212577">
            <w:pPr>
              <w:pStyle w:val="P68B1DB1-Normal66"/>
              <w:spacing w:after="200" w:line="276" w:lineRule="auto"/>
              <w:rPr>
                <w:noProof/>
              </w:rPr>
            </w:pPr>
            <w:r>
              <w:rPr>
                <w:noProof/>
              </w:rPr>
              <w:t xml:space="preserve"> </w:t>
            </w:r>
          </w:p>
        </w:tc>
        <w:tc>
          <w:tcPr>
            <w:tcW w:w="1078" w:type="dxa"/>
            <w:tcBorders>
              <w:top w:val="nil"/>
              <w:left w:val="nil"/>
              <w:bottom w:val="single" w:sz="4" w:space="0" w:color="auto"/>
              <w:right w:val="single" w:sz="4" w:space="0" w:color="auto"/>
            </w:tcBorders>
            <w:shd w:val="clear" w:color="auto" w:fill="C6EFCE"/>
            <w:noWrap/>
          </w:tcPr>
          <w:p w14:paraId="669CCB60" w14:textId="77777777" w:rsidR="00553430" w:rsidRDefault="00212577">
            <w:pPr>
              <w:pStyle w:val="P68B1DB1-Normal66"/>
              <w:spacing w:after="200" w:line="276" w:lineRule="auto"/>
              <w:jc w:val="center"/>
              <w:rPr>
                <w:noProof/>
              </w:rPr>
            </w:pPr>
            <w:r>
              <w:rPr>
                <w:noProof/>
              </w:rPr>
              <w:t>Numéro</w:t>
            </w:r>
          </w:p>
        </w:tc>
        <w:tc>
          <w:tcPr>
            <w:tcW w:w="1087" w:type="dxa"/>
            <w:tcBorders>
              <w:top w:val="nil"/>
              <w:left w:val="nil"/>
              <w:bottom w:val="single" w:sz="4" w:space="0" w:color="auto"/>
              <w:right w:val="single" w:sz="4" w:space="0" w:color="auto"/>
            </w:tcBorders>
            <w:shd w:val="clear" w:color="auto" w:fill="C6EFCE"/>
            <w:noWrap/>
          </w:tcPr>
          <w:p w14:paraId="2833066E" w14:textId="77777777" w:rsidR="00553430" w:rsidRDefault="00212577">
            <w:pPr>
              <w:pStyle w:val="P68B1DB1-Normal66"/>
              <w:spacing w:after="200" w:line="276" w:lineRule="auto"/>
              <w:jc w:val="center"/>
              <w:rPr>
                <w:noProof/>
              </w:rPr>
            </w:pPr>
            <w:r>
              <w:rPr>
                <w:noProof/>
              </w:rPr>
              <w:t>0</w:t>
            </w:r>
          </w:p>
        </w:tc>
        <w:tc>
          <w:tcPr>
            <w:tcW w:w="976" w:type="dxa"/>
            <w:tcBorders>
              <w:top w:val="nil"/>
              <w:left w:val="nil"/>
              <w:bottom w:val="single" w:sz="4" w:space="0" w:color="auto"/>
              <w:right w:val="single" w:sz="4" w:space="0" w:color="auto"/>
            </w:tcBorders>
            <w:shd w:val="clear" w:color="auto" w:fill="C6EFCE"/>
            <w:noWrap/>
          </w:tcPr>
          <w:p w14:paraId="488A7AA9" w14:textId="77777777" w:rsidR="00553430" w:rsidRDefault="00212577">
            <w:pPr>
              <w:pStyle w:val="P68B1DB1-Normal66"/>
              <w:spacing w:after="200" w:line="276" w:lineRule="auto"/>
              <w:jc w:val="center"/>
              <w:rPr>
                <w:noProof/>
              </w:rPr>
            </w:pPr>
            <w:r>
              <w:rPr>
                <w:noProof/>
              </w:rPr>
              <w:t>33</w:t>
            </w:r>
          </w:p>
          <w:p w14:paraId="039070ED" w14:textId="77777777" w:rsidR="00553430" w:rsidRDefault="00553430">
            <w:pPr>
              <w:spacing w:after="200" w:line="276" w:lineRule="auto"/>
              <w:rPr>
                <w:rFonts w:ascii="Times New Roman" w:eastAsia="Calibri" w:hAnsi="Times New Roman" w:cs="Times New Roman"/>
                <w:noProof/>
                <w:sz w:val="20"/>
                <w:szCs w:val="20"/>
              </w:rPr>
            </w:pPr>
          </w:p>
        </w:tc>
        <w:tc>
          <w:tcPr>
            <w:tcW w:w="545" w:type="dxa"/>
            <w:tcBorders>
              <w:top w:val="nil"/>
              <w:left w:val="nil"/>
              <w:bottom w:val="single" w:sz="4" w:space="0" w:color="auto"/>
              <w:right w:val="single" w:sz="4" w:space="0" w:color="auto"/>
            </w:tcBorders>
            <w:shd w:val="clear" w:color="auto" w:fill="C6EFCE"/>
            <w:noWrap/>
          </w:tcPr>
          <w:p w14:paraId="5748EB2B" w14:textId="77777777" w:rsidR="00553430" w:rsidRDefault="00212577">
            <w:pPr>
              <w:pStyle w:val="P68B1DB1-Normal66"/>
              <w:spacing w:after="200" w:line="276" w:lineRule="auto"/>
              <w:jc w:val="center"/>
              <w:rPr>
                <w:noProof/>
              </w:rPr>
            </w:pPr>
            <w:r>
              <w:rPr>
                <w:noProof/>
              </w:rPr>
              <w:t>T4</w:t>
            </w:r>
          </w:p>
        </w:tc>
        <w:tc>
          <w:tcPr>
            <w:tcW w:w="850" w:type="dxa"/>
            <w:tcBorders>
              <w:top w:val="nil"/>
              <w:left w:val="nil"/>
              <w:bottom w:val="single" w:sz="4" w:space="0" w:color="auto"/>
              <w:right w:val="single" w:sz="4" w:space="0" w:color="auto"/>
            </w:tcBorders>
            <w:shd w:val="clear" w:color="auto" w:fill="C6EFCE"/>
            <w:noWrap/>
          </w:tcPr>
          <w:p w14:paraId="2372BDDE" w14:textId="77777777" w:rsidR="00553430" w:rsidRDefault="00212577">
            <w:pPr>
              <w:pStyle w:val="P68B1DB1-Normal66"/>
              <w:spacing w:after="200" w:line="276" w:lineRule="auto"/>
              <w:jc w:val="center"/>
              <w:rPr>
                <w:noProof/>
              </w:rPr>
            </w:pPr>
            <w:r>
              <w:rPr>
                <w:noProof/>
              </w:rPr>
              <w:t>2025</w:t>
            </w:r>
          </w:p>
        </w:tc>
        <w:tc>
          <w:tcPr>
            <w:tcW w:w="4277" w:type="dxa"/>
            <w:tcBorders>
              <w:top w:val="nil"/>
              <w:left w:val="nil"/>
              <w:bottom w:val="single" w:sz="4" w:space="0" w:color="auto"/>
              <w:right w:val="single" w:sz="4" w:space="0" w:color="auto"/>
            </w:tcBorders>
            <w:shd w:val="clear" w:color="auto" w:fill="C6EFCE"/>
            <w:noWrap/>
          </w:tcPr>
          <w:p w14:paraId="5FFCA334" w14:textId="74D00196" w:rsidR="00553430" w:rsidRDefault="00212577">
            <w:pPr>
              <w:pStyle w:val="P68B1DB1-Normal66"/>
              <w:spacing w:after="200" w:line="276" w:lineRule="auto"/>
              <w:rPr>
                <w:noProof/>
              </w:rPr>
            </w:pPr>
            <w:r>
              <w:rPr>
                <w:noProof/>
              </w:rPr>
              <w:t>Un système de cliniques mobiles est mis en place avec 33 véhicules ambulatoires de soins primaires dans les comtés</w:t>
            </w:r>
            <w:r>
              <w:rPr>
                <w:noProof/>
              </w:rPr>
              <w:t xml:space="preserve"> couvrant les zones rurales, reculées et insulaires, sur la base d’une cartographie ciblant une couverture de 80 % des services mobiles de soins ambulatoires primaires dans les zones rurales, reculées et insulaires.</w:t>
            </w:r>
          </w:p>
          <w:p w14:paraId="7A0DE46B" w14:textId="77777777" w:rsidR="00553430" w:rsidRDefault="00212577">
            <w:pPr>
              <w:pStyle w:val="P68B1DB1-Normal66"/>
              <w:spacing w:after="200" w:line="276" w:lineRule="auto"/>
              <w:rPr>
                <w:noProof/>
              </w:rPr>
            </w:pPr>
            <w:r>
              <w:rPr>
                <w:noProof/>
              </w:rPr>
              <w:t>En outre, un modèle de passation de marc</w:t>
            </w:r>
            <w:r>
              <w:rPr>
                <w:noProof/>
              </w:rPr>
              <w:t>hés visant à assurer la viabilité financière à long terme du service doit être établi.</w:t>
            </w:r>
          </w:p>
          <w:p w14:paraId="0200D79C" w14:textId="77777777" w:rsidR="00553430" w:rsidRDefault="00212577">
            <w:pPr>
              <w:pStyle w:val="P68B1DB1-Normal66"/>
              <w:spacing w:line="240" w:lineRule="auto"/>
              <w:jc w:val="both"/>
              <w:rPr>
                <w:noProof/>
              </w:rPr>
            </w:pPr>
            <w:r>
              <w:rPr>
                <w:noProof/>
              </w:rPr>
              <w:t>Le Ministère de la santé administre la formation afin de renforcer la capacité des équipes mobiles à fournir des soins de santé primaires ambulatoires.</w:t>
            </w:r>
          </w:p>
        </w:tc>
      </w:tr>
      <w:tr w:rsidR="00553430" w14:paraId="1FE2AD6D" w14:textId="77777777">
        <w:trPr>
          <w:trHeight w:val="283"/>
          <w:jc w:val="center"/>
        </w:trPr>
        <w:tc>
          <w:tcPr>
            <w:tcW w:w="846" w:type="dxa"/>
            <w:tcBorders>
              <w:top w:val="nil"/>
              <w:left w:val="single" w:sz="4" w:space="0" w:color="auto"/>
              <w:bottom w:val="single" w:sz="4" w:space="0" w:color="auto"/>
              <w:right w:val="single" w:sz="4" w:space="0" w:color="auto"/>
            </w:tcBorders>
            <w:shd w:val="clear" w:color="auto" w:fill="C6EFCE"/>
            <w:noWrap/>
          </w:tcPr>
          <w:p w14:paraId="69D7B584" w14:textId="77777777" w:rsidR="00553430" w:rsidRDefault="00212577">
            <w:pPr>
              <w:pStyle w:val="P68B1DB1-Normal66"/>
              <w:spacing w:after="200" w:line="276" w:lineRule="auto"/>
              <w:jc w:val="center"/>
              <w:rPr>
                <w:noProof/>
              </w:rPr>
            </w:pPr>
            <w:r>
              <w:rPr>
                <w:noProof/>
              </w:rPr>
              <w:t>322</w:t>
            </w:r>
          </w:p>
        </w:tc>
        <w:tc>
          <w:tcPr>
            <w:tcW w:w="1150" w:type="dxa"/>
            <w:tcBorders>
              <w:top w:val="nil"/>
              <w:left w:val="nil"/>
              <w:bottom w:val="single" w:sz="4" w:space="0" w:color="auto"/>
              <w:right w:val="single" w:sz="4" w:space="0" w:color="auto"/>
            </w:tcBorders>
            <w:shd w:val="clear" w:color="auto" w:fill="C6EFCE"/>
            <w:noWrap/>
          </w:tcPr>
          <w:p w14:paraId="135B7108" w14:textId="77777777" w:rsidR="00553430" w:rsidRDefault="00212577">
            <w:pPr>
              <w:pStyle w:val="P68B1DB1-Normal66"/>
              <w:spacing w:after="200" w:line="276" w:lineRule="auto"/>
              <w:jc w:val="center"/>
              <w:rPr>
                <w:noProof/>
              </w:rPr>
            </w:pPr>
            <w:r>
              <w:rPr>
                <w:noProof/>
              </w:rPr>
              <w:t>C5.1. R1-I3</w:t>
            </w:r>
          </w:p>
        </w:tc>
        <w:tc>
          <w:tcPr>
            <w:tcW w:w="999" w:type="dxa"/>
            <w:tcBorders>
              <w:top w:val="nil"/>
              <w:left w:val="nil"/>
              <w:bottom w:val="single" w:sz="4" w:space="0" w:color="auto"/>
              <w:right w:val="single" w:sz="4" w:space="0" w:color="auto"/>
            </w:tcBorders>
            <w:shd w:val="clear" w:color="auto" w:fill="C6EFCE"/>
            <w:noWrap/>
          </w:tcPr>
          <w:p w14:paraId="360BFED9" w14:textId="77777777" w:rsidR="00553430" w:rsidRDefault="00212577">
            <w:pPr>
              <w:pStyle w:val="P68B1DB1-Normal66"/>
              <w:spacing w:after="200" w:line="276" w:lineRule="auto"/>
              <w:jc w:val="center"/>
              <w:rPr>
                <w:noProof/>
                <w:color w:val="000000" w:themeColor="text1"/>
              </w:rPr>
            </w:pPr>
            <w:r>
              <w:rPr>
                <w:noProof/>
              </w:rPr>
              <w:t>T</w:t>
            </w:r>
          </w:p>
        </w:tc>
        <w:tc>
          <w:tcPr>
            <w:tcW w:w="1847" w:type="dxa"/>
            <w:tcBorders>
              <w:top w:val="nil"/>
              <w:left w:val="nil"/>
              <w:bottom w:val="single" w:sz="4" w:space="0" w:color="auto"/>
              <w:right w:val="single" w:sz="4" w:space="0" w:color="auto"/>
            </w:tcBorders>
            <w:shd w:val="clear" w:color="auto" w:fill="C6EFCE"/>
            <w:noWrap/>
          </w:tcPr>
          <w:p w14:paraId="053C947E" w14:textId="77777777" w:rsidR="00553430" w:rsidRDefault="00212577">
            <w:pPr>
              <w:pStyle w:val="P68B1DB1-Normal66"/>
              <w:spacing w:after="200" w:line="276" w:lineRule="auto"/>
              <w:rPr>
                <w:noProof/>
              </w:rPr>
            </w:pPr>
            <w:r>
              <w:rPr>
                <w:noProof/>
              </w:rPr>
              <w:t xml:space="preserve">Nouveau bâtiment dans le complexe de la clinique des maladies infectieuses Dr Fran Mihaljević </w:t>
            </w:r>
          </w:p>
        </w:tc>
        <w:tc>
          <w:tcPr>
            <w:tcW w:w="2159" w:type="dxa"/>
            <w:tcBorders>
              <w:top w:val="nil"/>
              <w:left w:val="nil"/>
              <w:bottom w:val="single" w:sz="4" w:space="0" w:color="auto"/>
              <w:right w:val="single" w:sz="4" w:space="0" w:color="auto"/>
            </w:tcBorders>
            <w:shd w:val="clear" w:color="auto" w:fill="C6EFCE"/>
            <w:noWrap/>
          </w:tcPr>
          <w:p w14:paraId="00194818" w14:textId="77777777" w:rsidR="00553430" w:rsidRDefault="00212577">
            <w:pPr>
              <w:pStyle w:val="P68B1DB1-Normal66"/>
              <w:spacing w:after="200" w:line="276" w:lineRule="auto"/>
              <w:rPr>
                <w:noProof/>
              </w:rPr>
            </w:pPr>
            <w:r>
              <w:rPr>
                <w:noProof/>
              </w:rPr>
              <w:t xml:space="preserve"> </w:t>
            </w:r>
          </w:p>
        </w:tc>
        <w:tc>
          <w:tcPr>
            <w:tcW w:w="1078" w:type="dxa"/>
            <w:tcBorders>
              <w:top w:val="nil"/>
              <w:left w:val="nil"/>
              <w:bottom w:val="single" w:sz="4" w:space="0" w:color="auto"/>
              <w:right w:val="single" w:sz="4" w:space="0" w:color="auto"/>
            </w:tcBorders>
            <w:shd w:val="clear" w:color="auto" w:fill="C6EFCE"/>
            <w:noWrap/>
          </w:tcPr>
          <w:p w14:paraId="64EF7B89" w14:textId="77777777" w:rsidR="00553430" w:rsidRDefault="00212577">
            <w:pPr>
              <w:pStyle w:val="P68B1DB1-Normal66"/>
              <w:spacing w:after="200" w:line="276" w:lineRule="auto"/>
              <w:jc w:val="center"/>
              <w:rPr>
                <w:noProof/>
              </w:rPr>
            </w:pPr>
            <w:r>
              <w:rPr>
                <w:noProof/>
              </w:rPr>
              <w:t>Numéro</w:t>
            </w:r>
          </w:p>
        </w:tc>
        <w:tc>
          <w:tcPr>
            <w:tcW w:w="1087" w:type="dxa"/>
            <w:tcBorders>
              <w:top w:val="nil"/>
              <w:left w:val="nil"/>
              <w:bottom w:val="single" w:sz="4" w:space="0" w:color="auto"/>
              <w:right w:val="single" w:sz="4" w:space="0" w:color="auto"/>
            </w:tcBorders>
            <w:shd w:val="clear" w:color="auto" w:fill="C6EFCE"/>
            <w:noWrap/>
          </w:tcPr>
          <w:p w14:paraId="5263272A" w14:textId="77777777" w:rsidR="00553430" w:rsidRDefault="00212577">
            <w:pPr>
              <w:pStyle w:val="P68B1DB1-Normal66"/>
              <w:spacing w:after="200" w:line="276" w:lineRule="auto"/>
              <w:jc w:val="center"/>
              <w:rPr>
                <w:noProof/>
              </w:rPr>
            </w:pPr>
            <w:r>
              <w:rPr>
                <w:noProof/>
              </w:rPr>
              <w:t>0</w:t>
            </w:r>
          </w:p>
        </w:tc>
        <w:tc>
          <w:tcPr>
            <w:tcW w:w="976" w:type="dxa"/>
            <w:tcBorders>
              <w:top w:val="nil"/>
              <w:left w:val="nil"/>
              <w:bottom w:val="single" w:sz="4" w:space="0" w:color="auto"/>
              <w:right w:val="single" w:sz="4" w:space="0" w:color="auto"/>
            </w:tcBorders>
            <w:shd w:val="clear" w:color="auto" w:fill="C6EFCE"/>
            <w:noWrap/>
          </w:tcPr>
          <w:p w14:paraId="40E2490E" w14:textId="77777777" w:rsidR="00553430" w:rsidRDefault="00212577">
            <w:pPr>
              <w:pStyle w:val="P68B1DB1-Normal66"/>
              <w:spacing w:after="200" w:line="276" w:lineRule="auto"/>
              <w:jc w:val="center"/>
              <w:rPr>
                <w:noProof/>
              </w:rPr>
            </w:pPr>
            <w:r>
              <w:rPr>
                <w:noProof/>
              </w:rPr>
              <w:t>1</w:t>
            </w:r>
          </w:p>
        </w:tc>
        <w:tc>
          <w:tcPr>
            <w:tcW w:w="545" w:type="dxa"/>
            <w:tcBorders>
              <w:top w:val="nil"/>
              <w:left w:val="nil"/>
              <w:bottom w:val="single" w:sz="4" w:space="0" w:color="auto"/>
              <w:right w:val="single" w:sz="4" w:space="0" w:color="auto"/>
            </w:tcBorders>
            <w:shd w:val="clear" w:color="auto" w:fill="C6EFCE"/>
            <w:noWrap/>
          </w:tcPr>
          <w:p w14:paraId="44196CE9" w14:textId="77777777" w:rsidR="00553430" w:rsidRDefault="00212577">
            <w:pPr>
              <w:pStyle w:val="P68B1DB1-Normal66"/>
              <w:spacing w:after="200" w:line="276" w:lineRule="auto"/>
              <w:jc w:val="center"/>
              <w:rPr>
                <w:noProof/>
              </w:rPr>
            </w:pPr>
            <w:r>
              <w:rPr>
                <w:noProof/>
              </w:rPr>
              <w:t>T1</w:t>
            </w:r>
          </w:p>
        </w:tc>
        <w:tc>
          <w:tcPr>
            <w:tcW w:w="850" w:type="dxa"/>
            <w:tcBorders>
              <w:top w:val="nil"/>
              <w:left w:val="nil"/>
              <w:bottom w:val="single" w:sz="4" w:space="0" w:color="auto"/>
              <w:right w:val="single" w:sz="4" w:space="0" w:color="auto"/>
            </w:tcBorders>
            <w:shd w:val="clear" w:color="auto" w:fill="C6EFCE"/>
            <w:noWrap/>
          </w:tcPr>
          <w:p w14:paraId="1E7403C8" w14:textId="77777777" w:rsidR="00553430" w:rsidRDefault="00212577">
            <w:pPr>
              <w:pStyle w:val="P68B1DB1-Normal66"/>
              <w:spacing w:after="200" w:line="276" w:lineRule="auto"/>
              <w:jc w:val="center"/>
              <w:rPr>
                <w:noProof/>
              </w:rPr>
            </w:pPr>
            <w:r>
              <w:rPr>
                <w:noProof/>
              </w:rPr>
              <w:t>2026</w:t>
            </w:r>
          </w:p>
        </w:tc>
        <w:tc>
          <w:tcPr>
            <w:tcW w:w="4277" w:type="dxa"/>
            <w:tcBorders>
              <w:top w:val="nil"/>
              <w:left w:val="nil"/>
              <w:bottom w:val="single" w:sz="4" w:space="0" w:color="auto"/>
              <w:right w:val="single" w:sz="4" w:space="0" w:color="auto"/>
            </w:tcBorders>
            <w:shd w:val="clear" w:color="auto" w:fill="C6EFCE"/>
            <w:noWrap/>
          </w:tcPr>
          <w:p w14:paraId="63C1E107" w14:textId="77777777" w:rsidR="00553430" w:rsidRDefault="00212577">
            <w:pPr>
              <w:pStyle w:val="P68B1DB1-Normal70"/>
              <w:spacing w:after="240" w:line="276" w:lineRule="auto"/>
              <w:rPr>
                <w:noProof/>
              </w:rPr>
            </w:pPr>
            <w:r>
              <w:rPr>
                <w:noProof/>
                <w:color w:val="000000" w:themeColor="text1"/>
              </w:rPr>
              <w:t xml:space="preserve">Le projet consistera en la démolition des bâtiments existants (3, 4 et 1/5) et la construction d'un nouveau bâtiment dans le cadre du </w:t>
            </w:r>
            <w:r>
              <w:rPr>
                <w:noProof/>
                <w:color w:val="000000" w:themeColor="text1"/>
              </w:rPr>
              <w:t>complexe.</w:t>
            </w:r>
            <w:r>
              <w:rPr>
                <w:noProof/>
              </w:rPr>
              <w:t xml:space="preserve"> Le projet comprendra le remplacement de l’équipement de la clinique des maladies infectieuses «Dr Fran Mihaljević.</w:t>
            </w:r>
          </w:p>
        </w:tc>
      </w:tr>
    </w:tbl>
    <w:p w14:paraId="5623E6F1" w14:textId="77777777" w:rsidR="00553430" w:rsidRDefault="00553430">
      <w:pPr>
        <w:spacing w:after="0" w:line="240" w:lineRule="auto"/>
        <w:jc w:val="both"/>
        <w:textAlignment w:val="baseline"/>
        <w:rPr>
          <w:rFonts w:ascii="Segoe UI" w:eastAsia="Times New Roman" w:hAnsi="Segoe UI" w:cs="Segoe UI"/>
          <w:noProof/>
          <w:sz w:val="18"/>
          <w:szCs w:val="18"/>
        </w:rPr>
      </w:pPr>
    </w:p>
    <w:p w14:paraId="3A5F9C2B" w14:textId="77777777" w:rsidR="00553430" w:rsidRDefault="00553430">
      <w:pPr>
        <w:spacing w:line="240" w:lineRule="auto"/>
        <w:jc w:val="both"/>
        <w:rPr>
          <w:rFonts w:eastAsia="Calibri"/>
          <w:iCs/>
          <w:noProof/>
        </w:rPr>
      </w:pPr>
    </w:p>
    <w:p w14:paraId="00F6F7B0" w14:textId="77777777" w:rsidR="00553430" w:rsidRDefault="00553430">
      <w:pPr>
        <w:keepNext/>
        <w:tabs>
          <w:tab w:val="left" w:pos="284"/>
        </w:tabs>
        <w:spacing w:after="200" w:line="276" w:lineRule="auto"/>
        <w:jc w:val="both"/>
        <w:outlineLvl w:val="0"/>
        <w:rPr>
          <w:rFonts w:eastAsia="Calibri"/>
          <w:b/>
          <w:smallCaps/>
          <w:noProof/>
          <w:szCs w:val="24"/>
        </w:rPr>
        <w:sectPr w:rsidR="00553430" w:rsidSect="00FA29B2">
          <w:headerReference w:type="even" r:id="rId381"/>
          <w:headerReference w:type="default" r:id="rId382"/>
          <w:footerReference w:type="even" r:id="rId383"/>
          <w:footerReference w:type="default" r:id="rId384"/>
          <w:headerReference w:type="first" r:id="rId385"/>
          <w:footerReference w:type="first" r:id="rId386"/>
          <w:pgSz w:w="16838" w:h="11906" w:orient="landscape"/>
          <w:pgMar w:top="1134" w:right="1134" w:bottom="1134" w:left="1134" w:header="567" w:footer="567" w:gutter="0"/>
          <w:cols w:space="708"/>
          <w:docGrid w:linePitch="360"/>
        </w:sectPr>
      </w:pPr>
    </w:p>
    <w:p w14:paraId="1D88DB27" w14:textId="77777777" w:rsidR="00553430" w:rsidRDefault="00212577">
      <w:pPr>
        <w:pStyle w:val="P68B1DB1-Normal32"/>
        <w:keepNext/>
        <w:tabs>
          <w:tab w:val="left" w:pos="284"/>
        </w:tabs>
        <w:spacing w:after="200" w:line="276" w:lineRule="auto"/>
        <w:ind w:left="850" w:firstLine="1"/>
        <w:jc w:val="both"/>
        <w:outlineLvl w:val="0"/>
        <w:rPr>
          <w:noProof/>
        </w:rPr>
      </w:pPr>
      <w:r>
        <w:rPr>
          <w:noProof/>
        </w:rPr>
        <w:t>V. INITIATIVE 6.1: RENOVATION DES BÂTIMENTS</w:t>
      </w:r>
    </w:p>
    <w:p w14:paraId="264C3433" w14:textId="77777777" w:rsidR="00553430" w:rsidRDefault="00212577">
      <w:pPr>
        <w:pStyle w:val="P68B1DB1-Normal94"/>
        <w:spacing w:line="240" w:lineRule="auto"/>
        <w:jc w:val="both"/>
        <w:rPr>
          <w:noProof/>
        </w:rPr>
      </w:pPr>
      <w:r>
        <w:rPr>
          <w:noProof/>
        </w:rPr>
        <w:t xml:space="preserve">Le parc immobilier </w:t>
      </w:r>
      <w:r>
        <w:rPr>
          <w:noProof/>
        </w:rPr>
        <w:t xml:space="preserve">actuel de la Croatie est relativement ancien et le taux de rénovation énergétique des bâtiments n’était que de 0,7 % par an au cours de la période 2014-2020. Les bâtiments anciens et inefficaces sont responsables de 40 % de la consommation d’énergie et de </w:t>
      </w:r>
      <w:r>
        <w:rPr>
          <w:noProof/>
        </w:rPr>
        <w:t>36 % des émissions de CO2, et jusqu’à 30 % des bâtiments appartiennent à la catégorie la moins performante. La plupart des bâtiments les moins performants ne répondent pas aux exigences minimales de protection contre les tremblements de terre, de protectio</w:t>
      </w:r>
      <w:r>
        <w:rPr>
          <w:noProof/>
        </w:rPr>
        <w:t>n contre les incendies ou de protection de la santé et nécessitent donc une rénovation complète. En outre, en mars et décembre 2020, deux séries de tremblements de terre ont frappé la Croatie et causé des dommages matériels majeurs dans la ville de Zagreb,</w:t>
      </w:r>
      <w:r>
        <w:rPr>
          <w:noProof/>
        </w:rPr>
        <w:t xml:space="preserve"> le comté de Zagreb, le comté de Krapina-Zagorje, le comté de Sisak-Moslavina et le comté de Karlovac. Selon l’évaluation des besoins en matière de dommages rapides (gouvernement de la République de Croatie, 2020), les besoins totaux en matière de reconstr</w:t>
      </w:r>
      <w:r>
        <w:rPr>
          <w:noProof/>
        </w:rPr>
        <w:t>uction et de redressement dans les comtés de Zagreb, Zagreb et Krapina-Zagorje à la suite du tremblement de terre de mars ont été évalués à environ 17 469 000 000 EUR. L'évaluation des dommages causés par le tremblement de terre de décembre est toujours en</w:t>
      </w:r>
      <w:r>
        <w:rPr>
          <w:noProof/>
        </w:rPr>
        <w:t xml:space="preserve"> cours. </w:t>
      </w:r>
    </w:p>
    <w:p w14:paraId="547B3D04" w14:textId="77777777" w:rsidR="00553430" w:rsidRDefault="00212577">
      <w:pPr>
        <w:pStyle w:val="P68B1DB1-Normal94"/>
        <w:spacing w:line="240" w:lineRule="auto"/>
        <w:jc w:val="both"/>
        <w:rPr>
          <w:noProof/>
        </w:rPr>
      </w:pPr>
      <w:r>
        <w:rPr>
          <w:noProof/>
        </w:rPr>
        <w:t>Cette initiative du plan croate pour la reprise et la résilience concerne des investissements et des réformes visant à encourager la rénovation complète des bâtiments, y compris la rénovation énergétique, le renforcement structurel et la rénovatio</w:t>
      </w:r>
      <w:r>
        <w:rPr>
          <w:noProof/>
        </w:rPr>
        <w:t xml:space="preserve">n après le tremblement de terre. La rénovation couvre les bâtiments collectifs et publics, y compris les établissements de santé et d’enseignement, ainsi que les bâtiments ayant le statut de bien culturel. </w:t>
      </w:r>
    </w:p>
    <w:p w14:paraId="16E0924B" w14:textId="77777777" w:rsidR="00553430" w:rsidRDefault="00212577">
      <w:pPr>
        <w:pStyle w:val="P68B1DB1-Normal94"/>
        <w:spacing w:line="240" w:lineRule="auto"/>
        <w:jc w:val="both"/>
        <w:rPr>
          <w:noProof/>
        </w:rPr>
      </w:pPr>
      <w:r>
        <w:rPr>
          <w:noProof/>
        </w:rPr>
        <w:t>L’initiative comprend des réformes qui soutiennen</w:t>
      </w:r>
      <w:r>
        <w:rPr>
          <w:noProof/>
        </w:rPr>
        <w:t xml:space="preserve">t le processus de rénovation et de décarbonation des bâtiments, tout en s’attaquant aux obstacles sur le marché de la construction et aux questions sociales: i) une réforme visant à décarboner les bâtiments, ii) une réforme visant à accroître le nombre de </w:t>
      </w:r>
      <w:r>
        <w:rPr>
          <w:noProof/>
        </w:rPr>
        <w:t>travailleurs et d’experts en efficacité énergétique et en reconstruction après le tremblement de terre, iii) une réforme visant à réduire la charge administrative pesant sur les demandeurs dans le processus de rénovation, iv) une réforme visant à accroître</w:t>
      </w:r>
      <w:r>
        <w:rPr>
          <w:noProof/>
        </w:rPr>
        <w:t xml:space="preserve"> la connaissance des activités sismiques, v) une réforme visant à promouvoir et à développer les infrastructures vertes et la gestion circulaire des bâtiments et des espaces et vi) une réforme visant à développer une gestion systématique de l’énergie et à </w:t>
      </w:r>
      <w:r>
        <w:rPr>
          <w:noProof/>
        </w:rPr>
        <w:t xml:space="preserve">tester un nouveau modèle de financement de l’efficacité énergétique. </w:t>
      </w:r>
    </w:p>
    <w:p w14:paraId="4058FC25" w14:textId="44900B20" w:rsidR="00553430" w:rsidRDefault="00212577">
      <w:pPr>
        <w:pStyle w:val="P68B1DB1-Normal94"/>
        <w:spacing w:line="240" w:lineRule="auto"/>
        <w:jc w:val="both"/>
        <w:rPr>
          <w:noProof/>
        </w:rPr>
      </w:pPr>
      <w:r>
        <w:rPr>
          <w:noProof/>
        </w:rPr>
        <w:t>Les investissements et les réformes contribuent aux recommandations par pays adressées à la Croatie au cours des deux dernières années, sur la nécessité de «concentrer la politique d’inv</w:t>
      </w:r>
      <w:r>
        <w:rPr>
          <w:noProof/>
        </w:rPr>
        <w:t>estissement sur […] l’efficacité énergétique, […] et les infrastructures environnementales (recommandation par pays no 3, 2019) et de «concentrer les investissements sur la transition écologique et […], en particulier sur les infrastructures environnementa</w:t>
      </w:r>
      <w:r>
        <w:rPr>
          <w:noProof/>
        </w:rPr>
        <w:t xml:space="preserve">les […] (recommandation par pays no 3, 2020).  </w:t>
      </w:r>
    </w:p>
    <w:p w14:paraId="30CDFA6C" w14:textId="77777777" w:rsidR="00553430" w:rsidRDefault="00212577">
      <w:pPr>
        <w:pStyle w:val="P68B1DB1-Normal57"/>
        <w:keepNext/>
        <w:numPr>
          <w:ilvl w:val="1"/>
          <w:numId w:val="0"/>
        </w:numPr>
        <w:spacing w:before="40" w:after="0"/>
        <w:ind w:left="851"/>
        <w:jc w:val="both"/>
        <w:outlineLvl w:val="1"/>
        <w:rPr>
          <w:noProof/>
        </w:rPr>
      </w:pPr>
      <w:r>
        <w:rPr>
          <w:noProof/>
        </w:rPr>
        <w:t xml:space="preserve">V.1. </w:t>
      </w:r>
      <w:r>
        <w:rPr>
          <w:noProof/>
        </w:rPr>
        <w:tab/>
        <w:t>Description des réformes et des investissements pour le soutien financier non remboursable</w:t>
      </w:r>
    </w:p>
    <w:p w14:paraId="690CD90C" w14:textId="77777777" w:rsidR="00553430" w:rsidRDefault="00553430">
      <w:pPr>
        <w:spacing w:line="240" w:lineRule="auto"/>
        <w:ind w:left="850"/>
        <w:jc w:val="both"/>
        <w:rPr>
          <w:rFonts w:ascii="Times New Roman" w:eastAsia="Times New Roman" w:hAnsi="Times New Roman" w:cs="Times New Roman"/>
          <w:noProof/>
          <w:sz w:val="24"/>
          <w:szCs w:val="24"/>
          <w:u w:val="single"/>
        </w:rPr>
      </w:pPr>
    </w:p>
    <w:p w14:paraId="2CEF9D11" w14:textId="77777777" w:rsidR="00553430" w:rsidRDefault="00212577">
      <w:pPr>
        <w:pStyle w:val="P68B1DB1-Normal81"/>
        <w:spacing w:line="240" w:lineRule="auto"/>
        <w:ind w:left="850"/>
        <w:jc w:val="both"/>
        <w:rPr>
          <w:rFonts w:eastAsia="Times New Roman"/>
          <w:noProof/>
        </w:rPr>
      </w:pPr>
      <w:r>
        <w:rPr>
          <w:noProof/>
        </w:rPr>
        <w:t>Réforme C6.1 R1 – Décarbonation des bâtiments</w:t>
      </w:r>
    </w:p>
    <w:p w14:paraId="7F696ABE" w14:textId="77777777" w:rsidR="00553430" w:rsidRDefault="00212577">
      <w:pPr>
        <w:pStyle w:val="P68B1DB1-Normal33"/>
        <w:spacing w:line="240" w:lineRule="auto"/>
        <w:jc w:val="both"/>
        <w:rPr>
          <w:noProof/>
        </w:rPr>
      </w:pPr>
      <w:r>
        <w:rPr>
          <w:noProof/>
        </w:rPr>
        <w:t>La réforme contribue à l’initiative de la vague de rénovation de</w:t>
      </w:r>
      <w:r>
        <w:rPr>
          <w:noProof/>
        </w:rPr>
        <w:t xml:space="preserve">s bâtiments existants et à la transformation du parc immobilier existant en un parc immobilier hautement économe en énergie et décarboné d’ici à 2050. </w:t>
      </w:r>
    </w:p>
    <w:p w14:paraId="0A30E580" w14:textId="77777777" w:rsidR="00553430" w:rsidRDefault="00212577">
      <w:pPr>
        <w:pStyle w:val="P68B1DB1-Normal33"/>
        <w:spacing w:line="240" w:lineRule="auto"/>
        <w:jc w:val="both"/>
        <w:rPr>
          <w:noProof/>
        </w:rPr>
      </w:pPr>
      <w:r>
        <w:rPr>
          <w:noProof/>
        </w:rPr>
        <w:t xml:space="preserve">La réforme comprend l’adoption de programmes de rénovation en matière d’efficacité énergétique pour la </w:t>
      </w:r>
      <w:r>
        <w:rPr>
          <w:noProof/>
        </w:rPr>
        <w:t>période 2021-2030 pour les bâtiments à logements multiples, les bâtiments publics et une catégorie particulière de bâtiments ayant un statut de bien culturel, ainsi que l’adoption du programme de réduction de la précarité énergétique dans les domaines prés</w:t>
      </w:r>
      <w:r>
        <w:rPr>
          <w:noProof/>
        </w:rPr>
        <w:t>entant un intérêt particulier pour l’État pour la période 2021-2025. Ces programmes encouragent la rénovation en profondeur des bâtiments tout en accordant une attention particulière à la garantie de conditions climatiques intérieures saines, à la sécurité</w:t>
      </w:r>
      <w:r>
        <w:rPr>
          <w:noProof/>
        </w:rPr>
        <w:t xml:space="preserve"> incendie et à la lutte contre les risques liés à l’augmentation de l’activité sismique ainsi qu’à la réduction de la précarité énergétique. </w:t>
      </w:r>
    </w:p>
    <w:p w14:paraId="10E11753" w14:textId="77777777" w:rsidR="00553430" w:rsidRDefault="00212577">
      <w:pPr>
        <w:pStyle w:val="P68B1DB1-Normal33"/>
        <w:spacing w:line="240" w:lineRule="auto"/>
        <w:jc w:val="both"/>
        <w:rPr>
          <w:noProof/>
        </w:rPr>
      </w:pPr>
      <w:r>
        <w:rPr>
          <w:noProof/>
        </w:rPr>
        <w:t xml:space="preserve">La réforme est achevée au plus tard le 31 mars 2022. </w:t>
      </w:r>
    </w:p>
    <w:p w14:paraId="26488AFE" w14:textId="77777777" w:rsidR="00553430" w:rsidRDefault="00553430">
      <w:pPr>
        <w:spacing w:line="240" w:lineRule="auto"/>
        <w:jc w:val="both"/>
        <w:rPr>
          <w:rFonts w:ascii="Times New Roman" w:eastAsia="Calibri" w:hAnsi="Times New Roman" w:cs="Times New Roman"/>
          <w:noProof/>
          <w:sz w:val="24"/>
          <w:szCs w:val="24"/>
        </w:rPr>
      </w:pPr>
    </w:p>
    <w:p w14:paraId="480902D2" w14:textId="77777777" w:rsidR="00553430" w:rsidRDefault="00212577">
      <w:pPr>
        <w:pStyle w:val="P68B1DB1-Normal81"/>
        <w:spacing w:line="240" w:lineRule="auto"/>
        <w:ind w:left="850"/>
        <w:jc w:val="both"/>
        <w:rPr>
          <w:rFonts w:eastAsia="Times New Roman"/>
          <w:noProof/>
        </w:rPr>
      </w:pPr>
      <w:r>
        <w:rPr>
          <w:noProof/>
        </w:rPr>
        <w:t>Investissement C6.1 R1-I1 – Rénovation énergétique des bâti</w:t>
      </w:r>
      <w:r>
        <w:rPr>
          <w:noProof/>
        </w:rPr>
        <w:t>ments</w:t>
      </w:r>
    </w:p>
    <w:p w14:paraId="1CBE163F" w14:textId="77777777" w:rsidR="00553430" w:rsidRDefault="00212577">
      <w:pPr>
        <w:pStyle w:val="P68B1DB1-Normal33"/>
        <w:spacing w:line="240" w:lineRule="auto"/>
        <w:jc w:val="both"/>
        <w:rPr>
          <w:noProof/>
        </w:rPr>
      </w:pPr>
      <w:r>
        <w:rPr>
          <w:noProof/>
        </w:rPr>
        <w:t>L’objectif de la mesure est de réduire la consommation d’énergie pour le chauffage et d’accroître les économies d’énergie primaire dans les immeubles collectifs et les bâtiments du secteur public. Cette mesure consiste en la rénovation énergétique de</w:t>
      </w:r>
      <w:r>
        <w:rPr>
          <w:noProof/>
        </w:rPr>
        <w:t xml:space="preserve">s bâtiments publics et des immeubles collectifs. </w:t>
      </w:r>
    </w:p>
    <w:p w14:paraId="43682E34" w14:textId="77777777" w:rsidR="00553430" w:rsidRDefault="00212577">
      <w:pPr>
        <w:pStyle w:val="P68B1DB1-Normal81"/>
        <w:spacing w:line="240" w:lineRule="auto"/>
        <w:ind w:left="850"/>
        <w:jc w:val="both"/>
        <w:rPr>
          <w:rFonts w:eastAsia="Times New Roman"/>
          <w:noProof/>
        </w:rPr>
      </w:pPr>
      <w:r>
        <w:rPr>
          <w:noProof/>
        </w:rPr>
        <w:t>Investissement C6.1 R1-I3 – Rénovation énergétique des bâtiments ayant le statut de bien culturel</w:t>
      </w:r>
    </w:p>
    <w:p w14:paraId="0EC14707" w14:textId="77777777" w:rsidR="00553430" w:rsidRDefault="00212577">
      <w:pPr>
        <w:pStyle w:val="P68B1DB1-Normal33"/>
        <w:spacing w:line="240" w:lineRule="auto"/>
        <w:jc w:val="both"/>
        <w:rPr>
          <w:noProof/>
        </w:rPr>
      </w:pPr>
      <w:r>
        <w:rPr>
          <w:noProof/>
        </w:rPr>
        <w:t>L’objectif de la mesure est de rénover les bâtiments ayant le statut de bien culturel afin de réduire la con</w:t>
      </w:r>
      <w:r>
        <w:rPr>
          <w:noProof/>
        </w:rPr>
        <w:t>sommation d’énergie. Cette mesure consiste à rénover deux catégories de bâtiments: biens culturels et bâtiments protégés individuellement situés au sein des entités culturelles et historiques protégées.</w:t>
      </w:r>
    </w:p>
    <w:p w14:paraId="27CE8B9F" w14:textId="77777777" w:rsidR="00553430" w:rsidRDefault="00212577">
      <w:pPr>
        <w:pStyle w:val="P68B1DB1-Normal81"/>
        <w:spacing w:line="240" w:lineRule="auto"/>
        <w:ind w:left="850"/>
        <w:jc w:val="both"/>
        <w:rPr>
          <w:rFonts w:eastAsia="Times New Roman"/>
          <w:noProof/>
        </w:rPr>
      </w:pPr>
      <w:r>
        <w:rPr>
          <w:noProof/>
        </w:rPr>
        <w:t>Réforme C6.1 R2 – Élaboration d’un cadre visant à gar</w:t>
      </w:r>
      <w:r>
        <w:rPr>
          <w:noProof/>
        </w:rPr>
        <w:t>antir des compétences adéquates dans le contexte des emplois verts nécessaires à la reconstruction après le tremblement de terre</w:t>
      </w:r>
    </w:p>
    <w:p w14:paraId="39CF0F74" w14:textId="6E2084EA" w:rsidR="00553430" w:rsidRDefault="00212577">
      <w:pPr>
        <w:pStyle w:val="P68B1DB1-Normal33"/>
        <w:spacing w:line="240" w:lineRule="auto"/>
        <w:jc w:val="both"/>
        <w:rPr>
          <w:noProof/>
        </w:rPr>
      </w:pPr>
      <w:r>
        <w:rPr>
          <w:noProof/>
        </w:rPr>
        <w:t>L'objectif de la mesure est de remédier à la pénurie de main-d'œuvre qualifiée dans le secteur de la construction en offrant de</w:t>
      </w:r>
      <w:r>
        <w:rPr>
          <w:noProof/>
        </w:rPr>
        <w:t>s programmes d'éducation. Cette mesure consiste à publier le plan national pour le développement des compétences vertes, à fournir des programmes d’éducation des adultes sur la rénovation énergétique et un nouveau module de programme de master sur la rénov</w:t>
      </w:r>
      <w:r>
        <w:rPr>
          <w:noProof/>
        </w:rPr>
        <w:t>ation et l’efficacité énergétique.</w:t>
      </w:r>
    </w:p>
    <w:p w14:paraId="5790B3EC" w14:textId="77777777" w:rsidR="00553430" w:rsidRDefault="00212577">
      <w:pPr>
        <w:pStyle w:val="P68B1DB1-Normal81"/>
        <w:spacing w:line="240" w:lineRule="auto"/>
        <w:ind w:left="850"/>
        <w:jc w:val="both"/>
        <w:rPr>
          <w:rFonts w:eastAsia="Times New Roman"/>
          <w:noProof/>
        </w:rPr>
      </w:pPr>
      <w:r>
        <w:rPr>
          <w:noProof/>
        </w:rPr>
        <w:t>Réforme C6.1 R3 – Accroître l’efficacité, réduire la charge administrative et numériser le processus de rénovation</w:t>
      </w:r>
    </w:p>
    <w:p w14:paraId="65535C51" w14:textId="77777777" w:rsidR="00553430" w:rsidRDefault="00212577">
      <w:pPr>
        <w:pStyle w:val="P68B1DB1-Normal33"/>
        <w:spacing w:line="240" w:lineRule="auto"/>
        <w:jc w:val="both"/>
        <w:rPr>
          <w:noProof/>
        </w:rPr>
      </w:pPr>
      <w:r>
        <w:rPr>
          <w:noProof/>
        </w:rPr>
        <w:t xml:space="preserve">L’objectif de la mesure est de fournir des services aux citoyens afin de réduire la charge administrative </w:t>
      </w:r>
      <w:r>
        <w:rPr>
          <w:noProof/>
        </w:rPr>
        <w:t>dans le processus de rénovation énergétique et post-séisme. Cette mesure consiste à développer des services de guichet unique et à renforcer les capacités professionnelles des fonctionnaires.</w:t>
      </w:r>
    </w:p>
    <w:p w14:paraId="4A098BBB" w14:textId="77777777" w:rsidR="00553430" w:rsidRDefault="00212577">
      <w:pPr>
        <w:pStyle w:val="P68B1DB1-Normal81"/>
        <w:spacing w:line="240" w:lineRule="auto"/>
        <w:ind w:left="850"/>
        <w:jc w:val="both"/>
        <w:rPr>
          <w:rFonts w:eastAsia="Times New Roman"/>
          <w:noProof/>
        </w:rPr>
      </w:pPr>
      <w:r>
        <w:rPr>
          <w:noProof/>
        </w:rPr>
        <w:t>Réforme C6.1 R4 – Modernisation et intégration des données sismi</w:t>
      </w:r>
      <w:r>
        <w:rPr>
          <w:noProof/>
        </w:rPr>
        <w:t xml:space="preserve">ques pour le processus de rénovation et la planification de la construction et du suivi futurs des infrastructures publiques </w:t>
      </w:r>
    </w:p>
    <w:p w14:paraId="6B426BE2" w14:textId="77777777" w:rsidR="00553430" w:rsidRDefault="00212577">
      <w:pPr>
        <w:pStyle w:val="P68B1DB1-Normal33"/>
        <w:spacing w:line="240" w:lineRule="auto"/>
        <w:jc w:val="both"/>
        <w:rPr>
          <w:noProof/>
        </w:rPr>
      </w:pPr>
      <w:r>
        <w:rPr>
          <w:noProof/>
        </w:rPr>
        <w:t>L’objectif de la mesure est d’améliorer la résilience aux risques dans l’aménagement du territoire et le secteur de la constructio</w:t>
      </w:r>
      <w:r>
        <w:rPr>
          <w:noProof/>
        </w:rPr>
        <w:t>n en améliorant la collecte et le traitement des données sismiques. Cette mesure consiste à renforcer les capacités nécessaires à la collecte et à l'application de données sismiques pour l'aménagement du territoire et des pratiques de construction plus sûr</w:t>
      </w:r>
      <w:r>
        <w:rPr>
          <w:noProof/>
        </w:rPr>
        <w:t>es.</w:t>
      </w:r>
    </w:p>
    <w:p w14:paraId="6E31ACF8" w14:textId="77777777" w:rsidR="00553430" w:rsidRDefault="00212577">
      <w:pPr>
        <w:pStyle w:val="P68B1DB1-Normal81"/>
        <w:spacing w:line="240" w:lineRule="auto"/>
        <w:ind w:left="850"/>
        <w:jc w:val="both"/>
        <w:rPr>
          <w:rFonts w:eastAsia="Times New Roman"/>
          <w:noProof/>
        </w:rPr>
      </w:pPr>
      <w:r>
        <w:rPr>
          <w:noProof/>
        </w:rPr>
        <w:t>Investissement C6.1 R4-I1 – Développement d’un réseau de données sismologiques</w:t>
      </w:r>
    </w:p>
    <w:p w14:paraId="02C58748" w14:textId="77777777" w:rsidR="00553430" w:rsidRDefault="00212577">
      <w:pPr>
        <w:pStyle w:val="P68B1DB1-Normal46"/>
        <w:spacing w:line="240" w:lineRule="auto"/>
        <w:jc w:val="both"/>
        <w:rPr>
          <w:rFonts w:eastAsia="Calibri"/>
          <w:noProof/>
        </w:rPr>
      </w:pPr>
      <w:r>
        <w:rPr>
          <w:noProof/>
        </w:rPr>
        <w:t>L’objectif de la mesure est de renforcer les capacités de surveillance et d’analyse sismiques. Cette mesure consiste à acquérir de l'équipement sismique et à former des expe</w:t>
      </w:r>
      <w:r>
        <w:rPr>
          <w:noProof/>
        </w:rPr>
        <w:t>rts à l'exploitation de l'équipement et au traitement des données.</w:t>
      </w:r>
    </w:p>
    <w:p w14:paraId="6EE378E5" w14:textId="77777777" w:rsidR="00553430" w:rsidRDefault="00212577">
      <w:pPr>
        <w:pStyle w:val="P68B1DB1-Normal81"/>
        <w:spacing w:line="240" w:lineRule="auto"/>
        <w:ind w:left="850"/>
        <w:jc w:val="both"/>
        <w:rPr>
          <w:rFonts w:eastAsia="Times New Roman"/>
          <w:noProof/>
        </w:rPr>
      </w:pPr>
      <w:r>
        <w:rPr>
          <w:noProof/>
        </w:rPr>
        <w:t>Réforme C6.1 R5 – Introduction d’un nouveau modèle de stratégies de rénovation urbaine verte et mise en œuvre d’un projet pilote pour le développement d’infrastructures vertes et la gestion</w:t>
      </w:r>
      <w:r>
        <w:rPr>
          <w:noProof/>
        </w:rPr>
        <w:t xml:space="preserve"> circulaire des bâtiments et des espaces </w:t>
      </w:r>
    </w:p>
    <w:p w14:paraId="27A1DBB0" w14:textId="77777777" w:rsidR="00553430" w:rsidRDefault="00212577">
      <w:pPr>
        <w:pStyle w:val="P68B1DB1-Normal46"/>
        <w:spacing w:line="240" w:lineRule="auto"/>
        <w:jc w:val="both"/>
        <w:rPr>
          <w:noProof/>
        </w:rPr>
      </w:pPr>
      <w:r>
        <w:rPr>
          <w:noProof/>
        </w:rPr>
        <w:t>L’objectif de la mesure est d’établir un cadre pour la rénovation urbaine verte qui favorise le développement durable. Cette mesure consiste à adopter des programmes sur la gestion circulaire des espaces et des bât</w:t>
      </w:r>
      <w:r>
        <w:rPr>
          <w:noProof/>
        </w:rPr>
        <w:t>iments et sur les infrastructures vertes urbaines, à adopter des stratégies de rénovation urbaine verte et à mettre en œuvre un projet pilote.</w:t>
      </w:r>
    </w:p>
    <w:p w14:paraId="0775A81D" w14:textId="77777777" w:rsidR="00553430" w:rsidRDefault="00212577">
      <w:pPr>
        <w:pStyle w:val="P68B1DB1-Normal81"/>
        <w:spacing w:line="240" w:lineRule="auto"/>
        <w:ind w:left="850"/>
        <w:jc w:val="both"/>
        <w:rPr>
          <w:rFonts w:eastAsia="Times New Roman"/>
          <w:noProof/>
        </w:rPr>
      </w:pPr>
      <w:r>
        <w:rPr>
          <w:noProof/>
        </w:rPr>
        <w:t>Réforme C6.1 R6 – Projet pilote pour la mise en place et la mise en œuvre d’une gestion systématique de l’énergie</w:t>
      </w:r>
      <w:r>
        <w:rPr>
          <w:noProof/>
        </w:rPr>
        <w:t xml:space="preserve"> et le développement d’un nouveau modèle de financement </w:t>
      </w:r>
    </w:p>
    <w:p w14:paraId="47BF045A" w14:textId="77777777" w:rsidR="00553430" w:rsidRDefault="00212577">
      <w:pPr>
        <w:pStyle w:val="P68B1DB1-Normal33"/>
        <w:spacing w:line="240" w:lineRule="auto"/>
        <w:jc w:val="both"/>
        <w:rPr>
          <w:noProof/>
        </w:rPr>
      </w:pPr>
      <w:r>
        <w:rPr>
          <w:noProof/>
        </w:rPr>
        <w:t>L’objectif de la mesure est de développer et de tester un modèle de surveillance de la consommation d’énergie dans les bâtiments à logements multiples. Cette mesure consiste à mettre en œuvre un proj</w:t>
      </w:r>
      <w:r>
        <w:rPr>
          <w:noProof/>
        </w:rPr>
        <w:t>et pilote visant à mettre en place une collecte automatique de données pour surveiller la consommation d’énergie et d’eau dans les bâtiments à logements multiples.</w:t>
      </w:r>
    </w:p>
    <w:p w14:paraId="0616C3CB" w14:textId="77777777" w:rsidR="00553430" w:rsidRDefault="00553430">
      <w:pPr>
        <w:rPr>
          <w:noProof/>
        </w:rPr>
        <w:sectPr w:rsidR="00553430" w:rsidSect="00FA29B2">
          <w:headerReference w:type="even" r:id="rId387"/>
          <w:headerReference w:type="default" r:id="rId388"/>
          <w:footerReference w:type="even" r:id="rId389"/>
          <w:footerReference w:type="default" r:id="rId390"/>
          <w:headerReference w:type="first" r:id="rId391"/>
          <w:footerReference w:type="first" r:id="rId392"/>
          <w:pgSz w:w="11906" w:h="16838"/>
          <w:pgMar w:top="1134" w:right="1134" w:bottom="1134" w:left="1134" w:header="567" w:footer="567" w:gutter="0"/>
          <w:cols w:space="708"/>
          <w:docGrid w:linePitch="360"/>
        </w:sectPr>
      </w:pPr>
    </w:p>
    <w:p w14:paraId="32620715" w14:textId="77777777" w:rsidR="00553430" w:rsidRDefault="00212577">
      <w:pPr>
        <w:pStyle w:val="P68B1DB1-Normal80"/>
        <w:keepNext/>
        <w:tabs>
          <w:tab w:val="num" w:pos="284"/>
        </w:tabs>
        <w:spacing w:after="0" w:line="240" w:lineRule="auto"/>
        <w:jc w:val="both"/>
        <w:outlineLvl w:val="1"/>
        <w:rPr>
          <w:rFonts w:ascii="Times New Roman" w:eastAsia="SimSun" w:hAnsi="Times New Roman" w:cs="Times New Roman"/>
          <w:b/>
          <w:noProof/>
        </w:rPr>
      </w:pPr>
      <w:r>
        <w:rPr>
          <w:rFonts w:ascii="Times New Roman" w:eastAsia="SimSun" w:hAnsi="Times New Roman" w:cs="Times New Roman"/>
          <w:b/>
          <w:noProof/>
        </w:rPr>
        <w:t xml:space="preserve">V.2. </w:t>
      </w:r>
      <w:r>
        <w:rPr>
          <w:rFonts w:ascii="Times New Roman" w:hAnsi="Times New Roman" w:cs="Times New Roman"/>
          <w:noProof/>
        </w:rPr>
        <w:t xml:space="preserve"> </w:t>
      </w:r>
      <w:r>
        <w:rPr>
          <w:rFonts w:ascii="Times New Roman" w:eastAsia="SimSun" w:hAnsi="Times New Roman" w:cs="Times New Roman"/>
          <w:b/>
          <w:noProof/>
        </w:rPr>
        <w:t xml:space="preserve">Étapes, cibles, </w:t>
      </w:r>
      <w:r>
        <w:rPr>
          <w:rFonts w:ascii="Times New Roman" w:eastAsia="SimSun" w:hAnsi="Times New Roman" w:cs="Times New Roman"/>
          <w:b/>
          <w:noProof/>
        </w:rPr>
        <w:t>indicateurs et calendrier pour le suivi et la mise en œuvre du soutien financier non remboursable</w:t>
      </w:r>
    </w:p>
    <w:p w14:paraId="75B67D47" w14:textId="77777777" w:rsidR="00553430" w:rsidRDefault="00553430">
      <w:pPr>
        <w:keepNext/>
        <w:tabs>
          <w:tab w:val="num" w:pos="284"/>
        </w:tabs>
        <w:spacing w:after="0" w:line="240" w:lineRule="auto"/>
        <w:jc w:val="both"/>
        <w:outlineLvl w:val="1"/>
        <w:rPr>
          <w:rFonts w:ascii="Times New Roman" w:eastAsia="SimSun" w:hAnsi="Times New Roman" w:cs="Times New Roman"/>
          <w:b/>
          <w:noProof/>
          <w:sz w:val="24"/>
          <w:szCs w:val="24"/>
          <w:u w:val="single"/>
        </w:rPr>
      </w:pPr>
    </w:p>
    <w:tbl>
      <w:tblPr>
        <w:tblW w:w="154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5"/>
        <w:gridCol w:w="1200"/>
        <w:gridCol w:w="1080"/>
        <w:gridCol w:w="1786"/>
        <w:gridCol w:w="2288"/>
        <w:gridCol w:w="1067"/>
        <w:gridCol w:w="990"/>
        <w:gridCol w:w="1073"/>
        <w:gridCol w:w="1053"/>
        <w:gridCol w:w="851"/>
        <w:gridCol w:w="3261"/>
      </w:tblGrid>
      <w:tr w:rsidR="00553430" w14:paraId="79B99777" w14:textId="77777777" w:rsidTr="00262866">
        <w:trPr>
          <w:trHeight w:val="618"/>
          <w:tblHeader/>
          <w:jc w:val="center"/>
        </w:trPr>
        <w:tc>
          <w:tcPr>
            <w:tcW w:w="835" w:type="dxa"/>
            <w:vMerge w:val="restart"/>
            <w:shd w:val="clear" w:color="auto" w:fill="BDD7EE"/>
            <w:vAlign w:val="center"/>
            <w:hideMark/>
          </w:tcPr>
          <w:p w14:paraId="74F10606" w14:textId="77777777" w:rsidR="00553430" w:rsidRDefault="00212577">
            <w:pPr>
              <w:pStyle w:val="P68B1DB1-Normal58"/>
              <w:spacing w:after="0" w:line="276" w:lineRule="auto"/>
              <w:jc w:val="center"/>
              <w:rPr>
                <w:bCs/>
                <w:noProof/>
              </w:rPr>
            </w:pPr>
            <w:r>
              <w:rPr>
                <w:noProof/>
              </w:rPr>
              <w:t>Numéro</w:t>
            </w:r>
          </w:p>
        </w:tc>
        <w:tc>
          <w:tcPr>
            <w:tcW w:w="1200" w:type="dxa"/>
            <w:vMerge w:val="restart"/>
            <w:shd w:val="clear" w:color="auto" w:fill="BDD7EE"/>
            <w:vAlign w:val="center"/>
            <w:hideMark/>
          </w:tcPr>
          <w:p w14:paraId="5D81107C" w14:textId="77777777" w:rsidR="00553430" w:rsidRDefault="00212577">
            <w:pPr>
              <w:pStyle w:val="P68B1DB1-Normal58"/>
              <w:spacing w:after="0" w:line="276" w:lineRule="auto"/>
              <w:jc w:val="center"/>
              <w:rPr>
                <w:bCs/>
                <w:noProof/>
              </w:rPr>
            </w:pPr>
            <w:r>
              <w:rPr>
                <w:noProof/>
              </w:rPr>
              <w:t>Mesure</w:t>
            </w:r>
          </w:p>
        </w:tc>
        <w:tc>
          <w:tcPr>
            <w:tcW w:w="1080" w:type="dxa"/>
            <w:vMerge w:val="restart"/>
            <w:shd w:val="clear" w:color="auto" w:fill="BDD7EE"/>
            <w:vAlign w:val="center"/>
            <w:hideMark/>
          </w:tcPr>
          <w:p w14:paraId="3B624C13" w14:textId="77777777" w:rsidR="00553430" w:rsidRDefault="00212577">
            <w:pPr>
              <w:pStyle w:val="P68B1DB1-Normal58"/>
              <w:spacing w:after="0" w:line="276" w:lineRule="auto"/>
              <w:jc w:val="center"/>
              <w:rPr>
                <w:bCs/>
                <w:noProof/>
              </w:rPr>
            </w:pPr>
            <w:r>
              <w:rPr>
                <w:noProof/>
              </w:rPr>
              <w:t>Étape/cible</w:t>
            </w:r>
          </w:p>
        </w:tc>
        <w:tc>
          <w:tcPr>
            <w:tcW w:w="1786" w:type="dxa"/>
            <w:vMerge w:val="restart"/>
            <w:shd w:val="clear" w:color="auto" w:fill="BDD7EE"/>
            <w:vAlign w:val="center"/>
            <w:hideMark/>
          </w:tcPr>
          <w:p w14:paraId="450D4560" w14:textId="77777777" w:rsidR="00553430" w:rsidRDefault="00212577">
            <w:pPr>
              <w:pStyle w:val="P68B1DB1-Normal58"/>
              <w:spacing w:after="0" w:line="276" w:lineRule="auto"/>
              <w:jc w:val="center"/>
              <w:rPr>
                <w:bCs/>
                <w:noProof/>
              </w:rPr>
            </w:pPr>
            <w:r>
              <w:rPr>
                <w:noProof/>
              </w:rPr>
              <w:t>Nom</w:t>
            </w:r>
          </w:p>
        </w:tc>
        <w:tc>
          <w:tcPr>
            <w:tcW w:w="2288" w:type="dxa"/>
            <w:vMerge w:val="restart"/>
            <w:shd w:val="clear" w:color="auto" w:fill="BDD7EE"/>
            <w:vAlign w:val="center"/>
            <w:hideMark/>
          </w:tcPr>
          <w:p w14:paraId="292B50DD"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qualitatifs</w:t>
            </w:r>
            <w:r>
              <w:rPr>
                <w:rFonts w:ascii="Times New Roman" w:eastAsia="Calibri" w:hAnsi="Times New Roman" w:cs="Times New Roman"/>
                <w:noProof/>
              </w:rPr>
              <w:br/>
            </w:r>
            <w:r>
              <w:rPr>
                <w:rFonts w:ascii="Times New Roman" w:eastAsia="Times New Roman" w:hAnsi="Times New Roman" w:cs="Times New Roman"/>
                <w:b/>
                <w:noProof/>
              </w:rPr>
              <w:t>(pour les jalons)</w:t>
            </w:r>
          </w:p>
        </w:tc>
        <w:tc>
          <w:tcPr>
            <w:tcW w:w="3130" w:type="dxa"/>
            <w:gridSpan w:val="3"/>
            <w:shd w:val="clear" w:color="auto" w:fill="BDD7EE"/>
            <w:vAlign w:val="center"/>
            <w:hideMark/>
          </w:tcPr>
          <w:p w14:paraId="7DC9F1B8"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eastAsia="Calibri" w:hAnsi="Times New Roman" w:cs="Times New Roman"/>
                <w:noProof/>
              </w:rPr>
              <w:br/>
            </w:r>
            <w:r>
              <w:rPr>
                <w:rFonts w:ascii="Times New Roman" w:eastAsia="Times New Roman" w:hAnsi="Times New Roman" w:cs="Times New Roman"/>
                <w:b/>
                <w:noProof/>
              </w:rPr>
              <w:t>(pour les objectifs)</w:t>
            </w:r>
          </w:p>
        </w:tc>
        <w:tc>
          <w:tcPr>
            <w:tcW w:w="1904" w:type="dxa"/>
            <w:gridSpan w:val="2"/>
            <w:shd w:val="clear" w:color="auto" w:fill="BDD7EE"/>
            <w:vAlign w:val="center"/>
            <w:hideMark/>
          </w:tcPr>
          <w:p w14:paraId="474B0BF7" w14:textId="77777777" w:rsidR="00553430" w:rsidRDefault="00212577">
            <w:pPr>
              <w:pStyle w:val="P68B1DB1-Normal58"/>
              <w:spacing w:after="0" w:line="276" w:lineRule="auto"/>
              <w:jc w:val="center"/>
              <w:rPr>
                <w:bCs/>
                <w:noProof/>
              </w:rPr>
            </w:pPr>
            <w:r>
              <w:rPr>
                <w:noProof/>
              </w:rPr>
              <w:t>Temps</w:t>
            </w:r>
          </w:p>
        </w:tc>
        <w:tc>
          <w:tcPr>
            <w:tcW w:w="3261" w:type="dxa"/>
            <w:vMerge w:val="restart"/>
            <w:shd w:val="clear" w:color="auto" w:fill="BDD7EE"/>
            <w:vAlign w:val="center"/>
            <w:hideMark/>
          </w:tcPr>
          <w:p w14:paraId="2516E0C4" w14:textId="77777777" w:rsidR="00553430" w:rsidRDefault="00212577">
            <w:pPr>
              <w:pStyle w:val="P68B1DB1-Normal58"/>
              <w:spacing w:after="0" w:line="276" w:lineRule="auto"/>
              <w:jc w:val="center"/>
              <w:rPr>
                <w:bCs/>
                <w:noProof/>
              </w:rPr>
            </w:pPr>
            <w:r>
              <w:rPr>
                <w:noProof/>
              </w:rPr>
              <w:t>Description de chaque jalon et ci</w:t>
            </w:r>
            <w:r>
              <w:rPr>
                <w:noProof/>
              </w:rPr>
              <w:t>ble</w:t>
            </w:r>
          </w:p>
        </w:tc>
      </w:tr>
      <w:tr w:rsidR="00553430" w14:paraId="362FE6D4" w14:textId="77777777" w:rsidTr="00262866">
        <w:trPr>
          <w:trHeight w:val="500"/>
          <w:tblHeader/>
          <w:jc w:val="center"/>
        </w:trPr>
        <w:tc>
          <w:tcPr>
            <w:tcW w:w="835" w:type="dxa"/>
            <w:vMerge/>
            <w:hideMark/>
          </w:tcPr>
          <w:p w14:paraId="5FF4AF62"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200" w:type="dxa"/>
            <w:vMerge/>
            <w:hideMark/>
          </w:tcPr>
          <w:p w14:paraId="48F925E2"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80" w:type="dxa"/>
            <w:vMerge/>
            <w:hideMark/>
          </w:tcPr>
          <w:p w14:paraId="192F1C6E"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786" w:type="dxa"/>
            <w:vMerge/>
            <w:hideMark/>
          </w:tcPr>
          <w:p w14:paraId="3F626CD2" w14:textId="77777777" w:rsidR="00553430" w:rsidRDefault="00553430">
            <w:pPr>
              <w:spacing w:after="0" w:line="276" w:lineRule="auto"/>
              <w:rPr>
                <w:rFonts w:ascii="Times New Roman" w:eastAsia="Times New Roman" w:hAnsi="Times New Roman" w:cs="Times New Roman"/>
                <w:b/>
                <w:noProof/>
                <w:sz w:val="20"/>
                <w:szCs w:val="20"/>
              </w:rPr>
            </w:pPr>
          </w:p>
        </w:tc>
        <w:tc>
          <w:tcPr>
            <w:tcW w:w="2288" w:type="dxa"/>
            <w:vMerge/>
            <w:hideMark/>
          </w:tcPr>
          <w:p w14:paraId="3DF58B5B" w14:textId="77777777" w:rsidR="00553430" w:rsidRDefault="00553430">
            <w:pPr>
              <w:spacing w:after="0" w:line="276" w:lineRule="auto"/>
              <w:rPr>
                <w:rFonts w:ascii="Times New Roman" w:eastAsia="Times New Roman" w:hAnsi="Times New Roman" w:cs="Times New Roman"/>
                <w:b/>
                <w:noProof/>
                <w:sz w:val="20"/>
                <w:szCs w:val="20"/>
              </w:rPr>
            </w:pPr>
          </w:p>
        </w:tc>
        <w:tc>
          <w:tcPr>
            <w:tcW w:w="1067" w:type="dxa"/>
            <w:shd w:val="clear" w:color="auto" w:fill="BDD7EE"/>
            <w:vAlign w:val="center"/>
            <w:hideMark/>
          </w:tcPr>
          <w:p w14:paraId="0FEFFE73" w14:textId="77777777" w:rsidR="00553430" w:rsidRDefault="00212577">
            <w:pPr>
              <w:pStyle w:val="P68B1DB1-Normal58"/>
              <w:spacing w:after="0" w:line="276" w:lineRule="auto"/>
              <w:jc w:val="center"/>
              <w:rPr>
                <w:bCs/>
                <w:noProof/>
              </w:rPr>
            </w:pPr>
            <w:r>
              <w:rPr>
                <w:noProof/>
              </w:rPr>
              <w:t>Unité</w:t>
            </w:r>
          </w:p>
        </w:tc>
        <w:tc>
          <w:tcPr>
            <w:tcW w:w="990" w:type="dxa"/>
            <w:shd w:val="clear" w:color="auto" w:fill="BDD7EE"/>
            <w:vAlign w:val="center"/>
            <w:hideMark/>
          </w:tcPr>
          <w:p w14:paraId="050133D5" w14:textId="77777777" w:rsidR="00553430" w:rsidRDefault="00212577">
            <w:pPr>
              <w:pStyle w:val="P68B1DB1-Normal58"/>
              <w:spacing w:after="0" w:line="276" w:lineRule="auto"/>
              <w:jc w:val="center"/>
              <w:rPr>
                <w:bCs/>
                <w:noProof/>
              </w:rPr>
            </w:pPr>
            <w:r>
              <w:rPr>
                <w:noProof/>
              </w:rPr>
              <w:t>Données de référence</w:t>
            </w:r>
          </w:p>
        </w:tc>
        <w:tc>
          <w:tcPr>
            <w:tcW w:w="1073" w:type="dxa"/>
            <w:shd w:val="clear" w:color="auto" w:fill="BDD7EE"/>
            <w:vAlign w:val="center"/>
            <w:hideMark/>
          </w:tcPr>
          <w:p w14:paraId="1A2E32BF" w14:textId="77777777" w:rsidR="00553430" w:rsidRDefault="00212577">
            <w:pPr>
              <w:pStyle w:val="P68B1DB1-Normal58"/>
              <w:spacing w:after="0" w:line="276" w:lineRule="auto"/>
              <w:jc w:val="center"/>
              <w:rPr>
                <w:bCs/>
                <w:noProof/>
              </w:rPr>
            </w:pPr>
            <w:r>
              <w:rPr>
                <w:noProof/>
              </w:rPr>
              <w:t>Objectif</w:t>
            </w:r>
          </w:p>
        </w:tc>
        <w:tc>
          <w:tcPr>
            <w:tcW w:w="1053" w:type="dxa"/>
            <w:shd w:val="clear" w:color="auto" w:fill="BDD7EE"/>
            <w:vAlign w:val="center"/>
            <w:hideMark/>
          </w:tcPr>
          <w:p w14:paraId="795D7DFC" w14:textId="77777777" w:rsidR="00553430" w:rsidRDefault="00212577">
            <w:pPr>
              <w:pStyle w:val="P68B1DB1-Normal58"/>
              <w:spacing w:after="0" w:line="276" w:lineRule="auto"/>
              <w:jc w:val="center"/>
              <w:rPr>
                <w:bCs/>
                <w:noProof/>
              </w:rPr>
            </w:pPr>
            <w:r>
              <w:rPr>
                <w:noProof/>
              </w:rPr>
              <w:t>Trimestre</w:t>
            </w:r>
          </w:p>
        </w:tc>
        <w:tc>
          <w:tcPr>
            <w:tcW w:w="851" w:type="dxa"/>
            <w:shd w:val="clear" w:color="auto" w:fill="BDD7EE"/>
            <w:vAlign w:val="center"/>
            <w:hideMark/>
          </w:tcPr>
          <w:p w14:paraId="12B71A05" w14:textId="77777777" w:rsidR="00553430" w:rsidRDefault="00212577">
            <w:pPr>
              <w:pStyle w:val="P68B1DB1-Normal58"/>
              <w:spacing w:after="0" w:line="276" w:lineRule="auto"/>
              <w:jc w:val="center"/>
              <w:rPr>
                <w:bCs/>
                <w:noProof/>
              </w:rPr>
            </w:pPr>
            <w:r>
              <w:rPr>
                <w:noProof/>
              </w:rPr>
              <w:t>Année</w:t>
            </w:r>
          </w:p>
        </w:tc>
        <w:tc>
          <w:tcPr>
            <w:tcW w:w="3261" w:type="dxa"/>
            <w:vMerge/>
            <w:hideMark/>
          </w:tcPr>
          <w:p w14:paraId="156DF3D5"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018DC3DC" w14:textId="77777777" w:rsidTr="00262866">
        <w:trPr>
          <w:trHeight w:val="283"/>
          <w:jc w:val="center"/>
        </w:trPr>
        <w:tc>
          <w:tcPr>
            <w:tcW w:w="835" w:type="dxa"/>
            <w:shd w:val="clear" w:color="auto" w:fill="C6EFCE"/>
            <w:noWrap/>
          </w:tcPr>
          <w:p w14:paraId="66B7328C" w14:textId="77777777" w:rsidR="00553430" w:rsidRDefault="00212577">
            <w:pPr>
              <w:pStyle w:val="P68B1DB1-Normal66"/>
              <w:spacing w:after="0" w:line="276" w:lineRule="auto"/>
              <w:jc w:val="center"/>
              <w:rPr>
                <w:noProof/>
              </w:rPr>
            </w:pPr>
            <w:r>
              <w:rPr>
                <w:noProof/>
              </w:rPr>
              <w:t>351</w:t>
            </w:r>
          </w:p>
        </w:tc>
        <w:tc>
          <w:tcPr>
            <w:tcW w:w="1200" w:type="dxa"/>
            <w:shd w:val="clear" w:color="auto" w:fill="C6EFCE"/>
            <w:noWrap/>
          </w:tcPr>
          <w:p w14:paraId="1D1B1567" w14:textId="77777777" w:rsidR="00553430" w:rsidRDefault="00212577">
            <w:pPr>
              <w:pStyle w:val="P68B1DB1-Normal66"/>
              <w:spacing w:after="200" w:line="276" w:lineRule="auto"/>
              <w:jc w:val="center"/>
              <w:rPr>
                <w:noProof/>
              </w:rPr>
            </w:pPr>
            <w:r>
              <w:rPr>
                <w:noProof/>
              </w:rPr>
              <w:t>C6.1. R1</w:t>
            </w:r>
          </w:p>
        </w:tc>
        <w:tc>
          <w:tcPr>
            <w:tcW w:w="1080" w:type="dxa"/>
            <w:shd w:val="clear" w:color="auto" w:fill="C6EFCE"/>
            <w:noWrap/>
          </w:tcPr>
          <w:p w14:paraId="3310E384" w14:textId="77777777" w:rsidR="00553430" w:rsidRDefault="00212577">
            <w:pPr>
              <w:pStyle w:val="P68B1DB1-Normal66"/>
              <w:spacing w:after="200" w:line="276" w:lineRule="auto"/>
              <w:jc w:val="center"/>
              <w:rPr>
                <w:noProof/>
              </w:rPr>
            </w:pPr>
            <w:r>
              <w:rPr>
                <w:noProof/>
              </w:rPr>
              <w:t>M</w:t>
            </w:r>
          </w:p>
        </w:tc>
        <w:tc>
          <w:tcPr>
            <w:tcW w:w="1786" w:type="dxa"/>
            <w:shd w:val="clear" w:color="auto" w:fill="C6EFCE"/>
            <w:noWrap/>
          </w:tcPr>
          <w:p w14:paraId="29F5034A" w14:textId="72AD2A59" w:rsidR="00553430" w:rsidRDefault="00212577">
            <w:pPr>
              <w:pStyle w:val="P68B1DB1-Normal66"/>
              <w:spacing w:after="200" w:line="276" w:lineRule="auto"/>
              <w:rPr>
                <w:noProof/>
              </w:rPr>
            </w:pPr>
            <w:r>
              <w:rPr>
                <w:noProof/>
              </w:rPr>
              <w:t>Adoption de programmes nationaux de rénovation énergétique pour i) les bâtiments</w:t>
            </w:r>
            <w:r>
              <w:rPr>
                <w:noProof/>
              </w:rPr>
              <w:t xml:space="preserve"> à logements multiples, ii) les bâtiments ayant le statut de bien culturel (pour la période 2021-2030) et iii) la réduction de la précarité énergétique dans les zones préoccupantes pour l’État (pour la période 2021-2025)</w:t>
            </w:r>
          </w:p>
        </w:tc>
        <w:tc>
          <w:tcPr>
            <w:tcW w:w="2288" w:type="dxa"/>
            <w:shd w:val="clear" w:color="auto" w:fill="C6EFCE"/>
            <w:noWrap/>
          </w:tcPr>
          <w:p w14:paraId="378BFA89" w14:textId="77777777" w:rsidR="00553430" w:rsidRDefault="00212577">
            <w:pPr>
              <w:pStyle w:val="P68B1DB1-Normal66"/>
              <w:spacing w:after="200" w:line="276" w:lineRule="auto"/>
              <w:rPr>
                <w:noProof/>
              </w:rPr>
            </w:pPr>
            <w:r>
              <w:rPr>
                <w:noProof/>
              </w:rPr>
              <w:t>Publication sur le site officiel du</w:t>
            </w:r>
            <w:r>
              <w:rPr>
                <w:noProof/>
              </w:rPr>
              <w:t xml:space="preserve"> ministère de l’aménagement du territoire, de la construction et des biens de l’État</w:t>
            </w:r>
            <w:r>
              <w:rPr>
                <w:noProof/>
              </w:rPr>
              <w:br/>
            </w:r>
          </w:p>
        </w:tc>
        <w:tc>
          <w:tcPr>
            <w:tcW w:w="1067" w:type="dxa"/>
            <w:shd w:val="clear" w:color="auto" w:fill="C6EFCE"/>
            <w:noWrap/>
          </w:tcPr>
          <w:p w14:paraId="10172CA5" w14:textId="77777777" w:rsidR="00553430" w:rsidRDefault="00212577">
            <w:pPr>
              <w:pStyle w:val="P68B1DB1-Normal66"/>
              <w:spacing w:after="200" w:line="276" w:lineRule="auto"/>
              <w:jc w:val="center"/>
              <w:rPr>
                <w:noProof/>
              </w:rPr>
            </w:pPr>
            <w:r>
              <w:rPr>
                <w:noProof/>
              </w:rPr>
              <w:t> </w:t>
            </w:r>
          </w:p>
        </w:tc>
        <w:tc>
          <w:tcPr>
            <w:tcW w:w="990" w:type="dxa"/>
            <w:shd w:val="clear" w:color="auto" w:fill="C6EFCE"/>
            <w:noWrap/>
          </w:tcPr>
          <w:p w14:paraId="6418655F" w14:textId="77777777" w:rsidR="00553430" w:rsidRDefault="00212577">
            <w:pPr>
              <w:pStyle w:val="P68B1DB1-Normal66"/>
              <w:spacing w:after="200" w:line="276" w:lineRule="auto"/>
              <w:jc w:val="center"/>
              <w:rPr>
                <w:noProof/>
              </w:rPr>
            </w:pPr>
            <w:r>
              <w:rPr>
                <w:noProof/>
              </w:rPr>
              <w:t> </w:t>
            </w:r>
          </w:p>
        </w:tc>
        <w:tc>
          <w:tcPr>
            <w:tcW w:w="1073" w:type="dxa"/>
            <w:shd w:val="clear" w:color="auto" w:fill="C6EFCE"/>
            <w:noWrap/>
          </w:tcPr>
          <w:p w14:paraId="16F5C688" w14:textId="77777777" w:rsidR="00553430" w:rsidRDefault="00212577">
            <w:pPr>
              <w:pStyle w:val="P68B1DB1-Normal66"/>
              <w:spacing w:after="200" w:line="276" w:lineRule="auto"/>
              <w:jc w:val="center"/>
              <w:rPr>
                <w:noProof/>
              </w:rPr>
            </w:pPr>
            <w:r>
              <w:rPr>
                <w:noProof/>
              </w:rPr>
              <w:t> </w:t>
            </w:r>
          </w:p>
        </w:tc>
        <w:tc>
          <w:tcPr>
            <w:tcW w:w="1053" w:type="dxa"/>
            <w:shd w:val="clear" w:color="auto" w:fill="C6EFCE"/>
            <w:noWrap/>
          </w:tcPr>
          <w:p w14:paraId="6DCDFACA" w14:textId="77777777" w:rsidR="00553430" w:rsidRDefault="00212577">
            <w:pPr>
              <w:pStyle w:val="P68B1DB1-Normal66"/>
              <w:spacing w:after="200" w:line="276" w:lineRule="auto"/>
              <w:jc w:val="center"/>
              <w:rPr>
                <w:noProof/>
              </w:rPr>
            </w:pPr>
            <w:r>
              <w:rPr>
                <w:noProof/>
              </w:rPr>
              <w:t>T4</w:t>
            </w:r>
          </w:p>
        </w:tc>
        <w:tc>
          <w:tcPr>
            <w:tcW w:w="851" w:type="dxa"/>
            <w:shd w:val="clear" w:color="auto" w:fill="C6EFCE"/>
            <w:noWrap/>
          </w:tcPr>
          <w:p w14:paraId="121AF7BE" w14:textId="77777777" w:rsidR="00553430" w:rsidRDefault="00212577">
            <w:pPr>
              <w:pStyle w:val="P68B1DB1-Normal66"/>
              <w:spacing w:after="200" w:line="276" w:lineRule="auto"/>
              <w:jc w:val="center"/>
              <w:rPr>
                <w:noProof/>
              </w:rPr>
            </w:pPr>
            <w:r>
              <w:rPr>
                <w:noProof/>
              </w:rPr>
              <w:t>2021</w:t>
            </w:r>
          </w:p>
        </w:tc>
        <w:tc>
          <w:tcPr>
            <w:tcW w:w="3261" w:type="dxa"/>
            <w:shd w:val="clear" w:color="auto" w:fill="C6EFCE"/>
            <w:noWrap/>
          </w:tcPr>
          <w:p w14:paraId="2F9EFE47" w14:textId="77777777" w:rsidR="00553430" w:rsidRDefault="00212577">
            <w:pPr>
              <w:pStyle w:val="P68B1DB1-Normal66"/>
              <w:spacing w:after="200" w:line="276" w:lineRule="auto"/>
              <w:rPr>
                <w:noProof/>
              </w:rPr>
            </w:pPr>
            <w:r>
              <w:rPr>
                <w:noProof/>
              </w:rPr>
              <w:t>Publication des programmes visant à encourager la rénovation en profondeur des bâtiments, les systèmes alternatifs à haute efficacité et qui accordent une a</w:t>
            </w:r>
            <w:r>
              <w:rPr>
                <w:noProof/>
              </w:rPr>
              <w:t>ttention particulière à la garantie de conditions climatiques intérieures saines, à la sécurité incendie et aux risques liés à une activité sismique accrue. Une catégorie spécifique de rénovation énergétique des bâtiments ayant le statut de bien culturel q</w:t>
            </w:r>
            <w:r>
              <w:rPr>
                <w:noProof/>
              </w:rPr>
              <w:t>ui n’a pas encore été incluse dans les programmes de rénovation énergétique en vue d’un cofinancement de l’UE en Croatie est introduite.</w:t>
            </w:r>
            <w:r>
              <w:rPr>
                <w:noProof/>
              </w:rPr>
              <w:br/>
              <w:t xml:space="preserve">Publication du programme de réduction de la précarité énergétique dans les domaines particulièrement préoccupants pour </w:t>
            </w:r>
            <w:r>
              <w:rPr>
                <w:noProof/>
              </w:rPr>
              <w:t>l’État, pour la période 2021-2025, couvrant la rénovation complète des bâtiments dans les zones de soins publics assistés et spéciaux, le renforcement des capacités pour atténuer la précarité énergétique, réduire la consommation d’énergie au stade de l’uti</w:t>
            </w:r>
            <w:r>
              <w:rPr>
                <w:noProof/>
              </w:rPr>
              <w:t>lisation finale et, par conséquent, réduire les émissions de CO2 des ménages en situation de précarité énergétique ou vulnérables.</w:t>
            </w:r>
          </w:p>
        </w:tc>
      </w:tr>
      <w:tr w:rsidR="00553430" w14:paraId="719FFFD7" w14:textId="77777777" w:rsidTr="00262866">
        <w:trPr>
          <w:trHeight w:val="283"/>
          <w:jc w:val="center"/>
        </w:trPr>
        <w:tc>
          <w:tcPr>
            <w:tcW w:w="835" w:type="dxa"/>
            <w:shd w:val="clear" w:color="auto" w:fill="C6EFCE"/>
            <w:noWrap/>
          </w:tcPr>
          <w:p w14:paraId="369F8F23" w14:textId="77777777" w:rsidR="00553430" w:rsidRDefault="00212577">
            <w:pPr>
              <w:pStyle w:val="P68B1DB1-Normal66"/>
              <w:spacing w:after="200" w:line="276" w:lineRule="auto"/>
              <w:jc w:val="center"/>
              <w:rPr>
                <w:noProof/>
              </w:rPr>
            </w:pPr>
            <w:r>
              <w:rPr>
                <w:noProof/>
              </w:rPr>
              <w:t>352</w:t>
            </w:r>
          </w:p>
        </w:tc>
        <w:tc>
          <w:tcPr>
            <w:tcW w:w="1200" w:type="dxa"/>
            <w:shd w:val="clear" w:color="auto" w:fill="C6EFCE"/>
            <w:noWrap/>
          </w:tcPr>
          <w:p w14:paraId="2242FEBF" w14:textId="77777777" w:rsidR="00553430" w:rsidRDefault="00212577">
            <w:pPr>
              <w:pStyle w:val="P68B1DB1-Normal66"/>
              <w:spacing w:after="200" w:line="276" w:lineRule="auto"/>
              <w:jc w:val="center"/>
              <w:rPr>
                <w:noProof/>
              </w:rPr>
            </w:pPr>
            <w:r>
              <w:rPr>
                <w:noProof/>
              </w:rPr>
              <w:t>C6.1. R1</w:t>
            </w:r>
          </w:p>
        </w:tc>
        <w:tc>
          <w:tcPr>
            <w:tcW w:w="1080" w:type="dxa"/>
            <w:shd w:val="clear" w:color="auto" w:fill="C6EFCE"/>
            <w:noWrap/>
          </w:tcPr>
          <w:p w14:paraId="7F3399D5" w14:textId="77777777" w:rsidR="00553430" w:rsidRDefault="00212577">
            <w:pPr>
              <w:pStyle w:val="P68B1DB1-Normal66"/>
              <w:spacing w:after="200" w:line="276" w:lineRule="auto"/>
              <w:jc w:val="center"/>
              <w:rPr>
                <w:noProof/>
              </w:rPr>
            </w:pPr>
            <w:r>
              <w:rPr>
                <w:noProof/>
              </w:rPr>
              <w:t>M</w:t>
            </w:r>
          </w:p>
        </w:tc>
        <w:tc>
          <w:tcPr>
            <w:tcW w:w="1786" w:type="dxa"/>
            <w:shd w:val="clear" w:color="auto" w:fill="C6EFCE"/>
            <w:noWrap/>
          </w:tcPr>
          <w:p w14:paraId="79A18646" w14:textId="77777777" w:rsidR="00553430" w:rsidRDefault="00212577">
            <w:pPr>
              <w:pStyle w:val="P68B1DB1-Normal66"/>
              <w:spacing w:after="200" w:line="276" w:lineRule="auto"/>
              <w:rPr>
                <w:noProof/>
              </w:rPr>
            </w:pPr>
            <w:r>
              <w:rPr>
                <w:noProof/>
              </w:rPr>
              <w:t>Adoption du programme de rénovation énergétique des bâtiments du secteur public pour la période 2021-2030</w:t>
            </w:r>
          </w:p>
        </w:tc>
        <w:tc>
          <w:tcPr>
            <w:tcW w:w="2288" w:type="dxa"/>
            <w:shd w:val="clear" w:color="auto" w:fill="C6EFCE"/>
            <w:noWrap/>
          </w:tcPr>
          <w:p w14:paraId="44A91C0C" w14:textId="77777777" w:rsidR="00553430" w:rsidRDefault="00212577">
            <w:pPr>
              <w:pStyle w:val="P68B1DB1-Normal66"/>
              <w:spacing w:after="200" w:line="276" w:lineRule="auto"/>
              <w:rPr>
                <w:noProof/>
              </w:rPr>
            </w:pPr>
            <w:r>
              <w:rPr>
                <w:noProof/>
              </w:rPr>
              <w:t xml:space="preserve">Publication sur le site officiel du ministère de l’aménagement du territoire, de la construction et des biens de l’État </w:t>
            </w:r>
          </w:p>
        </w:tc>
        <w:tc>
          <w:tcPr>
            <w:tcW w:w="1067" w:type="dxa"/>
            <w:shd w:val="clear" w:color="auto" w:fill="C6EFCE"/>
            <w:noWrap/>
          </w:tcPr>
          <w:p w14:paraId="26A5D280" w14:textId="77777777" w:rsidR="00553430" w:rsidRDefault="00212577">
            <w:pPr>
              <w:pStyle w:val="P68B1DB1-Normal66"/>
              <w:spacing w:after="200" w:line="276" w:lineRule="auto"/>
              <w:jc w:val="center"/>
              <w:rPr>
                <w:noProof/>
              </w:rPr>
            </w:pPr>
            <w:r>
              <w:rPr>
                <w:noProof/>
              </w:rPr>
              <w:t> </w:t>
            </w:r>
          </w:p>
        </w:tc>
        <w:tc>
          <w:tcPr>
            <w:tcW w:w="990" w:type="dxa"/>
            <w:shd w:val="clear" w:color="auto" w:fill="C6EFCE"/>
            <w:noWrap/>
          </w:tcPr>
          <w:p w14:paraId="42893FAF" w14:textId="77777777" w:rsidR="00553430" w:rsidRDefault="00212577">
            <w:pPr>
              <w:pStyle w:val="P68B1DB1-Normal66"/>
              <w:spacing w:after="200" w:line="276" w:lineRule="auto"/>
              <w:jc w:val="center"/>
              <w:rPr>
                <w:noProof/>
              </w:rPr>
            </w:pPr>
            <w:r>
              <w:rPr>
                <w:noProof/>
              </w:rPr>
              <w:t> </w:t>
            </w:r>
          </w:p>
        </w:tc>
        <w:tc>
          <w:tcPr>
            <w:tcW w:w="1073" w:type="dxa"/>
            <w:shd w:val="clear" w:color="auto" w:fill="C6EFCE"/>
            <w:noWrap/>
          </w:tcPr>
          <w:p w14:paraId="265CE57B" w14:textId="77777777" w:rsidR="00553430" w:rsidRDefault="00212577">
            <w:pPr>
              <w:pStyle w:val="P68B1DB1-Normal66"/>
              <w:spacing w:after="200" w:line="276" w:lineRule="auto"/>
              <w:jc w:val="center"/>
              <w:rPr>
                <w:noProof/>
              </w:rPr>
            </w:pPr>
            <w:r>
              <w:rPr>
                <w:noProof/>
              </w:rPr>
              <w:t> </w:t>
            </w:r>
          </w:p>
        </w:tc>
        <w:tc>
          <w:tcPr>
            <w:tcW w:w="1053" w:type="dxa"/>
            <w:shd w:val="clear" w:color="auto" w:fill="C6EFCE"/>
            <w:noWrap/>
          </w:tcPr>
          <w:p w14:paraId="54DC6F68" w14:textId="77777777" w:rsidR="00553430" w:rsidRDefault="00212577">
            <w:pPr>
              <w:pStyle w:val="P68B1DB1-Normal66"/>
              <w:spacing w:after="200" w:line="276" w:lineRule="auto"/>
              <w:jc w:val="center"/>
              <w:rPr>
                <w:noProof/>
              </w:rPr>
            </w:pPr>
            <w:r>
              <w:rPr>
                <w:noProof/>
              </w:rPr>
              <w:t>T1</w:t>
            </w:r>
          </w:p>
        </w:tc>
        <w:tc>
          <w:tcPr>
            <w:tcW w:w="851" w:type="dxa"/>
            <w:shd w:val="clear" w:color="auto" w:fill="C6EFCE"/>
            <w:noWrap/>
          </w:tcPr>
          <w:p w14:paraId="27AACCD0" w14:textId="77777777" w:rsidR="00553430" w:rsidRDefault="00212577">
            <w:pPr>
              <w:pStyle w:val="P68B1DB1-Normal66"/>
              <w:spacing w:after="200" w:line="276" w:lineRule="auto"/>
              <w:jc w:val="center"/>
              <w:rPr>
                <w:noProof/>
              </w:rPr>
            </w:pPr>
            <w:r>
              <w:rPr>
                <w:noProof/>
              </w:rPr>
              <w:t>2022</w:t>
            </w:r>
          </w:p>
        </w:tc>
        <w:tc>
          <w:tcPr>
            <w:tcW w:w="3261" w:type="dxa"/>
            <w:shd w:val="clear" w:color="auto" w:fill="C6EFCE"/>
            <w:noWrap/>
          </w:tcPr>
          <w:p w14:paraId="5E800DD8" w14:textId="77777777" w:rsidR="00553430" w:rsidRDefault="00212577">
            <w:pPr>
              <w:pStyle w:val="P68B1DB1-Normal66"/>
              <w:spacing w:after="200" w:line="276" w:lineRule="auto"/>
              <w:rPr>
                <w:noProof/>
              </w:rPr>
            </w:pPr>
            <w:r>
              <w:rPr>
                <w:noProof/>
              </w:rPr>
              <w:t>Publication du programme de rénovation énergétique des bâtiments du secteur public pour la période 2021-2030, qui compren</w:t>
            </w:r>
            <w:r>
              <w:rPr>
                <w:noProof/>
              </w:rPr>
              <w:t>d une rénovation complète des bâtiments du secteur public, y compris des mesures d’efficacité énergétique et d’utilisation efficace des ressources, tout en réduisant les besoins thermiques et la consommation d’énergie des bâtiments publics et en augmentant</w:t>
            </w:r>
            <w:r>
              <w:rPr>
                <w:noProof/>
              </w:rPr>
              <w:t xml:space="preserve"> l’utilisation des SER et, partant, la réduction des émissions de CO2.</w:t>
            </w:r>
          </w:p>
        </w:tc>
      </w:tr>
      <w:tr w:rsidR="00553430" w14:paraId="5A3F16CC" w14:textId="77777777" w:rsidTr="00262866">
        <w:trPr>
          <w:trHeight w:val="283"/>
          <w:jc w:val="center"/>
        </w:trPr>
        <w:tc>
          <w:tcPr>
            <w:tcW w:w="835" w:type="dxa"/>
            <w:shd w:val="clear" w:color="auto" w:fill="C6EFCE"/>
            <w:noWrap/>
          </w:tcPr>
          <w:p w14:paraId="2226DC49" w14:textId="77777777" w:rsidR="00553430" w:rsidRDefault="00212577">
            <w:pPr>
              <w:pStyle w:val="P68B1DB1-Normal66"/>
              <w:spacing w:after="200" w:line="276" w:lineRule="auto"/>
              <w:jc w:val="center"/>
              <w:rPr>
                <w:noProof/>
              </w:rPr>
            </w:pPr>
            <w:r>
              <w:rPr>
                <w:noProof/>
              </w:rPr>
              <w:t>353</w:t>
            </w:r>
          </w:p>
        </w:tc>
        <w:tc>
          <w:tcPr>
            <w:tcW w:w="1200" w:type="dxa"/>
            <w:shd w:val="clear" w:color="auto" w:fill="C6EFCE"/>
            <w:noWrap/>
          </w:tcPr>
          <w:p w14:paraId="47DD95B1" w14:textId="77777777" w:rsidR="00553430" w:rsidRDefault="00212577">
            <w:pPr>
              <w:pStyle w:val="P68B1DB1-Normal66"/>
              <w:spacing w:after="200" w:line="276" w:lineRule="auto"/>
              <w:jc w:val="center"/>
              <w:rPr>
                <w:noProof/>
              </w:rPr>
            </w:pPr>
            <w:r>
              <w:rPr>
                <w:noProof/>
              </w:rPr>
              <w:t>C6.1. R1-I1</w:t>
            </w:r>
          </w:p>
        </w:tc>
        <w:tc>
          <w:tcPr>
            <w:tcW w:w="1080" w:type="dxa"/>
            <w:shd w:val="clear" w:color="auto" w:fill="C6EFCE"/>
            <w:noWrap/>
          </w:tcPr>
          <w:p w14:paraId="1AC4717B" w14:textId="77777777" w:rsidR="00553430" w:rsidRDefault="00212577">
            <w:pPr>
              <w:pStyle w:val="P68B1DB1-Normal66"/>
              <w:spacing w:after="200" w:line="276" w:lineRule="auto"/>
              <w:jc w:val="center"/>
              <w:rPr>
                <w:noProof/>
              </w:rPr>
            </w:pPr>
            <w:r>
              <w:rPr>
                <w:noProof/>
              </w:rPr>
              <w:t>T</w:t>
            </w:r>
          </w:p>
        </w:tc>
        <w:tc>
          <w:tcPr>
            <w:tcW w:w="1786" w:type="dxa"/>
            <w:shd w:val="clear" w:color="auto" w:fill="C6EFCE"/>
            <w:noWrap/>
          </w:tcPr>
          <w:p w14:paraId="7D424EC7" w14:textId="77777777" w:rsidR="00553430" w:rsidRDefault="00212577">
            <w:pPr>
              <w:pStyle w:val="P68B1DB1-Normal66"/>
              <w:spacing w:after="200" w:line="276" w:lineRule="auto"/>
              <w:rPr>
                <w:noProof/>
              </w:rPr>
            </w:pPr>
            <w:r>
              <w:rPr>
                <w:noProof/>
              </w:rPr>
              <w:t xml:space="preserve">Contrats signés pour la rénovation énergétique des bâtiments publics et collectifs </w:t>
            </w:r>
          </w:p>
        </w:tc>
        <w:tc>
          <w:tcPr>
            <w:tcW w:w="2288" w:type="dxa"/>
            <w:shd w:val="clear" w:color="auto" w:fill="C6EFCE"/>
            <w:noWrap/>
          </w:tcPr>
          <w:p w14:paraId="73D512FD" w14:textId="77777777" w:rsidR="00553430" w:rsidRDefault="00212577">
            <w:pPr>
              <w:pStyle w:val="P68B1DB1-Normal66"/>
              <w:spacing w:after="200" w:line="276" w:lineRule="auto"/>
              <w:rPr>
                <w:noProof/>
              </w:rPr>
            </w:pPr>
            <w:r>
              <w:rPr>
                <w:noProof/>
              </w:rPr>
              <w:t xml:space="preserve"> </w:t>
            </w:r>
          </w:p>
        </w:tc>
        <w:tc>
          <w:tcPr>
            <w:tcW w:w="1067" w:type="dxa"/>
            <w:shd w:val="clear" w:color="auto" w:fill="C6EFCE"/>
            <w:noWrap/>
          </w:tcPr>
          <w:p w14:paraId="504666ED" w14:textId="77777777" w:rsidR="00553430" w:rsidRDefault="00212577">
            <w:pPr>
              <w:pStyle w:val="P68B1DB1-Normal66"/>
              <w:spacing w:after="200" w:line="276" w:lineRule="auto"/>
              <w:jc w:val="center"/>
              <w:rPr>
                <w:noProof/>
              </w:rPr>
            </w:pPr>
            <w:r>
              <w:rPr>
                <w:noProof/>
              </w:rPr>
              <w:t xml:space="preserve">EUR </w:t>
            </w:r>
          </w:p>
        </w:tc>
        <w:tc>
          <w:tcPr>
            <w:tcW w:w="990" w:type="dxa"/>
            <w:shd w:val="clear" w:color="auto" w:fill="C6EFCE"/>
            <w:noWrap/>
          </w:tcPr>
          <w:p w14:paraId="37E7650B" w14:textId="77777777" w:rsidR="00553430" w:rsidRDefault="00212577">
            <w:pPr>
              <w:pStyle w:val="P68B1DB1-Normal66"/>
              <w:spacing w:after="200" w:line="276" w:lineRule="auto"/>
              <w:jc w:val="center"/>
              <w:rPr>
                <w:noProof/>
              </w:rPr>
            </w:pPr>
            <w:r>
              <w:rPr>
                <w:noProof/>
              </w:rPr>
              <w:t>0</w:t>
            </w:r>
          </w:p>
        </w:tc>
        <w:tc>
          <w:tcPr>
            <w:tcW w:w="1073" w:type="dxa"/>
            <w:shd w:val="clear" w:color="auto" w:fill="C6EFCE"/>
            <w:noWrap/>
          </w:tcPr>
          <w:p w14:paraId="431C33C2" w14:textId="77777777" w:rsidR="00553430" w:rsidRDefault="00212577">
            <w:pPr>
              <w:pStyle w:val="P68B1DB1-Normal66"/>
              <w:spacing w:after="200" w:line="276" w:lineRule="auto"/>
              <w:jc w:val="center"/>
              <w:rPr>
                <w:noProof/>
              </w:rPr>
            </w:pPr>
            <w:r>
              <w:rPr>
                <w:noProof/>
              </w:rPr>
              <w:t>66 361 404</w:t>
            </w:r>
          </w:p>
        </w:tc>
        <w:tc>
          <w:tcPr>
            <w:tcW w:w="1053" w:type="dxa"/>
            <w:shd w:val="clear" w:color="auto" w:fill="C6EFCE"/>
            <w:noWrap/>
          </w:tcPr>
          <w:p w14:paraId="2BFA6E5F" w14:textId="77777777" w:rsidR="00553430" w:rsidRDefault="00212577">
            <w:pPr>
              <w:pStyle w:val="P68B1DB1-Normal66"/>
              <w:spacing w:after="200" w:line="276" w:lineRule="auto"/>
              <w:jc w:val="center"/>
              <w:rPr>
                <w:noProof/>
              </w:rPr>
            </w:pPr>
            <w:r>
              <w:rPr>
                <w:noProof/>
              </w:rPr>
              <w:t>T4</w:t>
            </w:r>
          </w:p>
        </w:tc>
        <w:tc>
          <w:tcPr>
            <w:tcW w:w="851" w:type="dxa"/>
            <w:shd w:val="clear" w:color="auto" w:fill="C6EFCE"/>
            <w:noWrap/>
          </w:tcPr>
          <w:p w14:paraId="416904A2" w14:textId="77777777" w:rsidR="00553430" w:rsidRDefault="00212577">
            <w:pPr>
              <w:pStyle w:val="P68B1DB1-Normal66"/>
              <w:spacing w:after="200" w:line="276" w:lineRule="auto"/>
              <w:jc w:val="center"/>
              <w:rPr>
                <w:noProof/>
              </w:rPr>
            </w:pPr>
            <w:r>
              <w:rPr>
                <w:noProof/>
              </w:rPr>
              <w:t>2022</w:t>
            </w:r>
          </w:p>
        </w:tc>
        <w:tc>
          <w:tcPr>
            <w:tcW w:w="3261" w:type="dxa"/>
            <w:shd w:val="clear" w:color="auto" w:fill="C6EFCE"/>
            <w:noWrap/>
          </w:tcPr>
          <w:p w14:paraId="74E397AF" w14:textId="100D83F5" w:rsidR="00553430" w:rsidRDefault="00212577">
            <w:pPr>
              <w:pStyle w:val="P68B1DB1-Normal66"/>
              <w:spacing w:after="200" w:line="276" w:lineRule="auto"/>
              <w:rPr>
                <w:noProof/>
              </w:rPr>
            </w:pPr>
            <w:r>
              <w:rPr>
                <w:noProof/>
              </w:rPr>
              <w:t>Contrats signés pour un montant de 66 361 404 EUR pour</w:t>
            </w:r>
            <w:r>
              <w:rPr>
                <w:noProof/>
              </w:rPr>
              <w:t xml:space="preserve"> la rénovation énergétique des bâtiments. Tous les contrats énoncent l’exigence pertinente en matière d’efficacité énergétique d’une réduction minimale de la consommation d’énergie pour le chauffage d’au moins 50 % par rapport à la consommation annuelle d’</w:t>
            </w:r>
            <w:r>
              <w:rPr>
                <w:noProof/>
              </w:rPr>
              <w:t>énergie pour le chauffage avant la rénovation pour chaque bâtiment (attendez-vous à ce que le bâtiment bénéficie d’un statut de bien culturel), ce qui entraîne une augmentation de 30 % des économies d’énergie primaire par rapport à l’état antérieur à la ré</w:t>
            </w:r>
            <w:r>
              <w:rPr>
                <w:noProof/>
              </w:rPr>
              <w:t>novation et respecte le principe consistant à «ne pas causer de préjudice important» énoncé à l’article 17 du règlement (UE) 2020/852 établissant un cadre visant à faciliter les investissements durables.</w:t>
            </w:r>
          </w:p>
        </w:tc>
      </w:tr>
      <w:tr w:rsidR="00553430" w14:paraId="21E3D12A" w14:textId="77777777" w:rsidTr="00262866">
        <w:trPr>
          <w:trHeight w:val="283"/>
          <w:jc w:val="center"/>
        </w:trPr>
        <w:tc>
          <w:tcPr>
            <w:tcW w:w="835" w:type="dxa"/>
            <w:shd w:val="clear" w:color="auto" w:fill="C6EFCE"/>
            <w:noWrap/>
          </w:tcPr>
          <w:p w14:paraId="415A84A0" w14:textId="77777777" w:rsidR="00553430" w:rsidRDefault="00212577">
            <w:pPr>
              <w:pStyle w:val="P68B1DB1-Normal66"/>
              <w:spacing w:after="200" w:line="276" w:lineRule="auto"/>
              <w:jc w:val="center"/>
              <w:rPr>
                <w:noProof/>
              </w:rPr>
            </w:pPr>
            <w:r>
              <w:rPr>
                <w:noProof/>
              </w:rPr>
              <w:t>354</w:t>
            </w:r>
          </w:p>
        </w:tc>
        <w:tc>
          <w:tcPr>
            <w:tcW w:w="1200" w:type="dxa"/>
            <w:shd w:val="clear" w:color="auto" w:fill="C6EFCE"/>
            <w:noWrap/>
          </w:tcPr>
          <w:p w14:paraId="489EB2E9" w14:textId="77777777" w:rsidR="00553430" w:rsidRDefault="00212577">
            <w:pPr>
              <w:pStyle w:val="P68B1DB1-Normal66"/>
              <w:spacing w:after="200" w:line="276" w:lineRule="auto"/>
              <w:jc w:val="center"/>
              <w:rPr>
                <w:noProof/>
              </w:rPr>
            </w:pPr>
            <w:r>
              <w:rPr>
                <w:noProof/>
              </w:rPr>
              <w:t>C6.1. R1-I1</w:t>
            </w:r>
          </w:p>
        </w:tc>
        <w:tc>
          <w:tcPr>
            <w:tcW w:w="1080" w:type="dxa"/>
            <w:shd w:val="clear" w:color="auto" w:fill="C6EFCE"/>
            <w:noWrap/>
          </w:tcPr>
          <w:p w14:paraId="0B4264BF" w14:textId="77777777" w:rsidR="00553430" w:rsidRDefault="00212577">
            <w:pPr>
              <w:pStyle w:val="P68B1DB1-Normal66"/>
              <w:spacing w:after="200" w:line="276" w:lineRule="auto"/>
              <w:jc w:val="center"/>
              <w:rPr>
                <w:noProof/>
              </w:rPr>
            </w:pPr>
            <w:r>
              <w:rPr>
                <w:noProof/>
              </w:rPr>
              <w:t>T</w:t>
            </w:r>
          </w:p>
        </w:tc>
        <w:tc>
          <w:tcPr>
            <w:tcW w:w="1786" w:type="dxa"/>
            <w:shd w:val="clear" w:color="auto" w:fill="C6EFCE"/>
            <w:noWrap/>
          </w:tcPr>
          <w:p w14:paraId="0D1FAD89" w14:textId="77777777" w:rsidR="00553430" w:rsidRDefault="00212577">
            <w:pPr>
              <w:pStyle w:val="P68B1DB1-Normal66"/>
              <w:spacing w:after="200" w:line="276" w:lineRule="auto"/>
              <w:rPr>
                <w:noProof/>
              </w:rPr>
            </w:pPr>
            <w:r>
              <w:rPr>
                <w:noProof/>
              </w:rPr>
              <w:t xml:space="preserve">Rénovation énergétique des immeubles collectifs </w:t>
            </w:r>
          </w:p>
        </w:tc>
        <w:tc>
          <w:tcPr>
            <w:tcW w:w="2288" w:type="dxa"/>
            <w:shd w:val="clear" w:color="auto" w:fill="C6EFCE"/>
            <w:noWrap/>
          </w:tcPr>
          <w:p w14:paraId="13511273" w14:textId="77777777" w:rsidR="00553430" w:rsidRDefault="00212577">
            <w:pPr>
              <w:pStyle w:val="P68B1DB1-Normal66"/>
              <w:spacing w:after="200" w:line="276" w:lineRule="auto"/>
              <w:rPr>
                <w:noProof/>
              </w:rPr>
            </w:pPr>
            <w:r>
              <w:rPr>
                <w:noProof/>
              </w:rPr>
              <w:t xml:space="preserve"> </w:t>
            </w:r>
          </w:p>
        </w:tc>
        <w:tc>
          <w:tcPr>
            <w:tcW w:w="1067" w:type="dxa"/>
            <w:shd w:val="clear" w:color="auto" w:fill="C6EFCE"/>
            <w:noWrap/>
          </w:tcPr>
          <w:p w14:paraId="283D89AA" w14:textId="77777777" w:rsidR="00553430" w:rsidRDefault="00212577">
            <w:pPr>
              <w:pStyle w:val="P68B1DB1-Normal66"/>
              <w:spacing w:after="200" w:line="276" w:lineRule="auto"/>
              <w:jc w:val="center"/>
              <w:rPr>
                <w:noProof/>
              </w:rPr>
            </w:pPr>
            <w:r>
              <w:rPr>
                <w:noProof/>
              </w:rPr>
              <w:t>Numéro (m2)</w:t>
            </w:r>
          </w:p>
        </w:tc>
        <w:tc>
          <w:tcPr>
            <w:tcW w:w="990" w:type="dxa"/>
            <w:shd w:val="clear" w:color="auto" w:fill="C6EFCE"/>
            <w:noWrap/>
          </w:tcPr>
          <w:p w14:paraId="5BD707F6" w14:textId="77777777" w:rsidR="00553430" w:rsidRDefault="00212577">
            <w:pPr>
              <w:pStyle w:val="P68B1DB1-Normal66"/>
              <w:spacing w:after="200" w:line="276" w:lineRule="auto"/>
              <w:jc w:val="center"/>
              <w:rPr>
                <w:noProof/>
              </w:rPr>
            </w:pPr>
            <w:r>
              <w:rPr>
                <w:noProof/>
              </w:rPr>
              <w:t>0</w:t>
            </w:r>
          </w:p>
        </w:tc>
        <w:tc>
          <w:tcPr>
            <w:tcW w:w="1073" w:type="dxa"/>
            <w:shd w:val="clear" w:color="auto" w:fill="C6EFCE"/>
            <w:noWrap/>
          </w:tcPr>
          <w:p w14:paraId="635953F6" w14:textId="77777777" w:rsidR="00553430" w:rsidRDefault="00212577">
            <w:pPr>
              <w:pStyle w:val="P68B1DB1-Normal66"/>
              <w:spacing w:after="200" w:line="276" w:lineRule="auto"/>
              <w:jc w:val="center"/>
              <w:rPr>
                <w:noProof/>
              </w:rPr>
            </w:pPr>
            <w:r>
              <w:rPr>
                <w:noProof/>
              </w:rPr>
              <w:t>241 850</w:t>
            </w:r>
          </w:p>
        </w:tc>
        <w:tc>
          <w:tcPr>
            <w:tcW w:w="1053" w:type="dxa"/>
            <w:shd w:val="clear" w:color="auto" w:fill="C6EFCE"/>
            <w:noWrap/>
          </w:tcPr>
          <w:p w14:paraId="74F6FE46" w14:textId="77777777" w:rsidR="00553430" w:rsidRDefault="00212577">
            <w:pPr>
              <w:pStyle w:val="P68B1DB1-Normal66"/>
              <w:spacing w:after="200" w:line="276" w:lineRule="auto"/>
              <w:jc w:val="center"/>
              <w:rPr>
                <w:noProof/>
              </w:rPr>
            </w:pPr>
            <w:r>
              <w:rPr>
                <w:noProof/>
              </w:rPr>
              <w:t>T2</w:t>
            </w:r>
          </w:p>
        </w:tc>
        <w:tc>
          <w:tcPr>
            <w:tcW w:w="851" w:type="dxa"/>
            <w:shd w:val="clear" w:color="auto" w:fill="C6EFCE"/>
            <w:noWrap/>
          </w:tcPr>
          <w:p w14:paraId="4285B193" w14:textId="77777777" w:rsidR="00553430" w:rsidRDefault="00212577">
            <w:pPr>
              <w:pStyle w:val="P68B1DB1-Normal66"/>
              <w:spacing w:after="200" w:line="276" w:lineRule="auto"/>
              <w:jc w:val="center"/>
              <w:rPr>
                <w:noProof/>
              </w:rPr>
            </w:pPr>
            <w:r>
              <w:rPr>
                <w:noProof/>
              </w:rPr>
              <w:t>2026</w:t>
            </w:r>
          </w:p>
        </w:tc>
        <w:tc>
          <w:tcPr>
            <w:tcW w:w="3261" w:type="dxa"/>
            <w:shd w:val="clear" w:color="auto" w:fill="C6EFCE"/>
            <w:noWrap/>
          </w:tcPr>
          <w:p w14:paraId="1DFA2ED8" w14:textId="238358F6" w:rsidR="00553430" w:rsidRDefault="00212577">
            <w:pPr>
              <w:pStyle w:val="P68B1DB1-Normal66"/>
              <w:spacing w:after="200" w:line="276" w:lineRule="auto"/>
              <w:rPr>
                <w:noProof/>
              </w:rPr>
            </w:pPr>
            <w:r>
              <w:rPr>
                <w:noProof/>
              </w:rPr>
              <w:t xml:space="preserve">Rénovation énergétique d’au moins 241 850 m2 de bâtiments à logements multiples, répondant à une exigence minimale de réduction de la consommation d’énergie pour le chauffage </w:t>
            </w:r>
            <w:r>
              <w:rPr>
                <w:noProof/>
              </w:rPr>
              <w:t>d’au moins 50 % par rapport à la consommation annuelle d’énergie pour le chauffage avant la rénovation pour chaque bâtiment (à l’exception des bâtiments bénéficiant d’un statut de bien culturel), ce qui entraînera une augmentation de 30 % des économies d’é</w:t>
            </w:r>
            <w:r>
              <w:rPr>
                <w:noProof/>
              </w:rPr>
              <w:t>nergie primaire au niveau de l’objectif par rapport à l’état de prérénovation, et sera conforme au principe consistant à ne pas causer de préjudice important. Le coût d'installation des chaudières à condensation de gaz remplaçant les chaudières à gaz, à ch</w:t>
            </w:r>
            <w:r>
              <w:rPr>
                <w:noProof/>
              </w:rPr>
              <w:t>arbon et à mazout existantes représente au maximum 20 % du coût de rénovation.</w:t>
            </w:r>
          </w:p>
        </w:tc>
      </w:tr>
      <w:tr w:rsidR="00553430" w14:paraId="3D13CAE7" w14:textId="77777777" w:rsidTr="00262866">
        <w:trPr>
          <w:trHeight w:val="283"/>
          <w:jc w:val="center"/>
        </w:trPr>
        <w:tc>
          <w:tcPr>
            <w:tcW w:w="835" w:type="dxa"/>
            <w:shd w:val="clear" w:color="auto" w:fill="C6EFCE"/>
            <w:noWrap/>
          </w:tcPr>
          <w:p w14:paraId="3BDBF0AE" w14:textId="77777777" w:rsidR="00553430" w:rsidRDefault="00212577">
            <w:pPr>
              <w:pStyle w:val="P68B1DB1-Normal66"/>
              <w:spacing w:after="200" w:line="276" w:lineRule="auto"/>
              <w:jc w:val="center"/>
              <w:rPr>
                <w:noProof/>
              </w:rPr>
            </w:pPr>
            <w:r>
              <w:rPr>
                <w:noProof/>
              </w:rPr>
              <w:t>355</w:t>
            </w:r>
          </w:p>
        </w:tc>
        <w:tc>
          <w:tcPr>
            <w:tcW w:w="1200" w:type="dxa"/>
            <w:shd w:val="clear" w:color="auto" w:fill="C6EFCE"/>
            <w:noWrap/>
          </w:tcPr>
          <w:p w14:paraId="7FAD146E" w14:textId="77777777" w:rsidR="00553430" w:rsidRDefault="00212577">
            <w:pPr>
              <w:pStyle w:val="P68B1DB1-Normal66"/>
              <w:spacing w:after="200" w:line="276" w:lineRule="auto"/>
              <w:jc w:val="center"/>
              <w:rPr>
                <w:noProof/>
              </w:rPr>
            </w:pPr>
            <w:r>
              <w:rPr>
                <w:noProof/>
              </w:rPr>
              <w:t>C6.1. R1-I1</w:t>
            </w:r>
          </w:p>
        </w:tc>
        <w:tc>
          <w:tcPr>
            <w:tcW w:w="1080" w:type="dxa"/>
            <w:shd w:val="clear" w:color="auto" w:fill="C6EFCE"/>
            <w:noWrap/>
          </w:tcPr>
          <w:p w14:paraId="2DF5BC45" w14:textId="77777777" w:rsidR="00553430" w:rsidRDefault="00212577">
            <w:pPr>
              <w:pStyle w:val="P68B1DB1-Normal66"/>
              <w:spacing w:after="200" w:line="276" w:lineRule="auto"/>
              <w:jc w:val="center"/>
              <w:rPr>
                <w:noProof/>
              </w:rPr>
            </w:pPr>
            <w:r>
              <w:rPr>
                <w:noProof/>
              </w:rPr>
              <w:t>T</w:t>
            </w:r>
          </w:p>
        </w:tc>
        <w:tc>
          <w:tcPr>
            <w:tcW w:w="1786" w:type="dxa"/>
            <w:shd w:val="clear" w:color="auto" w:fill="C6EFCE"/>
            <w:noWrap/>
          </w:tcPr>
          <w:p w14:paraId="474463BB" w14:textId="77777777" w:rsidR="00553430" w:rsidRDefault="00212577">
            <w:pPr>
              <w:pStyle w:val="P68B1DB1-Normal66"/>
              <w:spacing w:after="200" w:line="276" w:lineRule="auto"/>
              <w:rPr>
                <w:noProof/>
              </w:rPr>
            </w:pPr>
            <w:r>
              <w:rPr>
                <w:noProof/>
              </w:rPr>
              <w:t xml:space="preserve">Rénovation énergétique des bâtiments publics </w:t>
            </w:r>
          </w:p>
        </w:tc>
        <w:tc>
          <w:tcPr>
            <w:tcW w:w="2288" w:type="dxa"/>
            <w:shd w:val="clear" w:color="auto" w:fill="C6EFCE"/>
            <w:noWrap/>
          </w:tcPr>
          <w:p w14:paraId="25B2CD69" w14:textId="77777777" w:rsidR="00553430" w:rsidRDefault="00212577">
            <w:pPr>
              <w:pStyle w:val="P68B1DB1-Normal66"/>
              <w:spacing w:after="200" w:line="276" w:lineRule="auto"/>
              <w:rPr>
                <w:noProof/>
              </w:rPr>
            </w:pPr>
            <w:r>
              <w:rPr>
                <w:noProof/>
              </w:rPr>
              <w:t xml:space="preserve"> </w:t>
            </w:r>
          </w:p>
        </w:tc>
        <w:tc>
          <w:tcPr>
            <w:tcW w:w="1067" w:type="dxa"/>
            <w:shd w:val="clear" w:color="auto" w:fill="C6EFCE"/>
            <w:noWrap/>
          </w:tcPr>
          <w:p w14:paraId="577EEBC4" w14:textId="77777777" w:rsidR="00553430" w:rsidRDefault="00212577">
            <w:pPr>
              <w:pStyle w:val="P68B1DB1-Normal66"/>
              <w:spacing w:after="200" w:line="276" w:lineRule="auto"/>
              <w:jc w:val="center"/>
              <w:rPr>
                <w:noProof/>
              </w:rPr>
            </w:pPr>
            <w:r>
              <w:rPr>
                <w:noProof/>
              </w:rPr>
              <w:t>Numéro</w:t>
            </w:r>
            <w:r>
              <w:rPr>
                <w:noProof/>
              </w:rPr>
              <w:br/>
              <w:t>(m2)</w:t>
            </w:r>
          </w:p>
        </w:tc>
        <w:tc>
          <w:tcPr>
            <w:tcW w:w="990" w:type="dxa"/>
            <w:shd w:val="clear" w:color="auto" w:fill="C6EFCE"/>
            <w:noWrap/>
          </w:tcPr>
          <w:p w14:paraId="3B27A801" w14:textId="77777777" w:rsidR="00553430" w:rsidRDefault="00212577">
            <w:pPr>
              <w:pStyle w:val="P68B1DB1-Normal66"/>
              <w:spacing w:after="200" w:line="276" w:lineRule="auto"/>
              <w:jc w:val="center"/>
              <w:rPr>
                <w:noProof/>
              </w:rPr>
            </w:pPr>
            <w:r>
              <w:rPr>
                <w:noProof/>
              </w:rPr>
              <w:t>0</w:t>
            </w:r>
          </w:p>
        </w:tc>
        <w:tc>
          <w:tcPr>
            <w:tcW w:w="1073" w:type="dxa"/>
            <w:shd w:val="clear" w:color="auto" w:fill="C6EFCE"/>
            <w:noWrap/>
          </w:tcPr>
          <w:p w14:paraId="7B64F41E" w14:textId="77777777" w:rsidR="00553430" w:rsidRDefault="00212577">
            <w:pPr>
              <w:pStyle w:val="P68B1DB1-Normal66"/>
              <w:spacing w:after="200" w:line="276" w:lineRule="auto"/>
              <w:jc w:val="center"/>
              <w:rPr>
                <w:noProof/>
              </w:rPr>
            </w:pPr>
            <w:r>
              <w:rPr>
                <w:noProof/>
              </w:rPr>
              <w:t>372 219</w:t>
            </w:r>
          </w:p>
        </w:tc>
        <w:tc>
          <w:tcPr>
            <w:tcW w:w="1053" w:type="dxa"/>
            <w:shd w:val="clear" w:color="auto" w:fill="C6EFCE"/>
            <w:noWrap/>
          </w:tcPr>
          <w:p w14:paraId="6AF62738" w14:textId="77777777" w:rsidR="00553430" w:rsidRDefault="00212577">
            <w:pPr>
              <w:pStyle w:val="P68B1DB1-Normal66"/>
              <w:spacing w:after="200" w:line="276" w:lineRule="auto"/>
              <w:jc w:val="center"/>
              <w:rPr>
                <w:noProof/>
              </w:rPr>
            </w:pPr>
            <w:r>
              <w:rPr>
                <w:noProof/>
              </w:rPr>
              <w:t>T2</w:t>
            </w:r>
          </w:p>
        </w:tc>
        <w:tc>
          <w:tcPr>
            <w:tcW w:w="851" w:type="dxa"/>
            <w:shd w:val="clear" w:color="auto" w:fill="C6EFCE"/>
            <w:noWrap/>
          </w:tcPr>
          <w:p w14:paraId="004B8729" w14:textId="77777777" w:rsidR="00553430" w:rsidRDefault="00212577">
            <w:pPr>
              <w:pStyle w:val="P68B1DB1-Normal66"/>
              <w:spacing w:after="200" w:line="276" w:lineRule="auto"/>
              <w:jc w:val="center"/>
              <w:rPr>
                <w:noProof/>
              </w:rPr>
            </w:pPr>
            <w:r>
              <w:rPr>
                <w:noProof/>
              </w:rPr>
              <w:t>2026</w:t>
            </w:r>
          </w:p>
        </w:tc>
        <w:tc>
          <w:tcPr>
            <w:tcW w:w="3261" w:type="dxa"/>
            <w:shd w:val="clear" w:color="auto" w:fill="C6EFCE"/>
            <w:noWrap/>
          </w:tcPr>
          <w:p w14:paraId="6C8CCE17" w14:textId="34A530E2" w:rsidR="00553430" w:rsidRDefault="00212577">
            <w:pPr>
              <w:pStyle w:val="P68B1DB1-Normal66"/>
              <w:spacing w:after="200" w:line="276" w:lineRule="auto"/>
              <w:rPr>
                <w:noProof/>
              </w:rPr>
            </w:pPr>
            <w:r>
              <w:rPr>
                <w:noProof/>
              </w:rPr>
              <w:t xml:space="preserve">Rénovation énergétique d’au moins 372 219 m2 de bâtiments publics, répondant à </w:t>
            </w:r>
            <w:r>
              <w:rPr>
                <w:noProof/>
              </w:rPr>
              <w:t>une exigence minimale de réduction de la consommation d’énergie pour le chauffage d’au moins 50 % par rapport à la consommation annuelle d’énergie pour le chauffage avant la rénovation pour chaque bâtiment (à l’exception des bâtiments ayant un statut de bi</w:t>
            </w:r>
            <w:r>
              <w:rPr>
                <w:noProof/>
              </w:rPr>
              <w:t xml:space="preserve">en culturel), ce qui permettra une augmentation de 30 % des économies d’énergie primaire au niveau de l’objectif par rapport à l’état de prérénovation, et sera conforme au principe consistant à «ne pas causer de préjudice important». </w:t>
            </w:r>
          </w:p>
          <w:p w14:paraId="70CB29E9" w14:textId="77777777" w:rsidR="00553430" w:rsidRDefault="00212577">
            <w:pPr>
              <w:pStyle w:val="P68B1DB1-Normal66"/>
              <w:spacing w:after="200" w:line="276" w:lineRule="auto"/>
              <w:rPr>
                <w:noProof/>
              </w:rPr>
            </w:pPr>
            <w:r>
              <w:rPr>
                <w:noProof/>
              </w:rPr>
              <w:t>Le coût d'installatio</w:t>
            </w:r>
            <w:r>
              <w:rPr>
                <w:noProof/>
              </w:rPr>
              <w:t xml:space="preserve">n des chaudières à condensation de gaz remplaçant les chaudières à gaz, à charbon et à mazout existantes représente au maximum 20 % du coût de rénovation. </w:t>
            </w:r>
          </w:p>
        </w:tc>
      </w:tr>
      <w:tr w:rsidR="00553430" w14:paraId="42C3932B" w14:textId="77777777" w:rsidTr="00262866">
        <w:trPr>
          <w:trHeight w:val="283"/>
          <w:jc w:val="center"/>
        </w:trPr>
        <w:tc>
          <w:tcPr>
            <w:tcW w:w="835" w:type="dxa"/>
            <w:shd w:val="clear" w:color="auto" w:fill="C6EFCE"/>
            <w:noWrap/>
          </w:tcPr>
          <w:p w14:paraId="3B5BD21D" w14:textId="77777777" w:rsidR="00553430" w:rsidRDefault="00212577">
            <w:pPr>
              <w:pStyle w:val="P68B1DB1-Normal66"/>
              <w:spacing w:after="200" w:line="276" w:lineRule="auto"/>
              <w:jc w:val="center"/>
              <w:rPr>
                <w:noProof/>
              </w:rPr>
            </w:pPr>
            <w:r>
              <w:rPr>
                <w:noProof/>
              </w:rPr>
              <w:t>358</w:t>
            </w:r>
          </w:p>
        </w:tc>
        <w:tc>
          <w:tcPr>
            <w:tcW w:w="1200" w:type="dxa"/>
            <w:shd w:val="clear" w:color="auto" w:fill="C6EFCE"/>
            <w:noWrap/>
          </w:tcPr>
          <w:p w14:paraId="4C988657" w14:textId="77777777" w:rsidR="00553430" w:rsidRDefault="00212577">
            <w:pPr>
              <w:pStyle w:val="P68B1DB1-Normal66"/>
              <w:spacing w:after="200" w:line="276" w:lineRule="auto"/>
              <w:jc w:val="center"/>
              <w:rPr>
                <w:noProof/>
              </w:rPr>
            </w:pPr>
            <w:r>
              <w:rPr>
                <w:noProof/>
              </w:rPr>
              <w:t>C6.1. R1-I3</w:t>
            </w:r>
          </w:p>
        </w:tc>
        <w:tc>
          <w:tcPr>
            <w:tcW w:w="1080" w:type="dxa"/>
            <w:shd w:val="clear" w:color="auto" w:fill="C6EFCE"/>
            <w:noWrap/>
          </w:tcPr>
          <w:p w14:paraId="12668F59" w14:textId="77777777" w:rsidR="00553430" w:rsidRDefault="00212577">
            <w:pPr>
              <w:pStyle w:val="P68B1DB1-Normal66"/>
              <w:spacing w:after="200" w:line="276" w:lineRule="auto"/>
              <w:jc w:val="center"/>
              <w:rPr>
                <w:noProof/>
              </w:rPr>
            </w:pPr>
            <w:r>
              <w:rPr>
                <w:noProof/>
              </w:rPr>
              <w:t>T</w:t>
            </w:r>
          </w:p>
        </w:tc>
        <w:tc>
          <w:tcPr>
            <w:tcW w:w="1786" w:type="dxa"/>
            <w:shd w:val="clear" w:color="auto" w:fill="C6EFCE"/>
            <w:noWrap/>
          </w:tcPr>
          <w:p w14:paraId="039617B6" w14:textId="77777777" w:rsidR="00553430" w:rsidRDefault="00212577">
            <w:pPr>
              <w:pStyle w:val="P68B1DB1-Normal66"/>
              <w:spacing w:after="200" w:line="276" w:lineRule="auto"/>
              <w:rPr>
                <w:noProof/>
              </w:rPr>
            </w:pPr>
            <w:r>
              <w:rPr>
                <w:noProof/>
              </w:rPr>
              <w:t xml:space="preserve">Rénovation énergétique des bâtiments ayant le statut de bien culturel </w:t>
            </w:r>
          </w:p>
        </w:tc>
        <w:tc>
          <w:tcPr>
            <w:tcW w:w="2288" w:type="dxa"/>
            <w:shd w:val="clear" w:color="auto" w:fill="C6EFCE"/>
            <w:noWrap/>
          </w:tcPr>
          <w:p w14:paraId="30185472" w14:textId="77777777" w:rsidR="00553430" w:rsidRDefault="00212577">
            <w:pPr>
              <w:pStyle w:val="P68B1DB1-Normal66"/>
              <w:spacing w:after="200" w:line="276" w:lineRule="auto"/>
              <w:rPr>
                <w:noProof/>
              </w:rPr>
            </w:pPr>
            <w:r>
              <w:rPr>
                <w:noProof/>
              </w:rPr>
              <w:t xml:space="preserve"> </w:t>
            </w:r>
          </w:p>
        </w:tc>
        <w:tc>
          <w:tcPr>
            <w:tcW w:w="1067" w:type="dxa"/>
            <w:shd w:val="clear" w:color="auto" w:fill="C6EFCE"/>
            <w:noWrap/>
          </w:tcPr>
          <w:p w14:paraId="306C5D27" w14:textId="77777777" w:rsidR="00553430" w:rsidRDefault="00212577">
            <w:pPr>
              <w:pStyle w:val="P68B1DB1-Normal66"/>
              <w:spacing w:after="200" w:line="276" w:lineRule="auto"/>
              <w:jc w:val="center"/>
              <w:rPr>
                <w:noProof/>
              </w:rPr>
            </w:pPr>
            <w:r>
              <w:rPr>
                <w:noProof/>
              </w:rPr>
              <w:t xml:space="preserve">Numéro </w:t>
            </w:r>
            <w:r>
              <w:rPr>
                <w:noProof/>
              </w:rPr>
              <w:t>(m2)</w:t>
            </w:r>
          </w:p>
        </w:tc>
        <w:tc>
          <w:tcPr>
            <w:tcW w:w="990" w:type="dxa"/>
            <w:shd w:val="clear" w:color="auto" w:fill="C6EFCE"/>
            <w:noWrap/>
          </w:tcPr>
          <w:p w14:paraId="483E5C70" w14:textId="77777777" w:rsidR="00553430" w:rsidRDefault="00212577">
            <w:pPr>
              <w:pStyle w:val="P68B1DB1-Normal66"/>
              <w:spacing w:after="200" w:line="276" w:lineRule="auto"/>
              <w:jc w:val="center"/>
              <w:rPr>
                <w:noProof/>
              </w:rPr>
            </w:pPr>
            <w:r>
              <w:rPr>
                <w:noProof/>
              </w:rPr>
              <w:t>0</w:t>
            </w:r>
          </w:p>
        </w:tc>
        <w:tc>
          <w:tcPr>
            <w:tcW w:w="1073" w:type="dxa"/>
            <w:shd w:val="clear" w:color="auto" w:fill="C6EFCE"/>
            <w:noWrap/>
          </w:tcPr>
          <w:p w14:paraId="1B6D022A" w14:textId="77777777" w:rsidR="00553430" w:rsidRDefault="00212577">
            <w:pPr>
              <w:pStyle w:val="P68B1DB1-Normal66"/>
              <w:spacing w:after="200" w:line="276" w:lineRule="auto"/>
              <w:jc w:val="center"/>
              <w:rPr>
                <w:noProof/>
              </w:rPr>
            </w:pPr>
            <w:r>
              <w:rPr>
                <w:noProof/>
              </w:rPr>
              <w:t>31 000</w:t>
            </w:r>
          </w:p>
        </w:tc>
        <w:tc>
          <w:tcPr>
            <w:tcW w:w="1053" w:type="dxa"/>
            <w:shd w:val="clear" w:color="auto" w:fill="C6EFCE"/>
            <w:noWrap/>
          </w:tcPr>
          <w:p w14:paraId="3FF8D80E" w14:textId="77777777" w:rsidR="00553430" w:rsidRDefault="00212577">
            <w:pPr>
              <w:pStyle w:val="P68B1DB1-Normal66"/>
              <w:spacing w:after="200" w:line="276" w:lineRule="auto"/>
              <w:jc w:val="center"/>
              <w:rPr>
                <w:noProof/>
              </w:rPr>
            </w:pPr>
            <w:r>
              <w:rPr>
                <w:noProof/>
              </w:rPr>
              <w:t>T2</w:t>
            </w:r>
          </w:p>
        </w:tc>
        <w:tc>
          <w:tcPr>
            <w:tcW w:w="851" w:type="dxa"/>
            <w:shd w:val="clear" w:color="auto" w:fill="C6EFCE"/>
            <w:noWrap/>
          </w:tcPr>
          <w:p w14:paraId="48855FE9" w14:textId="77777777" w:rsidR="00553430" w:rsidRDefault="00212577">
            <w:pPr>
              <w:pStyle w:val="P68B1DB1-Normal66"/>
              <w:spacing w:after="200" w:line="276" w:lineRule="auto"/>
              <w:jc w:val="center"/>
              <w:rPr>
                <w:noProof/>
              </w:rPr>
            </w:pPr>
            <w:r>
              <w:rPr>
                <w:noProof/>
              </w:rPr>
              <w:t>2026</w:t>
            </w:r>
          </w:p>
        </w:tc>
        <w:tc>
          <w:tcPr>
            <w:tcW w:w="3261" w:type="dxa"/>
            <w:shd w:val="clear" w:color="auto" w:fill="C6EFCE"/>
            <w:noWrap/>
          </w:tcPr>
          <w:p w14:paraId="5BEAAC07" w14:textId="5B9501E5" w:rsidR="00553430" w:rsidRDefault="00212577">
            <w:pPr>
              <w:pStyle w:val="P68B1DB1-Normal66"/>
              <w:spacing w:after="200" w:line="276" w:lineRule="auto"/>
              <w:rPr>
                <w:noProof/>
              </w:rPr>
            </w:pPr>
            <w:r>
              <w:rPr>
                <w:noProof/>
              </w:rPr>
              <w:t>Rénovation énergétique d’au moins 31 000 m2 de bâtiments ayant le statut de bien culturel, avec une augmentation de 30 % des économies d’énergie primaire par rapport à l’objectif, avec une exigence minimale de 20 % pour chaque bâtimen</w:t>
            </w:r>
            <w:r>
              <w:rPr>
                <w:noProof/>
              </w:rPr>
              <w:t xml:space="preserve">t, par rapport à l’état de prérénovation. </w:t>
            </w:r>
          </w:p>
          <w:p w14:paraId="54D66C6C" w14:textId="77777777" w:rsidR="00553430" w:rsidRDefault="00212577">
            <w:pPr>
              <w:pStyle w:val="P68B1DB1-Normal66"/>
              <w:spacing w:after="200" w:line="276" w:lineRule="auto"/>
              <w:rPr>
                <w:noProof/>
              </w:rPr>
            </w:pPr>
            <w:r>
              <w:rPr>
                <w:noProof/>
              </w:rPr>
              <w:t xml:space="preserve">La rénovation de ces bâtiments est financée à 100 % et est conforme au principe consistant à «ne pas causer de préjudice important». </w:t>
            </w:r>
          </w:p>
          <w:p w14:paraId="410A49F2" w14:textId="77777777" w:rsidR="00553430" w:rsidRDefault="00212577">
            <w:pPr>
              <w:pStyle w:val="P68B1DB1-Normal66"/>
              <w:spacing w:after="200" w:line="276" w:lineRule="auto"/>
              <w:rPr>
                <w:noProof/>
              </w:rPr>
            </w:pPr>
            <w:r>
              <w:rPr>
                <w:noProof/>
              </w:rPr>
              <w:t>Le coût d'installation des chaudières à condensation de gaz remplaçant les chau</w:t>
            </w:r>
            <w:r>
              <w:rPr>
                <w:noProof/>
              </w:rPr>
              <w:t>dières à gaz, à charbon et à mazout existantes représente au maximum 20 % du coût de rénovation.</w:t>
            </w:r>
          </w:p>
        </w:tc>
      </w:tr>
      <w:tr w:rsidR="00553430" w14:paraId="4C2288DA" w14:textId="77777777" w:rsidTr="00262866">
        <w:trPr>
          <w:trHeight w:val="283"/>
          <w:jc w:val="center"/>
        </w:trPr>
        <w:tc>
          <w:tcPr>
            <w:tcW w:w="835" w:type="dxa"/>
            <w:shd w:val="clear" w:color="auto" w:fill="C6EFCE"/>
            <w:noWrap/>
          </w:tcPr>
          <w:p w14:paraId="63F1B2AF" w14:textId="77777777" w:rsidR="00553430" w:rsidRDefault="00212577">
            <w:pPr>
              <w:pStyle w:val="P68B1DB1-Normal66"/>
              <w:spacing w:after="200" w:line="276" w:lineRule="auto"/>
              <w:jc w:val="center"/>
              <w:rPr>
                <w:noProof/>
              </w:rPr>
            </w:pPr>
            <w:r>
              <w:rPr>
                <w:noProof/>
              </w:rPr>
              <w:t>359</w:t>
            </w:r>
          </w:p>
        </w:tc>
        <w:tc>
          <w:tcPr>
            <w:tcW w:w="1200" w:type="dxa"/>
            <w:shd w:val="clear" w:color="auto" w:fill="C6EFCE"/>
            <w:noWrap/>
          </w:tcPr>
          <w:p w14:paraId="4A60CA27" w14:textId="77777777" w:rsidR="00553430" w:rsidRDefault="00212577">
            <w:pPr>
              <w:pStyle w:val="P68B1DB1-Normal66"/>
              <w:spacing w:after="200" w:line="276" w:lineRule="auto"/>
              <w:jc w:val="center"/>
              <w:rPr>
                <w:noProof/>
              </w:rPr>
            </w:pPr>
            <w:r>
              <w:rPr>
                <w:noProof/>
              </w:rPr>
              <w:t>C6.1. R2</w:t>
            </w:r>
          </w:p>
        </w:tc>
        <w:tc>
          <w:tcPr>
            <w:tcW w:w="1080" w:type="dxa"/>
            <w:shd w:val="clear" w:color="auto" w:fill="C6EFCE"/>
            <w:noWrap/>
          </w:tcPr>
          <w:p w14:paraId="7E380731" w14:textId="77777777" w:rsidR="00553430" w:rsidRDefault="00212577">
            <w:pPr>
              <w:pStyle w:val="P68B1DB1-Normal66"/>
              <w:spacing w:after="200" w:line="276" w:lineRule="auto"/>
              <w:jc w:val="center"/>
              <w:rPr>
                <w:noProof/>
              </w:rPr>
            </w:pPr>
            <w:r>
              <w:rPr>
                <w:noProof/>
              </w:rPr>
              <w:t>M</w:t>
            </w:r>
          </w:p>
        </w:tc>
        <w:tc>
          <w:tcPr>
            <w:tcW w:w="1786" w:type="dxa"/>
            <w:shd w:val="clear" w:color="auto" w:fill="C6EFCE"/>
            <w:noWrap/>
          </w:tcPr>
          <w:p w14:paraId="4678D883" w14:textId="77777777" w:rsidR="00553430" w:rsidRDefault="00212577">
            <w:pPr>
              <w:pStyle w:val="P68B1DB1-Normal66"/>
              <w:spacing w:after="200" w:line="276" w:lineRule="auto"/>
              <w:rPr>
                <w:noProof/>
              </w:rPr>
            </w:pPr>
            <w:r>
              <w:rPr>
                <w:noProof/>
              </w:rPr>
              <w:t xml:space="preserve">Publication du plan national de développement des compétences dans le contexte des emplois verts liés à l’efficacité énergétique et à la </w:t>
            </w:r>
            <w:r>
              <w:rPr>
                <w:noProof/>
              </w:rPr>
              <w:t>reconstruction après le tremblement de terre</w:t>
            </w:r>
          </w:p>
        </w:tc>
        <w:tc>
          <w:tcPr>
            <w:tcW w:w="2288" w:type="dxa"/>
            <w:shd w:val="clear" w:color="auto" w:fill="C6EFCE"/>
            <w:noWrap/>
          </w:tcPr>
          <w:p w14:paraId="25170138" w14:textId="77777777" w:rsidR="00553430" w:rsidRDefault="00212577">
            <w:pPr>
              <w:pStyle w:val="P68B1DB1-Normal66"/>
              <w:spacing w:after="200" w:line="276" w:lineRule="auto"/>
              <w:rPr>
                <w:noProof/>
              </w:rPr>
            </w:pPr>
            <w:r>
              <w:rPr>
                <w:noProof/>
              </w:rPr>
              <w:t xml:space="preserve">Publication sur le site officiel du ministère de l’aménagement du territoire, de la construction et des biens de l’État </w:t>
            </w:r>
          </w:p>
        </w:tc>
        <w:tc>
          <w:tcPr>
            <w:tcW w:w="1067" w:type="dxa"/>
            <w:shd w:val="clear" w:color="auto" w:fill="C6EFCE"/>
            <w:noWrap/>
          </w:tcPr>
          <w:p w14:paraId="7E967CD5" w14:textId="77777777" w:rsidR="00553430" w:rsidRDefault="00212577">
            <w:pPr>
              <w:pStyle w:val="P68B1DB1-Normal66"/>
              <w:spacing w:after="200" w:line="276" w:lineRule="auto"/>
              <w:jc w:val="center"/>
              <w:rPr>
                <w:noProof/>
              </w:rPr>
            </w:pPr>
            <w:r>
              <w:rPr>
                <w:noProof/>
              </w:rPr>
              <w:t> </w:t>
            </w:r>
          </w:p>
        </w:tc>
        <w:tc>
          <w:tcPr>
            <w:tcW w:w="990" w:type="dxa"/>
            <w:shd w:val="clear" w:color="auto" w:fill="C6EFCE"/>
            <w:noWrap/>
          </w:tcPr>
          <w:p w14:paraId="6E40001F" w14:textId="77777777" w:rsidR="00553430" w:rsidRDefault="00212577">
            <w:pPr>
              <w:pStyle w:val="P68B1DB1-Normal66"/>
              <w:spacing w:after="200" w:line="276" w:lineRule="auto"/>
              <w:jc w:val="center"/>
              <w:rPr>
                <w:noProof/>
              </w:rPr>
            </w:pPr>
            <w:r>
              <w:rPr>
                <w:noProof/>
              </w:rPr>
              <w:t> </w:t>
            </w:r>
          </w:p>
        </w:tc>
        <w:tc>
          <w:tcPr>
            <w:tcW w:w="1073" w:type="dxa"/>
            <w:shd w:val="clear" w:color="auto" w:fill="C6EFCE"/>
            <w:noWrap/>
          </w:tcPr>
          <w:p w14:paraId="28519222" w14:textId="77777777" w:rsidR="00553430" w:rsidRDefault="00212577">
            <w:pPr>
              <w:pStyle w:val="P68B1DB1-Normal66"/>
              <w:spacing w:after="200" w:line="276" w:lineRule="auto"/>
              <w:jc w:val="center"/>
              <w:rPr>
                <w:noProof/>
              </w:rPr>
            </w:pPr>
            <w:r>
              <w:rPr>
                <w:noProof/>
              </w:rPr>
              <w:t> </w:t>
            </w:r>
          </w:p>
        </w:tc>
        <w:tc>
          <w:tcPr>
            <w:tcW w:w="1053" w:type="dxa"/>
            <w:shd w:val="clear" w:color="auto" w:fill="C6EFCE"/>
            <w:noWrap/>
          </w:tcPr>
          <w:p w14:paraId="5C5FF958" w14:textId="77777777" w:rsidR="00553430" w:rsidRDefault="00212577">
            <w:pPr>
              <w:pStyle w:val="P68B1DB1-Normal66"/>
              <w:spacing w:after="200" w:line="276" w:lineRule="auto"/>
              <w:jc w:val="center"/>
              <w:rPr>
                <w:noProof/>
              </w:rPr>
            </w:pPr>
            <w:r>
              <w:rPr>
                <w:noProof/>
              </w:rPr>
              <w:t>T4</w:t>
            </w:r>
          </w:p>
        </w:tc>
        <w:tc>
          <w:tcPr>
            <w:tcW w:w="851" w:type="dxa"/>
            <w:shd w:val="clear" w:color="auto" w:fill="C6EFCE"/>
            <w:noWrap/>
          </w:tcPr>
          <w:p w14:paraId="68ED7A63" w14:textId="77777777" w:rsidR="00553430" w:rsidRDefault="00212577">
            <w:pPr>
              <w:pStyle w:val="P68B1DB1-Normal66"/>
              <w:spacing w:after="200" w:line="276" w:lineRule="auto"/>
              <w:jc w:val="center"/>
              <w:rPr>
                <w:noProof/>
              </w:rPr>
            </w:pPr>
            <w:r>
              <w:rPr>
                <w:noProof/>
              </w:rPr>
              <w:t>2022</w:t>
            </w:r>
          </w:p>
        </w:tc>
        <w:tc>
          <w:tcPr>
            <w:tcW w:w="3261" w:type="dxa"/>
            <w:shd w:val="clear" w:color="auto" w:fill="C6EFCE"/>
            <w:noWrap/>
          </w:tcPr>
          <w:p w14:paraId="797D0480" w14:textId="77777777" w:rsidR="00553430" w:rsidRDefault="00212577">
            <w:pPr>
              <w:pStyle w:val="P68B1DB1-Normal66"/>
              <w:spacing w:after="200" w:line="276" w:lineRule="auto"/>
              <w:rPr>
                <w:noProof/>
              </w:rPr>
            </w:pPr>
            <w:r>
              <w:rPr>
                <w:noProof/>
              </w:rPr>
              <w:t>l</w:t>
            </w:r>
            <w:r>
              <w:rPr>
                <w:noProof/>
              </w:rPr>
              <w:t xml:space="preserve">a publication du plan national de développement des compétences qui améliorera les compétences des emplois verts dans le contexte de la rénovation énergétique, de la rénovation après le tremblement de terre, des infrastructures vertes, de l’application de </w:t>
            </w:r>
            <w:r>
              <w:rPr>
                <w:noProof/>
              </w:rPr>
              <w:t xml:space="preserve">solutions fondées sur la nature et de la gestion circulaire de l’espace et du bâtiment, sur la base d’un examen des programmes existants et de la préparation et de l’adaptation des programmes éducatifs définis par la réforme. </w:t>
            </w:r>
          </w:p>
        </w:tc>
      </w:tr>
      <w:tr w:rsidR="00553430" w14:paraId="60EF6AC1" w14:textId="77777777" w:rsidTr="00262866">
        <w:trPr>
          <w:trHeight w:val="283"/>
          <w:jc w:val="center"/>
        </w:trPr>
        <w:tc>
          <w:tcPr>
            <w:tcW w:w="835" w:type="dxa"/>
            <w:shd w:val="clear" w:color="auto" w:fill="C6EFCE"/>
            <w:noWrap/>
          </w:tcPr>
          <w:p w14:paraId="63E8F1D4" w14:textId="77777777" w:rsidR="00553430" w:rsidRDefault="00212577">
            <w:pPr>
              <w:pStyle w:val="P68B1DB1-Normal66"/>
              <w:spacing w:after="200" w:line="276" w:lineRule="auto"/>
              <w:jc w:val="center"/>
              <w:rPr>
                <w:noProof/>
              </w:rPr>
            </w:pPr>
            <w:r>
              <w:rPr>
                <w:noProof/>
              </w:rPr>
              <w:t>360</w:t>
            </w:r>
          </w:p>
        </w:tc>
        <w:tc>
          <w:tcPr>
            <w:tcW w:w="1200" w:type="dxa"/>
            <w:shd w:val="clear" w:color="auto" w:fill="C6EFCE"/>
            <w:noWrap/>
          </w:tcPr>
          <w:p w14:paraId="7A923BA9" w14:textId="77777777" w:rsidR="00553430" w:rsidRDefault="00212577">
            <w:pPr>
              <w:pStyle w:val="P68B1DB1-Normal66"/>
              <w:spacing w:after="200" w:line="276" w:lineRule="auto"/>
              <w:jc w:val="center"/>
              <w:rPr>
                <w:noProof/>
              </w:rPr>
            </w:pPr>
            <w:r>
              <w:rPr>
                <w:noProof/>
              </w:rPr>
              <w:t>C6.1. R2</w:t>
            </w:r>
          </w:p>
        </w:tc>
        <w:tc>
          <w:tcPr>
            <w:tcW w:w="1080" w:type="dxa"/>
            <w:shd w:val="clear" w:color="auto" w:fill="C6EFCE"/>
            <w:noWrap/>
          </w:tcPr>
          <w:p w14:paraId="5707C6F1" w14:textId="77777777" w:rsidR="00553430" w:rsidRDefault="00212577">
            <w:pPr>
              <w:pStyle w:val="P68B1DB1-Normal66"/>
              <w:spacing w:after="200" w:line="276" w:lineRule="auto"/>
              <w:jc w:val="center"/>
              <w:rPr>
                <w:noProof/>
              </w:rPr>
            </w:pPr>
            <w:r>
              <w:rPr>
                <w:noProof/>
              </w:rPr>
              <w:t>M</w:t>
            </w:r>
          </w:p>
        </w:tc>
        <w:tc>
          <w:tcPr>
            <w:tcW w:w="1786" w:type="dxa"/>
            <w:shd w:val="clear" w:color="auto" w:fill="C6EFCE"/>
            <w:noWrap/>
          </w:tcPr>
          <w:p w14:paraId="6067F1D4" w14:textId="23B1F1E7" w:rsidR="00553430" w:rsidRDefault="00212577">
            <w:pPr>
              <w:pStyle w:val="P68B1DB1-Normal66"/>
              <w:spacing w:after="200" w:line="276" w:lineRule="auto"/>
              <w:rPr>
                <w:noProof/>
              </w:rPr>
            </w:pPr>
            <w:r>
              <w:rPr>
                <w:noProof/>
              </w:rPr>
              <w:t xml:space="preserve">Certification de formation </w:t>
            </w:r>
          </w:p>
        </w:tc>
        <w:tc>
          <w:tcPr>
            <w:tcW w:w="2288" w:type="dxa"/>
            <w:shd w:val="clear" w:color="auto" w:fill="C6EFCE"/>
            <w:noWrap/>
          </w:tcPr>
          <w:p w14:paraId="0EB52989" w14:textId="7C99FC70" w:rsidR="00553430" w:rsidRDefault="00212577">
            <w:pPr>
              <w:pStyle w:val="P68B1DB1-Normal66"/>
              <w:spacing w:after="200" w:line="276" w:lineRule="auto"/>
              <w:rPr>
                <w:noProof/>
              </w:rPr>
            </w:pPr>
            <w:r>
              <w:rPr>
                <w:noProof/>
              </w:rPr>
              <w:t>Liste des certificats délivrés par l'établissement d'enseignement</w:t>
            </w:r>
          </w:p>
        </w:tc>
        <w:tc>
          <w:tcPr>
            <w:tcW w:w="1067" w:type="dxa"/>
            <w:shd w:val="clear" w:color="auto" w:fill="C6EFCE"/>
            <w:noWrap/>
          </w:tcPr>
          <w:p w14:paraId="5707263D" w14:textId="77777777" w:rsidR="00553430" w:rsidRDefault="00553430">
            <w:pPr>
              <w:spacing w:after="200" w:line="276" w:lineRule="auto"/>
              <w:jc w:val="center"/>
              <w:rPr>
                <w:rFonts w:ascii="Times New Roman" w:eastAsia="Calibri" w:hAnsi="Times New Roman" w:cs="Times New Roman"/>
                <w:noProof/>
                <w:sz w:val="20"/>
                <w:szCs w:val="20"/>
              </w:rPr>
            </w:pPr>
          </w:p>
        </w:tc>
        <w:tc>
          <w:tcPr>
            <w:tcW w:w="990" w:type="dxa"/>
            <w:shd w:val="clear" w:color="auto" w:fill="C6EFCE"/>
            <w:noWrap/>
          </w:tcPr>
          <w:p w14:paraId="4852D836" w14:textId="77777777" w:rsidR="00553430" w:rsidRDefault="00553430">
            <w:pPr>
              <w:spacing w:after="200" w:line="276" w:lineRule="auto"/>
              <w:jc w:val="center"/>
              <w:rPr>
                <w:rFonts w:ascii="Times New Roman" w:eastAsia="Calibri" w:hAnsi="Times New Roman" w:cs="Times New Roman"/>
                <w:noProof/>
                <w:sz w:val="20"/>
                <w:szCs w:val="20"/>
              </w:rPr>
            </w:pPr>
          </w:p>
        </w:tc>
        <w:tc>
          <w:tcPr>
            <w:tcW w:w="1073" w:type="dxa"/>
            <w:shd w:val="clear" w:color="auto" w:fill="C6EFCE"/>
            <w:noWrap/>
          </w:tcPr>
          <w:p w14:paraId="2D3D7898" w14:textId="77777777" w:rsidR="00553430" w:rsidRDefault="00553430">
            <w:pPr>
              <w:spacing w:after="200" w:line="276" w:lineRule="auto"/>
              <w:jc w:val="center"/>
              <w:rPr>
                <w:rFonts w:ascii="Times New Roman" w:eastAsia="Calibri" w:hAnsi="Times New Roman" w:cs="Times New Roman"/>
                <w:noProof/>
                <w:sz w:val="20"/>
                <w:szCs w:val="20"/>
              </w:rPr>
            </w:pPr>
          </w:p>
        </w:tc>
        <w:tc>
          <w:tcPr>
            <w:tcW w:w="1053" w:type="dxa"/>
            <w:shd w:val="clear" w:color="auto" w:fill="C6EFCE"/>
            <w:noWrap/>
          </w:tcPr>
          <w:p w14:paraId="2A48250E" w14:textId="77777777" w:rsidR="00553430" w:rsidRDefault="00212577">
            <w:pPr>
              <w:pStyle w:val="P68B1DB1-Normal66"/>
              <w:spacing w:after="200" w:line="276" w:lineRule="auto"/>
              <w:jc w:val="center"/>
              <w:rPr>
                <w:noProof/>
              </w:rPr>
            </w:pPr>
            <w:r>
              <w:rPr>
                <w:noProof/>
              </w:rPr>
              <w:t>T2</w:t>
            </w:r>
          </w:p>
        </w:tc>
        <w:tc>
          <w:tcPr>
            <w:tcW w:w="851" w:type="dxa"/>
            <w:shd w:val="clear" w:color="auto" w:fill="C6EFCE"/>
            <w:noWrap/>
          </w:tcPr>
          <w:p w14:paraId="2CC248A7" w14:textId="77777777" w:rsidR="00553430" w:rsidRDefault="00212577">
            <w:pPr>
              <w:pStyle w:val="P68B1DB1-Normal66"/>
              <w:spacing w:after="200" w:line="276" w:lineRule="auto"/>
              <w:jc w:val="center"/>
              <w:rPr>
                <w:noProof/>
              </w:rPr>
            </w:pPr>
            <w:r>
              <w:rPr>
                <w:noProof/>
              </w:rPr>
              <w:t>2026</w:t>
            </w:r>
          </w:p>
        </w:tc>
        <w:tc>
          <w:tcPr>
            <w:tcW w:w="3261" w:type="dxa"/>
            <w:shd w:val="clear" w:color="auto" w:fill="C6EFCE"/>
            <w:noWrap/>
          </w:tcPr>
          <w:p w14:paraId="3469FBD8" w14:textId="77777777" w:rsidR="00553430" w:rsidRDefault="00212577">
            <w:pPr>
              <w:pStyle w:val="P68B1DB1-Normal70"/>
              <w:spacing w:after="200" w:line="276" w:lineRule="auto"/>
              <w:rPr>
                <w:noProof/>
              </w:rPr>
            </w:pPr>
            <w:r>
              <w:rPr>
                <w:noProof/>
              </w:rPr>
              <w:t>La preuve de l’achèvement des programmes d’éducation des adultes après le tremblement de terre et/ou de rénovation énergétique par 500 participants est</w:t>
            </w:r>
            <w:r>
              <w:rPr>
                <w:noProof/>
              </w:rPr>
              <w:t xml:space="preserve"> fournie par le ou les établissements d’enseignement.</w:t>
            </w:r>
          </w:p>
        </w:tc>
      </w:tr>
      <w:tr w:rsidR="00553430" w14:paraId="74AFD014" w14:textId="77777777" w:rsidTr="00262866">
        <w:trPr>
          <w:trHeight w:val="283"/>
          <w:jc w:val="center"/>
        </w:trPr>
        <w:tc>
          <w:tcPr>
            <w:tcW w:w="835" w:type="dxa"/>
            <w:shd w:val="clear" w:color="auto" w:fill="C6EFCE"/>
            <w:noWrap/>
          </w:tcPr>
          <w:p w14:paraId="5BDF4D6C" w14:textId="77777777" w:rsidR="00553430" w:rsidRDefault="00212577">
            <w:pPr>
              <w:pStyle w:val="P68B1DB1-Normal66"/>
              <w:spacing w:after="200" w:line="276" w:lineRule="auto"/>
              <w:jc w:val="center"/>
              <w:rPr>
                <w:noProof/>
              </w:rPr>
            </w:pPr>
            <w:r>
              <w:rPr>
                <w:noProof/>
              </w:rPr>
              <w:t>401</w:t>
            </w:r>
          </w:p>
        </w:tc>
        <w:tc>
          <w:tcPr>
            <w:tcW w:w="1200" w:type="dxa"/>
            <w:shd w:val="clear" w:color="auto" w:fill="C6EFCE"/>
            <w:noWrap/>
          </w:tcPr>
          <w:p w14:paraId="20AA03E0" w14:textId="77777777" w:rsidR="00553430" w:rsidRDefault="00212577">
            <w:pPr>
              <w:pStyle w:val="P68B1DB1-Normal66"/>
              <w:spacing w:after="200" w:line="276" w:lineRule="auto"/>
              <w:jc w:val="center"/>
              <w:rPr>
                <w:noProof/>
              </w:rPr>
            </w:pPr>
            <w:r>
              <w:rPr>
                <w:noProof/>
              </w:rPr>
              <w:t xml:space="preserve">C6.1. R2 </w:t>
            </w:r>
          </w:p>
          <w:p w14:paraId="35636179"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1080" w:type="dxa"/>
            <w:shd w:val="clear" w:color="auto" w:fill="C6EFCE"/>
            <w:noWrap/>
          </w:tcPr>
          <w:p w14:paraId="409F222B" w14:textId="77777777" w:rsidR="00553430" w:rsidRDefault="00212577">
            <w:pPr>
              <w:pStyle w:val="P68B1DB1-Normal66"/>
              <w:spacing w:after="200" w:line="276" w:lineRule="auto"/>
              <w:jc w:val="center"/>
              <w:rPr>
                <w:noProof/>
              </w:rPr>
            </w:pPr>
            <w:r>
              <w:rPr>
                <w:noProof/>
              </w:rPr>
              <w:t>M</w:t>
            </w:r>
          </w:p>
        </w:tc>
        <w:tc>
          <w:tcPr>
            <w:tcW w:w="1786" w:type="dxa"/>
            <w:shd w:val="clear" w:color="auto" w:fill="C6EFCE"/>
            <w:noWrap/>
          </w:tcPr>
          <w:p w14:paraId="33EEA2D7" w14:textId="77777777" w:rsidR="00553430" w:rsidRDefault="00212577">
            <w:pPr>
              <w:pStyle w:val="P68B1DB1-Normal66"/>
              <w:spacing w:after="200" w:line="276" w:lineRule="auto"/>
              <w:rPr>
                <w:noProof/>
              </w:rPr>
            </w:pPr>
            <w:r>
              <w:rPr>
                <w:noProof/>
              </w:rPr>
              <w:t>Inscription au nouveau module du programme de master proposé</w:t>
            </w:r>
          </w:p>
        </w:tc>
        <w:tc>
          <w:tcPr>
            <w:tcW w:w="2288" w:type="dxa"/>
            <w:shd w:val="clear" w:color="auto" w:fill="C6EFCE"/>
            <w:noWrap/>
          </w:tcPr>
          <w:p w14:paraId="64E9D610" w14:textId="7097F03A" w:rsidR="00553430" w:rsidRDefault="00212577">
            <w:pPr>
              <w:pStyle w:val="P68B1DB1-Normal66"/>
              <w:spacing w:after="200" w:line="276" w:lineRule="auto"/>
              <w:rPr>
                <w:noProof/>
              </w:rPr>
            </w:pPr>
            <w:r>
              <w:rPr>
                <w:noProof/>
              </w:rPr>
              <w:t xml:space="preserve">Publication d'un appel à candidatures pour l'admission au nouveau module du programme de master </w:t>
            </w:r>
          </w:p>
        </w:tc>
        <w:tc>
          <w:tcPr>
            <w:tcW w:w="1067" w:type="dxa"/>
            <w:shd w:val="clear" w:color="auto" w:fill="C6EFCE"/>
            <w:noWrap/>
          </w:tcPr>
          <w:p w14:paraId="79C61A59"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990" w:type="dxa"/>
            <w:shd w:val="clear" w:color="auto" w:fill="C6EFCE"/>
            <w:noWrap/>
          </w:tcPr>
          <w:p w14:paraId="3FEDAFCF"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1073" w:type="dxa"/>
            <w:shd w:val="clear" w:color="auto" w:fill="C6EFCE"/>
            <w:noWrap/>
          </w:tcPr>
          <w:p w14:paraId="1C7E6C32"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1053" w:type="dxa"/>
            <w:shd w:val="clear" w:color="auto" w:fill="C6EFCE"/>
            <w:noWrap/>
          </w:tcPr>
          <w:p w14:paraId="39098565" w14:textId="77777777" w:rsidR="00553430" w:rsidRDefault="00212577">
            <w:pPr>
              <w:pStyle w:val="P68B1DB1-Normal59"/>
              <w:spacing w:after="200" w:line="276" w:lineRule="auto"/>
              <w:jc w:val="center"/>
              <w:rPr>
                <w:rFonts w:ascii="Times New Roman" w:eastAsia="Calibri" w:hAnsi="Times New Roman" w:cs="Times New Roman"/>
                <w:noProof/>
                <w:color w:val="000000"/>
              </w:rPr>
            </w:pPr>
            <w:r>
              <w:rPr>
                <w:rFonts w:ascii="Times New Roman" w:hAnsi="Times New Roman" w:cs="Times New Roman"/>
                <w:noProof/>
              </w:rPr>
              <w:t xml:space="preserve"> </w:t>
            </w:r>
            <w:r>
              <w:rPr>
                <w:rFonts w:ascii="Times New Roman" w:eastAsia="Calibri" w:hAnsi="Times New Roman" w:cs="Times New Roman"/>
                <w:noProof/>
                <w:color w:val="000000"/>
              </w:rPr>
              <w:t>T2</w:t>
            </w:r>
          </w:p>
        </w:tc>
        <w:tc>
          <w:tcPr>
            <w:tcW w:w="851" w:type="dxa"/>
            <w:shd w:val="clear" w:color="auto" w:fill="C6EFCE"/>
            <w:noWrap/>
          </w:tcPr>
          <w:p w14:paraId="3D4F3541" w14:textId="77777777" w:rsidR="00553430" w:rsidRDefault="00212577">
            <w:pPr>
              <w:pStyle w:val="P68B1DB1-Normal66"/>
              <w:spacing w:after="200" w:line="276" w:lineRule="auto"/>
              <w:jc w:val="center"/>
              <w:rPr>
                <w:noProof/>
              </w:rPr>
            </w:pPr>
            <w:r>
              <w:rPr>
                <w:noProof/>
              </w:rPr>
              <w:t>2026</w:t>
            </w:r>
          </w:p>
        </w:tc>
        <w:tc>
          <w:tcPr>
            <w:tcW w:w="3261" w:type="dxa"/>
            <w:shd w:val="clear" w:color="auto" w:fill="C6EFCE"/>
            <w:noWrap/>
          </w:tcPr>
          <w:p w14:paraId="22BAD5FB" w14:textId="77777777" w:rsidR="00553430" w:rsidRDefault="00212577">
            <w:pPr>
              <w:pStyle w:val="P68B1DB1-Normal66"/>
              <w:spacing w:after="200" w:line="276" w:lineRule="auto"/>
              <w:rPr>
                <w:noProof/>
              </w:rPr>
            </w:pPr>
            <w:r>
              <w:rPr>
                <w:noProof/>
              </w:rPr>
              <w:t xml:space="preserve">Un appel à candidatures pour l’admission au nouveau module du programme de master couvrant des sujets liés à la rénovation et à l’efficacité énergétique est publié. </w:t>
            </w:r>
          </w:p>
        </w:tc>
      </w:tr>
      <w:tr w:rsidR="00553430" w14:paraId="3F2EB661" w14:textId="77777777" w:rsidTr="00262866">
        <w:trPr>
          <w:trHeight w:val="283"/>
          <w:jc w:val="center"/>
        </w:trPr>
        <w:tc>
          <w:tcPr>
            <w:tcW w:w="835" w:type="dxa"/>
            <w:shd w:val="clear" w:color="auto" w:fill="C6EFCE"/>
            <w:noWrap/>
          </w:tcPr>
          <w:p w14:paraId="17CE7D90" w14:textId="77777777" w:rsidR="00553430" w:rsidRDefault="00212577">
            <w:pPr>
              <w:pStyle w:val="P68B1DB1-Normal66"/>
              <w:spacing w:after="200" w:line="276" w:lineRule="auto"/>
              <w:jc w:val="center"/>
              <w:rPr>
                <w:noProof/>
              </w:rPr>
            </w:pPr>
            <w:r>
              <w:rPr>
                <w:noProof/>
              </w:rPr>
              <w:t>362</w:t>
            </w:r>
          </w:p>
        </w:tc>
        <w:tc>
          <w:tcPr>
            <w:tcW w:w="1200" w:type="dxa"/>
            <w:shd w:val="clear" w:color="auto" w:fill="C6EFCE"/>
            <w:noWrap/>
          </w:tcPr>
          <w:p w14:paraId="67B3BF2C" w14:textId="77777777" w:rsidR="00553430" w:rsidRDefault="00212577">
            <w:pPr>
              <w:pStyle w:val="P68B1DB1-Normal66"/>
              <w:spacing w:after="200" w:line="276" w:lineRule="auto"/>
              <w:jc w:val="center"/>
              <w:rPr>
                <w:noProof/>
              </w:rPr>
            </w:pPr>
            <w:r>
              <w:rPr>
                <w:noProof/>
              </w:rPr>
              <w:t>C6.1. R3</w:t>
            </w:r>
          </w:p>
        </w:tc>
        <w:tc>
          <w:tcPr>
            <w:tcW w:w="1080" w:type="dxa"/>
            <w:shd w:val="clear" w:color="auto" w:fill="C6EFCE"/>
            <w:noWrap/>
          </w:tcPr>
          <w:p w14:paraId="75B9EE39" w14:textId="77777777" w:rsidR="00553430" w:rsidRDefault="00212577">
            <w:pPr>
              <w:pStyle w:val="P68B1DB1-Normal66"/>
              <w:spacing w:after="200" w:line="276" w:lineRule="auto"/>
              <w:jc w:val="center"/>
              <w:rPr>
                <w:noProof/>
              </w:rPr>
            </w:pPr>
            <w:r>
              <w:rPr>
                <w:noProof/>
              </w:rPr>
              <w:t>M</w:t>
            </w:r>
          </w:p>
        </w:tc>
        <w:tc>
          <w:tcPr>
            <w:tcW w:w="1786" w:type="dxa"/>
            <w:shd w:val="clear" w:color="auto" w:fill="C6EFCE"/>
            <w:noWrap/>
          </w:tcPr>
          <w:p w14:paraId="78F4E87B" w14:textId="77777777" w:rsidR="00553430" w:rsidRDefault="00212577">
            <w:pPr>
              <w:pStyle w:val="P68B1DB1-Normal66"/>
              <w:spacing w:after="200" w:line="276" w:lineRule="auto"/>
              <w:rPr>
                <w:noProof/>
              </w:rPr>
            </w:pPr>
            <w:r>
              <w:rPr>
                <w:noProof/>
              </w:rPr>
              <w:t xml:space="preserve">Mise en place et exploitation d’un guichet unique physique pour la </w:t>
            </w:r>
            <w:r>
              <w:rPr>
                <w:noProof/>
              </w:rPr>
              <w:t>rénovation énergétique et le renforcement sismique</w:t>
            </w:r>
          </w:p>
        </w:tc>
        <w:tc>
          <w:tcPr>
            <w:tcW w:w="2288" w:type="dxa"/>
            <w:shd w:val="clear" w:color="auto" w:fill="C6EFCE"/>
            <w:noWrap/>
          </w:tcPr>
          <w:p w14:paraId="6687A68D" w14:textId="77777777" w:rsidR="00553430" w:rsidRDefault="00212577">
            <w:pPr>
              <w:pStyle w:val="P68B1DB1-Normal66"/>
              <w:spacing w:after="200" w:line="276" w:lineRule="auto"/>
              <w:rPr>
                <w:noProof/>
              </w:rPr>
            </w:pPr>
            <w:r>
              <w:rPr>
                <w:noProof/>
              </w:rPr>
              <w:t xml:space="preserve">Guichet unique opérationnel </w:t>
            </w:r>
          </w:p>
        </w:tc>
        <w:tc>
          <w:tcPr>
            <w:tcW w:w="1067" w:type="dxa"/>
            <w:shd w:val="clear" w:color="auto" w:fill="C6EFCE"/>
            <w:noWrap/>
          </w:tcPr>
          <w:p w14:paraId="7D0D5067" w14:textId="77777777" w:rsidR="00553430" w:rsidRDefault="00212577">
            <w:pPr>
              <w:pStyle w:val="P68B1DB1-Normal66"/>
              <w:spacing w:after="200" w:line="276" w:lineRule="auto"/>
              <w:jc w:val="center"/>
              <w:rPr>
                <w:noProof/>
              </w:rPr>
            </w:pPr>
            <w:r>
              <w:rPr>
                <w:noProof/>
              </w:rPr>
              <w:t> </w:t>
            </w:r>
          </w:p>
        </w:tc>
        <w:tc>
          <w:tcPr>
            <w:tcW w:w="990" w:type="dxa"/>
            <w:shd w:val="clear" w:color="auto" w:fill="C6EFCE"/>
            <w:noWrap/>
          </w:tcPr>
          <w:p w14:paraId="02D26FD1" w14:textId="77777777" w:rsidR="00553430" w:rsidRDefault="00212577">
            <w:pPr>
              <w:pStyle w:val="P68B1DB1-Normal66"/>
              <w:spacing w:after="200" w:line="276" w:lineRule="auto"/>
              <w:jc w:val="center"/>
              <w:rPr>
                <w:noProof/>
              </w:rPr>
            </w:pPr>
            <w:r>
              <w:rPr>
                <w:noProof/>
              </w:rPr>
              <w:t> </w:t>
            </w:r>
          </w:p>
        </w:tc>
        <w:tc>
          <w:tcPr>
            <w:tcW w:w="1073" w:type="dxa"/>
            <w:shd w:val="clear" w:color="auto" w:fill="C6EFCE"/>
            <w:noWrap/>
          </w:tcPr>
          <w:p w14:paraId="5E1843B8" w14:textId="77777777" w:rsidR="00553430" w:rsidRDefault="00212577">
            <w:pPr>
              <w:pStyle w:val="P68B1DB1-Normal66"/>
              <w:spacing w:after="200" w:line="276" w:lineRule="auto"/>
              <w:jc w:val="center"/>
              <w:rPr>
                <w:noProof/>
              </w:rPr>
            </w:pPr>
            <w:r>
              <w:rPr>
                <w:noProof/>
              </w:rPr>
              <w:t> </w:t>
            </w:r>
          </w:p>
        </w:tc>
        <w:tc>
          <w:tcPr>
            <w:tcW w:w="1053" w:type="dxa"/>
            <w:shd w:val="clear" w:color="auto" w:fill="C6EFCE"/>
            <w:noWrap/>
          </w:tcPr>
          <w:p w14:paraId="63EADCC9" w14:textId="77777777" w:rsidR="00553430" w:rsidRDefault="00212577">
            <w:pPr>
              <w:pStyle w:val="P68B1DB1-Normal66"/>
              <w:spacing w:after="200" w:line="276" w:lineRule="auto"/>
              <w:jc w:val="center"/>
              <w:rPr>
                <w:noProof/>
              </w:rPr>
            </w:pPr>
            <w:r>
              <w:rPr>
                <w:noProof/>
              </w:rPr>
              <w:t>T4</w:t>
            </w:r>
          </w:p>
        </w:tc>
        <w:tc>
          <w:tcPr>
            <w:tcW w:w="851" w:type="dxa"/>
            <w:shd w:val="clear" w:color="auto" w:fill="C6EFCE"/>
            <w:noWrap/>
          </w:tcPr>
          <w:p w14:paraId="4424EDED" w14:textId="77777777" w:rsidR="00553430" w:rsidRDefault="00212577">
            <w:pPr>
              <w:pStyle w:val="P68B1DB1-Normal66"/>
              <w:spacing w:after="200" w:line="276" w:lineRule="auto"/>
              <w:jc w:val="center"/>
              <w:rPr>
                <w:noProof/>
              </w:rPr>
            </w:pPr>
            <w:r>
              <w:rPr>
                <w:noProof/>
              </w:rPr>
              <w:t>2021</w:t>
            </w:r>
          </w:p>
        </w:tc>
        <w:tc>
          <w:tcPr>
            <w:tcW w:w="3261" w:type="dxa"/>
            <w:shd w:val="clear" w:color="auto" w:fill="C6EFCE"/>
            <w:noWrap/>
          </w:tcPr>
          <w:p w14:paraId="57C86DF2" w14:textId="77777777" w:rsidR="00553430" w:rsidRDefault="00212577">
            <w:pPr>
              <w:pStyle w:val="P68B1DB1-Normal66"/>
              <w:spacing w:after="200" w:line="276" w:lineRule="auto"/>
              <w:rPr>
                <w:noProof/>
              </w:rPr>
            </w:pPr>
            <w:r>
              <w:rPr>
                <w:noProof/>
              </w:rPr>
              <w:t>Le guichet unique physique est mis en place et rendu opérationnel dans la zone touchée par le tremblement de terre afin de réduire la charge administrative pesant</w:t>
            </w:r>
            <w:r>
              <w:rPr>
                <w:noProof/>
              </w:rPr>
              <w:t xml:space="preserve"> sur les citoyens. L’investissement comprend l’adaptation et la modernisation de l’infrastructure physique dans un lieu où un guichet unique est établi, des investissements dans des services de développement et de maintenance de systèmes en ligne, des inve</w:t>
            </w:r>
            <w:r>
              <w:rPr>
                <w:noProof/>
              </w:rPr>
              <w:t>stissements dans la fonctionnalité du système en ligne, la formation du personnel, la formation des autorités publiques concernées et des activités de promotion.</w:t>
            </w:r>
          </w:p>
        </w:tc>
      </w:tr>
      <w:tr w:rsidR="00553430" w14:paraId="3D17DDBD" w14:textId="77777777" w:rsidTr="00262866">
        <w:trPr>
          <w:trHeight w:val="283"/>
          <w:jc w:val="center"/>
        </w:trPr>
        <w:tc>
          <w:tcPr>
            <w:tcW w:w="835" w:type="dxa"/>
            <w:shd w:val="clear" w:color="auto" w:fill="C6EFCE"/>
            <w:noWrap/>
          </w:tcPr>
          <w:p w14:paraId="7E177C6E" w14:textId="77777777" w:rsidR="00553430" w:rsidRDefault="00212577">
            <w:pPr>
              <w:pStyle w:val="P68B1DB1-Normal66"/>
              <w:spacing w:after="200" w:line="276" w:lineRule="auto"/>
              <w:jc w:val="center"/>
              <w:rPr>
                <w:noProof/>
              </w:rPr>
            </w:pPr>
            <w:r>
              <w:rPr>
                <w:noProof/>
              </w:rPr>
              <w:t>363</w:t>
            </w:r>
          </w:p>
        </w:tc>
        <w:tc>
          <w:tcPr>
            <w:tcW w:w="1200" w:type="dxa"/>
            <w:shd w:val="clear" w:color="auto" w:fill="C6EFCE"/>
            <w:noWrap/>
          </w:tcPr>
          <w:p w14:paraId="660D75F4" w14:textId="77777777" w:rsidR="00553430" w:rsidRDefault="00212577">
            <w:pPr>
              <w:pStyle w:val="P68B1DB1-Normal66"/>
              <w:spacing w:after="200" w:line="276" w:lineRule="auto"/>
              <w:jc w:val="center"/>
              <w:rPr>
                <w:noProof/>
              </w:rPr>
            </w:pPr>
            <w:r>
              <w:rPr>
                <w:noProof/>
              </w:rPr>
              <w:t>C6.1. R3</w:t>
            </w:r>
          </w:p>
        </w:tc>
        <w:tc>
          <w:tcPr>
            <w:tcW w:w="1080" w:type="dxa"/>
            <w:shd w:val="clear" w:color="auto" w:fill="C6EFCE"/>
            <w:noWrap/>
          </w:tcPr>
          <w:p w14:paraId="2D73045B" w14:textId="77777777" w:rsidR="00553430" w:rsidRDefault="00212577">
            <w:pPr>
              <w:pStyle w:val="P68B1DB1-Normal66"/>
              <w:spacing w:after="200" w:line="276" w:lineRule="auto"/>
              <w:jc w:val="center"/>
              <w:rPr>
                <w:noProof/>
              </w:rPr>
            </w:pPr>
            <w:r>
              <w:rPr>
                <w:noProof/>
              </w:rPr>
              <w:t>M</w:t>
            </w:r>
          </w:p>
        </w:tc>
        <w:tc>
          <w:tcPr>
            <w:tcW w:w="1786" w:type="dxa"/>
            <w:shd w:val="clear" w:color="auto" w:fill="C6EFCE"/>
            <w:noWrap/>
          </w:tcPr>
          <w:p w14:paraId="307AF46C" w14:textId="77777777" w:rsidR="00553430" w:rsidRDefault="00212577">
            <w:pPr>
              <w:pStyle w:val="P68B1DB1-Normal66"/>
              <w:spacing w:after="200" w:line="276" w:lineRule="auto"/>
              <w:rPr>
                <w:noProof/>
              </w:rPr>
            </w:pPr>
            <w:r>
              <w:rPr>
                <w:noProof/>
              </w:rPr>
              <w:t xml:space="preserve">Mise en place et exploitation d’un guichet unique en ligne pour la rénovation énergétique et le renforcement sismique </w:t>
            </w:r>
          </w:p>
        </w:tc>
        <w:tc>
          <w:tcPr>
            <w:tcW w:w="2288" w:type="dxa"/>
            <w:shd w:val="clear" w:color="auto" w:fill="C6EFCE"/>
            <w:noWrap/>
          </w:tcPr>
          <w:p w14:paraId="77FF9325" w14:textId="273E9629" w:rsidR="00553430" w:rsidRDefault="00212577">
            <w:pPr>
              <w:pStyle w:val="P68B1DB1-Normal66"/>
              <w:spacing w:after="200" w:line="276" w:lineRule="auto"/>
              <w:rPr>
                <w:noProof/>
              </w:rPr>
            </w:pPr>
            <w:r>
              <w:rPr>
                <w:noProof/>
              </w:rPr>
              <w:t xml:space="preserve">Guichet unique en ligne opérationnel </w:t>
            </w:r>
          </w:p>
        </w:tc>
        <w:tc>
          <w:tcPr>
            <w:tcW w:w="1067" w:type="dxa"/>
            <w:shd w:val="clear" w:color="auto" w:fill="C6EFCE"/>
            <w:noWrap/>
          </w:tcPr>
          <w:p w14:paraId="22BCF053" w14:textId="77777777" w:rsidR="00553430" w:rsidRDefault="00212577">
            <w:pPr>
              <w:pStyle w:val="P68B1DB1-Normal66"/>
              <w:spacing w:after="200" w:line="276" w:lineRule="auto"/>
              <w:jc w:val="center"/>
              <w:rPr>
                <w:noProof/>
              </w:rPr>
            </w:pPr>
            <w:r>
              <w:rPr>
                <w:noProof/>
              </w:rPr>
              <w:t> </w:t>
            </w:r>
          </w:p>
        </w:tc>
        <w:tc>
          <w:tcPr>
            <w:tcW w:w="990" w:type="dxa"/>
            <w:shd w:val="clear" w:color="auto" w:fill="C6EFCE"/>
            <w:noWrap/>
          </w:tcPr>
          <w:p w14:paraId="455C599F" w14:textId="77777777" w:rsidR="00553430" w:rsidRDefault="00212577">
            <w:pPr>
              <w:pStyle w:val="P68B1DB1-Normal66"/>
              <w:spacing w:after="200" w:line="276" w:lineRule="auto"/>
              <w:jc w:val="center"/>
              <w:rPr>
                <w:noProof/>
              </w:rPr>
            </w:pPr>
            <w:r>
              <w:rPr>
                <w:noProof/>
              </w:rPr>
              <w:t> </w:t>
            </w:r>
          </w:p>
        </w:tc>
        <w:tc>
          <w:tcPr>
            <w:tcW w:w="1073" w:type="dxa"/>
            <w:shd w:val="clear" w:color="auto" w:fill="C6EFCE"/>
            <w:noWrap/>
          </w:tcPr>
          <w:p w14:paraId="02E70ED1" w14:textId="77777777" w:rsidR="00553430" w:rsidRDefault="00212577">
            <w:pPr>
              <w:pStyle w:val="P68B1DB1-Normal66"/>
              <w:spacing w:after="200" w:line="276" w:lineRule="auto"/>
              <w:jc w:val="center"/>
              <w:rPr>
                <w:noProof/>
              </w:rPr>
            </w:pPr>
            <w:r>
              <w:rPr>
                <w:noProof/>
              </w:rPr>
              <w:t> </w:t>
            </w:r>
          </w:p>
        </w:tc>
        <w:tc>
          <w:tcPr>
            <w:tcW w:w="1053" w:type="dxa"/>
            <w:shd w:val="clear" w:color="auto" w:fill="C6EFCE"/>
            <w:noWrap/>
          </w:tcPr>
          <w:p w14:paraId="75302A89" w14:textId="77777777" w:rsidR="00553430" w:rsidRDefault="00212577">
            <w:pPr>
              <w:pStyle w:val="P68B1DB1-Normal66"/>
              <w:spacing w:after="200" w:line="276" w:lineRule="auto"/>
              <w:jc w:val="center"/>
              <w:rPr>
                <w:noProof/>
              </w:rPr>
            </w:pPr>
            <w:r>
              <w:rPr>
                <w:noProof/>
              </w:rPr>
              <w:t>T4</w:t>
            </w:r>
          </w:p>
        </w:tc>
        <w:tc>
          <w:tcPr>
            <w:tcW w:w="851" w:type="dxa"/>
            <w:shd w:val="clear" w:color="auto" w:fill="C6EFCE"/>
            <w:noWrap/>
          </w:tcPr>
          <w:p w14:paraId="53DCB5F8" w14:textId="77777777" w:rsidR="00553430" w:rsidRDefault="00212577">
            <w:pPr>
              <w:pStyle w:val="P68B1DB1-Normal66"/>
              <w:spacing w:after="200" w:line="276" w:lineRule="auto"/>
              <w:jc w:val="center"/>
              <w:rPr>
                <w:noProof/>
              </w:rPr>
            </w:pPr>
            <w:r>
              <w:rPr>
                <w:noProof/>
              </w:rPr>
              <w:t>2022</w:t>
            </w:r>
          </w:p>
        </w:tc>
        <w:tc>
          <w:tcPr>
            <w:tcW w:w="3261" w:type="dxa"/>
            <w:shd w:val="clear" w:color="auto" w:fill="C6EFCE"/>
            <w:noWrap/>
          </w:tcPr>
          <w:p w14:paraId="553DC0BC" w14:textId="77777777" w:rsidR="00553430" w:rsidRDefault="00212577">
            <w:pPr>
              <w:pStyle w:val="P68B1DB1-Normal66"/>
              <w:spacing w:after="200" w:line="276" w:lineRule="auto"/>
              <w:rPr>
                <w:noProof/>
              </w:rPr>
            </w:pPr>
            <w:r>
              <w:rPr>
                <w:noProof/>
              </w:rPr>
              <w:t>Mise en service d'un système de guichet unique en ligne rassemblant toutes les inform</w:t>
            </w:r>
            <w:r>
              <w:rPr>
                <w:noProof/>
              </w:rPr>
              <w:t>ations nécessaires à la rénovation énergétique et à la reconstruction après le tremblement de terre.</w:t>
            </w:r>
            <w:r>
              <w:rPr>
                <w:noProof/>
              </w:rPr>
              <w:br/>
              <w:t>Le guichet unique est mis en œuvre en deux phases: i) les services d’urgence nécessaires à la rénovation structurelle urgente et à la réparation nécessaire</w:t>
            </w:r>
            <w:r>
              <w:rPr>
                <w:noProof/>
              </w:rPr>
              <w:t xml:space="preserve"> des dommages afin d’assurer un niveau de sécurité pour les citoyens et les installations; ii) intégrer tous les autres services et informations nécessaires à une rénovation globale et énergétique aux services et informations inclus dans le concept de «rec</w:t>
            </w:r>
            <w:r>
              <w:rPr>
                <w:noProof/>
              </w:rPr>
              <w:t>onstruire en mieux».</w:t>
            </w:r>
          </w:p>
        </w:tc>
      </w:tr>
      <w:tr w:rsidR="00553430" w14:paraId="3CAC8090" w14:textId="77777777" w:rsidTr="00262866">
        <w:trPr>
          <w:trHeight w:val="283"/>
          <w:jc w:val="center"/>
        </w:trPr>
        <w:tc>
          <w:tcPr>
            <w:tcW w:w="835" w:type="dxa"/>
            <w:shd w:val="clear" w:color="auto" w:fill="C6EFCE"/>
            <w:noWrap/>
          </w:tcPr>
          <w:p w14:paraId="57A275A6" w14:textId="77777777" w:rsidR="00553430" w:rsidRDefault="00212577">
            <w:pPr>
              <w:pStyle w:val="P68B1DB1-Normal66"/>
              <w:spacing w:after="200" w:line="276" w:lineRule="auto"/>
              <w:jc w:val="center"/>
              <w:rPr>
                <w:noProof/>
              </w:rPr>
            </w:pPr>
            <w:r>
              <w:rPr>
                <w:noProof/>
              </w:rPr>
              <w:t>364</w:t>
            </w:r>
          </w:p>
        </w:tc>
        <w:tc>
          <w:tcPr>
            <w:tcW w:w="1200" w:type="dxa"/>
            <w:shd w:val="clear" w:color="auto" w:fill="C6EFCE"/>
            <w:noWrap/>
          </w:tcPr>
          <w:p w14:paraId="0E8840EB" w14:textId="77777777" w:rsidR="00553430" w:rsidRDefault="00212577">
            <w:pPr>
              <w:pStyle w:val="P68B1DB1-Normal66"/>
              <w:spacing w:after="200" w:line="276" w:lineRule="auto"/>
              <w:jc w:val="center"/>
              <w:rPr>
                <w:noProof/>
              </w:rPr>
            </w:pPr>
            <w:r>
              <w:rPr>
                <w:noProof/>
              </w:rPr>
              <w:t>C6.1. R3</w:t>
            </w:r>
          </w:p>
        </w:tc>
        <w:tc>
          <w:tcPr>
            <w:tcW w:w="1080" w:type="dxa"/>
            <w:shd w:val="clear" w:color="auto" w:fill="C6EFCE"/>
            <w:noWrap/>
          </w:tcPr>
          <w:p w14:paraId="1C2F2228" w14:textId="77777777" w:rsidR="00553430" w:rsidRDefault="00212577">
            <w:pPr>
              <w:pStyle w:val="P68B1DB1-Normal66"/>
              <w:spacing w:after="200" w:line="276" w:lineRule="auto"/>
              <w:jc w:val="center"/>
              <w:rPr>
                <w:noProof/>
              </w:rPr>
            </w:pPr>
            <w:r>
              <w:rPr>
                <w:noProof/>
              </w:rPr>
              <w:t>T</w:t>
            </w:r>
          </w:p>
        </w:tc>
        <w:tc>
          <w:tcPr>
            <w:tcW w:w="1786" w:type="dxa"/>
            <w:shd w:val="clear" w:color="auto" w:fill="C6EFCE"/>
            <w:noWrap/>
          </w:tcPr>
          <w:p w14:paraId="573E2781" w14:textId="77777777" w:rsidR="00553430" w:rsidRDefault="00212577">
            <w:pPr>
              <w:pStyle w:val="P68B1DB1-Normal66"/>
              <w:spacing w:after="200" w:line="276" w:lineRule="auto"/>
              <w:rPr>
                <w:noProof/>
              </w:rPr>
            </w:pPr>
            <w:r>
              <w:rPr>
                <w:noProof/>
              </w:rPr>
              <w:t xml:space="preserve">Formation complète des fonctionnaires pour la fourniture de services de guichet unique </w:t>
            </w:r>
          </w:p>
        </w:tc>
        <w:tc>
          <w:tcPr>
            <w:tcW w:w="2288" w:type="dxa"/>
            <w:shd w:val="clear" w:color="auto" w:fill="C6EFCE"/>
            <w:noWrap/>
          </w:tcPr>
          <w:p w14:paraId="067E6AF1" w14:textId="77777777" w:rsidR="00553430" w:rsidRDefault="00212577">
            <w:pPr>
              <w:pStyle w:val="P68B1DB1-Normal66"/>
              <w:spacing w:after="200" w:line="276" w:lineRule="auto"/>
              <w:rPr>
                <w:noProof/>
              </w:rPr>
            </w:pPr>
            <w:r>
              <w:rPr>
                <w:noProof/>
              </w:rPr>
              <w:t> </w:t>
            </w:r>
          </w:p>
        </w:tc>
        <w:tc>
          <w:tcPr>
            <w:tcW w:w="1067" w:type="dxa"/>
            <w:shd w:val="clear" w:color="auto" w:fill="C6EFCE"/>
            <w:noWrap/>
          </w:tcPr>
          <w:p w14:paraId="3AD94251" w14:textId="77777777" w:rsidR="00553430" w:rsidRDefault="00212577">
            <w:pPr>
              <w:pStyle w:val="P68B1DB1-Normal66"/>
              <w:spacing w:after="200" w:line="276" w:lineRule="auto"/>
              <w:jc w:val="center"/>
              <w:rPr>
                <w:noProof/>
              </w:rPr>
            </w:pPr>
            <w:r>
              <w:rPr>
                <w:noProof/>
              </w:rPr>
              <w:t>Numéro</w:t>
            </w:r>
          </w:p>
        </w:tc>
        <w:tc>
          <w:tcPr>
            <w:tcW w:w="990" w:type="dxa"/>
            <w:shd w:val="clear" w:color="auto" w:fill="C6EFCE"/>
            <w:noWrap/>
          </w:tcPr>
          <w:p w14:paraId="3BD2020E" w14:textId="77777777" w:rsidR="00553430" w:rsidRDefault="00212577">
            <w:pPr>
              <w:pStyle w:val="P68B1DB1-Normal66"/>
              <w:spacing w:after="200" w:line="276" w:lineRule="auto"/>
              <w:jc w:val="center"/>
              <w:rPr>
                <w:noProof/>
              </w:rPr>
            </w:pPr>
            <w:r>
              <w:rPr>
                <w:noProof/>
              </w:rPr>
              <w:t>0</w:t>
            </w:r>
          </w:p>
        </w:tc>
        <w:tc>
          <w:tcPr>
            <w:tcW w:w="1073" w:type="dxa"/>
            <w:shd w:val="clear" w:color="auto" w:fill="C6EFCE"/>
            <w:noWrap/>
          </w:tcPr>
          <w:p w14:paraId="02A5AAC2" w14:textId="77777777" w:rsidR="00553430" w:rsidRDefault="00212577">
            <w:pPr>
              <w:pStyle w:val="P68B1DB1-Normal66"/>
              <w:spacing w:after="200" w:line="276" w:lineRule="auto"/>
              <w:jc w:val="center"/>
              <w:rPr>
                <w:noProof/>
              </w:rPr>
            </w:pPr>
            <w:r>
              <w:rPr>
                <w:noProof/>
              </w:rPr>
              <w:t>80</w:t>
            </w:r>
          </w:p>
        </w:tc>
        <w:tc>
          <w:tcPr>
            <w:tcW w:w="1053" w:type="dxa"/>
            <w:shd w:val="clear" w:color="auto" w:fill="C6EFCE"/>
            <w:noWrap/>
          </w:tcPr>
          <w:p w14:paraId="28947586" w14:textId="77777777" w:rsidR="00553430" w:rsidRDefault="00212577">
            <w:pPr>
              <w:pStyle w:val="P68B1DB1-Normal66"/>
              <w:spacing w:after="200" w:line="276" w:lineRule="auto"/>
              <w:jc w:val="center"/>
              <w:rPr>
                <w:noProof/>
              </w:rPr>
            </w:pPr>
            <w:r>
              <w:rPr>
                <w:noProof/>
              </w:rPr>
              <w:t>T2</w:t>
            </w:r>
          </w:p>
        </w:tc>
        <w:tc>
          <w:tcPr>
            <w:tcW w:w="851" w:type="dxa"/>
            <w:shd w:val="clear" w:color="auto" w:fill="C6EFCE"/>
            <w:noWrap/>
          </w:tcPr>
          <w:p w14:paraId="626D4D21" w14:textId="77777777" w:rsidR="00553430" w:rsidRDefault="00212577">
            <w:pPr>
              <w:pStyle w:val="P68B1DB1-Normal66"/>
              <w:spacing w:after="200" w:line="276" w:lineRule="auto"/>
              <w:jc w:val="center"/>
              <w:rPr>
                <w:noProof/>
              </w:rPr>
            </w:pPr>
            <w:r>
              <w:rPr>
                <w:noProof/>
              </w:rPr>
              <w:t>2026</w:t>
            </w:r>
          </w:p>
        </w:tc>
        <w:tc>
          <w:tcPr>
            <w:tcW w:w="3261" w:type="dxa"/>
            <w:shd w:val="clear" w:color="auto" w:fill="C6EFCE"/>
            <w:noWrap/>
          </w:tcPr>
          <w:p w14:paraId="1634C55B" w14:textId="77777777" w:rsidR="00553430" w:rsidRDefault="00212577">
            <w:pPr>
              <w:pStyle w:val="P68B1DB1-Normal66"/>
              <w:spacing w:after="200" w:line="276" w:lineRule="auto"/>
              <w:rPr>
                <w:noProof/>
                <w:highlight w:val="yellow"/>
              </w:rPr>
            </w:pPr>
            <w:r>
              <w:rPr>
                <w:noProof/>
              </w:rPr>
              <w:t xml:space="preserve">Au moins 80 fonctionnaires formés pour fournir des services combinant efficacité énergétique et </w:t>
            </w:r>
            <w:r>
              <w:rPr>
                <w:noProof/>
              </w:rPr>
              <w:t>reconstruction post-séisme.</w:t>
            </w:r>
          </w:p>
          <w:p w14:paraId="0183E9C9" w14:textId="77777777" w:rsidR="00553430" w:rsidRDefault="00553430">
            <w:pPr>
              <w:spacing w:after="200" w:line="276" w:lineRule="auto"/>
              <w:rPr>
                <w:rFonts w:ascii="Times New Roman" w:eastAsia="Calibri" w:hAnsi="Times New Roman" w:cs="Times New Roman"/>
                <w:noProof/>
                <w:sz w:val="20"/>
                <w:szCs w:val="20"/>
              </w:rPr>
            </w:pPr>
          </w:p>
        </w:tc>
      </w:tr>
      <w:tr w:rsidR="00553430" w14:paraId="4AD5C7DB" w14:textId="77777777" w:rsidTr="00262866">
        <w:trPr>
          <w:trHeight w:val="1268"/>
          <w:jc w:val="center"/>
        </w:trPr>
        <w:tc>
          <w:tcPr>
            <w:tcW w:w="835" w:type="dxa"/>
            <w:shd w:val="clear" w:color="auto" w:fill="C6EFCE"/>
            <w:noWrap/>
          </w:tcPr>
          <w:p w14:paraId="40CCE529" w14:textId="77777777" w:rsidR="00553430" w:rsidRDefault="00212577">
            <w:pPr>
              <w:pStyle w:val="P68B1DB1-Normal66"/>
              <w:spacing w:after="200" w:line="276" w:lineRule="auto"/>
              <w:jc w:val="center"/>
              <w:rPr>
                <w:noProof/>
              </w:rPr>
            </w:pPr>
            <w:r>
              <w:rPr>
                <w:noProof/>
              </w:rPr>
              <w:t>365</w:t>
            </w:r>
          </w:p>
        </w:tc>
        <w:tc>
          <w:tcPr>
            <w:tcW w:w="1200" w:type="dxa"/>
            <w:shd w:val="clear" w:color="auto" w:fill="C6EFCE"/>
            <w:noWrap/>
          </w:tcPr>
          <w:p w14:paraId="0F803AD4" w14:textId="77777777" w:rsidR="00553430" w:rsidRDefault="00212577">
            <w:pPr>
              <w:pStyle w:val="P68B1DB1-Normal66"/>
              <w:spacing w:after="200" w:line="276" w:lineRule="auto"/>
              <w:jc w:val="center"/>
              <w:rPr>
                <w:noProof/>
              </w:rPr>
            </w:pPr>
            <w:r>
              <w:rPr>
                <w:noProof/>
              </w:rPr>
              <w:t>C6.1. R4</w:t>
            </w:r>
          </w:p>
        </w:tc>
        <w:tc>
          <w:tcPr>
            <w:tcW w:w="1080" w:type="dxa"/>
            <w:shd w:val="clear" w:color="auto" w:fill="C6EFCE"/>
            <w:noWrap/>
          </w:tcPr>
          <w:p w14:paraId="455D7DD4" w14:textId="77777777" w:rsidR="00553430" w:rsidRDefault="00212577">
            <w:pPr>
              <w:pStyle w:val="P68B1DB1-Normal66"/>
              <w:spacing w:after="200" w:line="276" w:lineRule="auto"/>
              <w:jc w:val="center"/>
              <w:rPr>
                <w:noProof/>
              </w:rPr>
            </w:pPr>
            <w:r>
              <w:rPr>
                <w:noProof/>
              </w:rPr>
              <w:t>M</w:t>
            </w:r>
          </w:p>
        </w:tc>
        <w:tc>
          <w:tcPr>
            <w:tcW w:w="1786" w:type="dxa"/>
            <w:shd w:val="clear" w:color="auto" w:fill="C6EFCE"/>
            <w:noWrap/>
          </w:tcPr>
          <w:p w14:paraId="2EB10B4D" w14:textId="77777777" w:rsidR="00553430" w:rsidRDefault="00212577">
            <w:pPr>
              <w:pStyle w:val="P68B1DB1-Normal66"/>
              <w:spacing w:after="200" w:line="276" w:lineRule="auto"/>
              <w:rPr>
                <w:noProof/>
              </w:rPr>
            </w:pPr>
            <w:r>
              <w:rPr>
                <w:noProof/>
              </w:rPr>
              <w:t xml:space="preserve">Intégration des données sismiques </w:t>
            </w:r>
          </w:p>
        </w:tc>
        <w:tc>
          <w:tcPr>
            <w:tcW w:w="2288" w:type="dxa"/>
            <w:shd w:val="clear" w:color="auto" w:fill="C6EFCE"/>
            <w:noWrap/>
          </w:tcPr>
          <w:p w14:paraId="590B6848" w14:textId="77777777" w:rsidR="00553430" w:rsidRDefault="00212577">
            <w:pPr>
              <w:pStyle w:val="P68B1DB1-Normal66"/>
              <w:spacing w:after="200" w:line="276" w:lineRule="auto"/>
              <w:rPr>
                <w:noProof/>
              </w:rPr>
            </w:pPr>
            <w:r>
              <w:rPr>
                <w:noProof/>
              </w:rPr>
              <w:t>Données sismiques intégrées dans des bases d'experts pour les plans d'aménagement du territoire des collectivités locales</w:t>
            </w:r>
          </w:p>
        </w:tc>
        <w:tc>
          <w:tcPr>
            <w:tcW w:w="1067" w:type="dxa"/>
            <w:shd w:val="clear" w:color="auto" w:fill="C6EFCE"/>
            <w:noWrap/>
          </w:tcPr>
          <w:p w14:paraId="25AC6DCC" w14:textId="77777777" w:rsidR="00553430" w:rsidRDefault="00553430">
            <w:pPr>
              <w:spacing w:after="200" w:line="276" w:lineRule="auto"/>
              <w:jc w:val="center"/>
              <w:rPr>
                <w:rFonts w:ascii="Times New Roman" w:eastAsia="Calibri" w:hAnsi="Times New Roman" w:cs="Times New Roman"/>
                <w:noProof/>
                <w:sz w:val="20"/>
                <w:szCs w:val="20"/>
              </w:rPr>
            </w:pPr>
          </w:p>
        </w:tc>
        <w:tc>
          <w:tcPr>
            <w:tcW w:w="990" w:type="dxa"/>
            <w:shd w:val="clear" w:color="auto" w:fill="C6EFCE"/>
            <w:noWrap/>
          </w:tcPr>
          <w:p w14:paraId="62FCE434" w14:textId="77777777" w:rsidR="00553430" w:rsidRDefault="00553430">
            <w:pPr>
              <w:spacing w:after="200" w:line="276" w:lineRule="auto"/>
              <w:jc w:val="center"/>
              <w:rPr>
                <w:rFonts w:ascii="Times New Roman" w:eastAsia="Calibri" w:hAnsi="Times New Roman" w:cs="Times New Roman"/>
                <w:noProof/>
                <w:sz w:val="20"/>
                <w:szCs w:val="20"/>
              </w:rPr>
            </w:pPr>
          </w:p>
        </w:tc>
        <w:tc>
          <w:tcPr>
            <w:tcW w:w="1073" w:type="dxa"/>
            <w:shd w:val="clear" w:color="auto" w:fill="C6EFCE"/>
            <w:noWrap/>
          </w:tcPr>
          <w:p w14:paraId="1ACB8878" w14:textId="77777777" w:rsidR="00553430" w:rsidRDefault="00553430">
            <w:pPr>
              <w:spacing w:after="200" w:line="276" w:lineRule="auto"/>
              <w:jc w:val="center"/>
              <w:rPr>
                <w:rFonts w:ascii="Times New Roman" w:eastAsia="Calibri" w:hAnsi="Times New Roman" w:cs="Times New Roman"/>
                <w:noProof/>
                <w:sz w:val="20"/>
                <w:szCs w:val="20"/>
              </w:rPr>
            </w:pPr>
          </w:p>
        </w:tc>
        <w:tc>
          <w:tcPr>
            <w:tcW w:w="1053" w:type="dxa"/>
            <w:shd w:val="clear" w:color="auto" w:fill="C6EFCE"/>
            <w:noWrap/>
          </w:tcPr>
          <w:p w14:paraId="0D3F1473" w14:textId="77777777" w:rsidR="00553430" w:rsidRDefault="00212577">
            <w:pPr>
              <w:pStyle w:val="P68B1DB1-Normal66"/>
              <w:spacing w:after="200" w:line="276" w:lineRule="auto"/>
              <w:jc w:val="center"/>
              <w:rPr>
                <w:noProof/>
              </w:rPr>
            </w:pPr>
            <w:r>
              <w:rPr>
                <w:noProof/>
              </w:rPr>
              <w:t>T2</w:t>
            </w:r>
          </w:p>
        </w:tc>
        <w:tc>
          <w:tcPr>
            <w:tcW w:w="851" w:type="dxa"/>
            <w:shd w:val="clear" w:color="auto" w:fill="C6EFCE"/>
            <w:noWrap/>
          </w:tcPr>
          <w:p w14:paraId="480043BD" w14:textId="77777777" w:rsidR="00553430" w:rsidRDefault="00212577">
            <w:pPr>
              <w:pStyle w:val="P68B1DB1-Normal66"/>
              <w:spacing w:after="200" w:line="276" w:lineRule="auto"/>
              <w:jc w:val="center"/>
              <w:rPr>
                <w:noProof/>
              </w:rPr>
            </w:pPr>
            <w:r>
              <w:rPr>
                <w:noProof/>
              </w:rPr>
              <w:t>2025</w:t>
            </w:r>
          </w:p>
        </w:tc>
        <w:tc>
          <w:tcPr>
            <w:tcW w:w="3261" w:type="dxa"/>
            <w:shd w:val="clear" w:color="auto" w:fill="C6EFCE"/>
            <w:noWrap/>
          </w:tcPr>
          <w:p w14:paraId="4D3379D5" w14:textId="77777777" w:rsidR="00553430" w:rsidRDefault="00212577">
            <w:pPr>
              <w:pStyle w:val="P68B1DB1-Normal66"/>
              <w:spacing w:after="200" w:line="276" w:lineRule="auto"/>
              <w:rPr>
                <w:noProof/>
              </w:rPr>
            </w:pPr>
            <w:r>
              <w:rPr>
                <w:noProof/>
              </w:rPr>
              <w:t xml:space="preserve">Les données sismiques sont intégrées dans </w:t>
            </w:r>
            <w:r>
              <w:rPr>
                <w:noProof/>
              </w:rPr>
              <w:t>le système d'aménagement du territoire et appliquées à dix bases de données pilotes pour les plans d'aménagement du territoire des collectivités locales.</w:t>
            </w:r>
          </w:p>
        </w:tc>
      </w:tr>
      <w:tr w:rsidR="00553430" w14:paraId="5171F847" w14:textId="77777777" w:rsidTr="00262866">
        <w:trPr>
          <w:trHeight w:val="283"/>
          <w:jc w:val="center"/>
        </w:trPr>
        <w:tc>
          <w:tcPr>
            <w:tcW w:w="835" w:type="dxa"/>
            <w:shd w:val="clear" w:color="auto" w:fill="C6EFCE"/>
            <w:noWrap/>
          </w:tcPr>
          <w:p w14:paraId="0660F07B" w14:textId="77777777" w:rsidR="00553430" w:rsidRDefault="00212577">
            <w:pPr>
              <w:pStyle w:val="P68B1DB1-Normal66"/>
              <w:spacing w:after="200" w:line="276" w:lineRule="auto"/>
              <w:jc w:val="center"/>
              <w:rPr>
                <w:noProof/>
              </w:rPr>
            </w:pPr>
            <w:r>
              <w:rPr>
                <w:noProof/>
              </w:rPr>
              <w:t>366</w:t>
            </w:r>
          </w:p>
        </w:tc>
        <w:tc>
          <w:tcPr>
            <w:tcW w:w="1200" w:type="dxa"/>
            <w:shd w:val="clear" w:color="auto" w:fill="C6EFCE"/>
            <w:noWrap/>
          </w:tcPr>
          <w:p w14:paraId="4FF662F1" w14:textId="77777777" w:rsidR="00553430" w:rsidRDefault="00212577">
            <w:pPr>
              <w:pStyle w:val="P68B1DB1-Normal66"/>
              <w:spacing w:after="200" w:line="276" w:lineRule="auto"/>
              <w:jc w:val="center"/>
              <w:rPr>
                <w:noProof/>
              </w:rPr>
            </w:pPr>
            <w:r>
              <w:rPr>
                <w:noProof/>
              </w:rPr>
              <w:t>C6.1. R4-I1</w:t>
            </w:r>
          </w:p>
        </w:tc>
        <w:tc>
          <w:tcPr>
            <w:tcW w:w="1080" w:type="dxa"/>
            <w:shd w:val="clear" w:color="auto" w:fill="C6EFCE"/>
            <w:noWrap/>
          </w:tcPr>
          <w:p w14:paraId="3A3EA399" w14:textId="77777777" w:rsidR="00553430" w:rsidRDefault="00212577">
            <w:pPr>
              <w:pStyle w:val="P68B1DB1-Normal66"/>
              <w:spacing w:after="200" w:line="276" w:lineRule="auto"/>
              <w:jc w:val="center"/>
              <w:rPr>
                <w:noProof/>
              </w:rPr>
            </w:pPr>
            <w:r>
              <w:rPr>
                <w:noProof/>
              </w:rPr>
              <w:t>T</w:t>
            </w:r>
          </w:p>
        </w:tc>
        <w:tc>
          <w:tcPr>
            <w:tcW w:w="1786" w:type="dxa"/>
            <w:shd w:val="clear" w:color="auto" w:fill="C6EFCE"/>
            <w:noWrap/>
          </w:tcPr>
          <w:p w14:paraId="1016FB94" w14:textId="77777777" w:rsidR="00553430" w:rsidRDefault="00212577">
            <w:pPr>
              <w:pStyle w:val="P68B1DB1-Normal66"/>
              <w:spacing w:after="200" w:line="276" w:lineRule="auto"/>
              <w:rPr>
                <w:noProof/>
              </w:rPr>
            </w:pPr>
            <w:r>
              <w:rPr>
                <w:noProof/>
              </w:rPr>
              <w:t xml:space="preserve">Équipements sismiques achetés </w:t>
            </w:r>
          </w:p>
        </w:tc>
        <w:tc>
          <w:tcPr>
            <w:tcW w:w="2288" w:type="dxa"/>
            <w:shd w:val="clear" w:color="auto" w:fill="C6EFCE"/>
            <w:noWrap/>
          </w:tcPr>
          <w:p w14:paraId="5CBE0BD2" w14:textId="77777777" w:rsidR="00553430" w:rsidRDefault="00212577">
            <w:pPr>
              <w:pStyle w:val="P68B1DB1-Normal66"/>
              <w:spacing w:after="200" w:line="276" w:lineRule="auto"/>
              <w:rPr>
                <w:noProof/>
              </w:rPr>
            </w:pPr>
            <w:r>
              <w:rPr>
                <w:noProof/>
              </w:rPr>
              <w:t xml:space="preserve"> </w:t>
            </w:r>
          </w:p>
        </w:tc>
        <w:tc>
          <w:tcPr>
            <w:tcW w:w="1067" w:type="dxa"/>
            <w:shd w:val="clear" w:color="auto" w:fill="C6EFCE"/>
            <w:noWrap/>
          </w:tcPr>
          <w:p w14:paraId="01D853D4" w14:textId="77777777" w:rsidR="00553430" w:rsidRDefault="00212577">
            <w:pPr>
              <w:pStyle w:val="P68B1DB1-Normal66"/>
              <w:spacing w:after="200" w:line="276" w:lineRule="auto"/>
              <w:jc w:val="center"/>
              <w:rPr>
                <w:noProof/>
              </w:rPr>
            </w:pPr>
            <w:r>
              <w:rPr>
                <w:noProof/>
              </w:rPr>
              <w:t>Numéro</w:t>
            </w:r>
          </w:p>
        </w:tc>
        <w:tc>
          <w:tcPr>
            <w:tcW w:w="990" w:type="dxa"/>
            <w:shd w:val="clear" w:color="auto" w:fill="C6EFCE"/>
            <w:noWrap/>
          </w:tcPr>
          <w:p w14:paraId="6314AC01" w14:textId="77777777" w:rsidR="00553430" w:rsidRDefault="00212577">
            <w:pPr>
              <w:pStyle w:val="P68B1DB1-Normal66"/>
              <w:spacing w:after="200" w:line="276" w:lineRule="auto"/>
              <w:jc w:val="center"/>
              <w:rPr>
                <w:noProof/>
              </w:rPr>
            </w:pPr>
            <w:r>
              <w:rPr>
                <w:noProof/>
              </w:rPr>
              <w:t>0</w:t>
            </w:r>
          </w:p>
        </w:tc>
        <w:tc>
          <w:tcPr>
            <w:tcW w:w="1073" w:type="dxa"/>
            <w:shd w:val="clear" w:color="auto" w:fill="C6EFCE"/>
            <w:noWrap/>
          </w:tcPr>
          <w:p w14:paraId="2B1780DA" w14:textId="77777777" w:rsidR="00553430" w:rsidRDefault="00212577">
            <w:pPr>
              <w:pStyle w:val="P68B1DB1-Normal66"/>
              <w:spacing w:after="200" w:line="276" w:lineRule="auto"/>
              <w:jc w:val="center"/>
              <w:rPr>
                <w:noProof/>
              </w:rPr>
            </w:pPr>
            <w:r>
              <w:rPr>
                <w:noProof/>
              </w:rPr>
              <w:t>300</w:t>
            </w:r>
          </w:p>
        </w:tc>
        <w:tc>
          <w:tcPr>
            <w:tcW w:w="1053" w:type="dxa"/>
            <w:shd w:val="clear" w:color="auto" w:fill="C6EFCE"/>
            <w:noWrap/>
          </w:tcPr>
          <w:p w14:paraId="3FB6F78C" w14:textId="77777777" w:rsidR="00553430" w:rsidRDefault="00212577">
            <w:pPr>
              <w:pStyle w:val="P68B1DB1-Normal66"/>
              <w:spacing w:after="200" w:line="276" w:lineRule="auto"/>
              <w:jc w:val="center"/>
              <w:rPr>
                <w:noProof/>
              </w:rPr>
            </w:pPr>
            <w:r>
              <w:rPr>
                <w:noProof/>
              </w:rPr>
              <w:t>T4</w:t>
            </w:r>
          </w:p>
        </w:tc>
        <w:tc>
          <w:tcPr>
            <w:tcW w:w="851" w:type="dxa"/>
            <w:shd w:val="clear" w:color="auto" w:fill="C6EFCE"/>
            <w:noWrap/>
          </w:tcPr>
          <w:p w14:paraId="69439338" w14:textId="77777777" w:rsidR="00553430" w:rsidRDefault="00212577">
            <w:pPr>
              <w:pStyle w:val="P68B1DB1-Normal66"/>
              <w:spacing w:after="200" w:line="276" w:lineRule="auto"/>
              <w:jc w:val="center"/>
              <w:rPr>
                <w:noProof/>
              </w:rPr>
            </w:pPr>
            <w:r>
              <w:rPr>
                <w:noProof/>
              </w:rPr>
              <w:t>2022</w:t>
            </w:r>
          </w:p>
        </w:tc>
        <w:tc>
          <w:tcPr>
            <w:tcW w:w="3261" w:type="dxa"/>
            <w:shd w:val="clear" w:color="auto" w:fill="C6EFCE"/>
            <w:noWrap/>
          </w:tcPr>
          <w:p w14:paraId="6073B19F" w14:textId="667B9967" w:rsidR="00553430" w:rsidRDefault="00212577">
            <w:pPr>
              <w:pStyle w:val="P68B1DB1-Normal66"/>
              <w:spacing w:after="200" w:line="276" w:lineRule="auto"/>
              <w:rPr>
                <w:noProof/>
              </w:rPr>
            </w:pPr>
            <w:r>
              <w:rPr>
                <w:noProof/>
              </w:rPr>
              <w:t>L’investissement renforce les</w:t>
            </w:r>
            <w:r>
              <w:rPr>
                <w:noProof/>
              </w:rPr>
              <w:t xml:space="preserve"> capacités organisationnelles et d’infrastructure de l’enquête sismologique de la République de Croatie par l’achat d’au moins 300 unités d’équipement afin d’améliorer la qualité de la collecte, du traitement et de l’application des données sismiques néces</w:t>
            </w:r>
            <w:r>
              <w:rPr>
                <w:noProof/>
              </w:rPr>
              <w:t xml:space="preserve">saires au processus de rénovation des bâtiments, à la planification du développement de nouvelles installations et à la surveillance des infrastructures publiques, ainsi que de renforcer la résilience de la Croatie aux tremblements de terre et aux risques </w:t>
            </w:r>
            <w:r>
              <w:rPr>
                <w:noProof/>
              </w:rPr>
              <w:t>associés.</w:t>
            </w:r>
          </w:p>
        </w:tc>
      </w:tr>
      <w:tr w:rsidR="00553430" w14:paraId="1E78C326" w14:textId="77777777" w:rsidTr="00262866">
        <w:trPr>
          <w:trHeight w:val="283"/>
          <w:jc w:val="center"/>
        </w:trPr>
        <w:tc>
          <w:tcPr>
            <w:tcW w:w="835" w:type="dxa"/>
            <w:shd w:val="clear" w:color="auto" w:fill="C6EFCE"/>
            <w:noWrap/>
          </w:tcPr>
          <w:p w14:paraId="1C4E9BA1" w14:textId="77777777" w:rsidR="00553430" w:rsidRDefault="00212577">
            <w:pPr>
              <w:pStyle w:val="P68B1DB1-Normal66"/>
              <w:spacing w:after="200" w:line="276" w:lineRule="auto"/>
              <w:jc w:val="center"/>
              <w:rPr>
                <w:noProof/>
              </w:rPr>
            </w:pPr>
            <w:r>
              <w:rPr>
                <w:noProof/>
              </w:rPr>
              <w:t>367</w:t>
            </w:r>
          </w:p>
        </w:tc>
        <w:tc>
          <w:tcPr>
            <w:tcW w:w="1200" w:type="dxa"/>
            <w:shd w:val="clear" w:color="auto" w:fill="C6EFCE"/>
            <w:noWrap/>
          </w:tcPr>
          <w:p w14:paraId="0EB52F2E" w14:textId="77777777" w:rsidR="00553430" w:rsidRDefault="00212577">
            <w:pPr>
              <w:pStyle w:val="P68B1DB1-Normal66"/>
              <w:spacing w:after="200" w:line="276" w:lineRule="auto"/>
              <w:jc w:val="center"/>
              <w:rPr>
                <w:noProof/>
              </w:rPr>
            </w:pPr>
            <w:r>
              <w:rPr>
                <w:noProof/>
              </w:rPr>
              <w:t>C6.1. R4-I1</w:t>
            </w:r>
          </w:p>
        </w:tc>
        <w:tc>
          <w:tcPr>
            <w:tcW w:w="1080" w:type="dxa"/>
            <w:shd w:val="clear" w:color="auto" w:fill="C6EFCE"/>
            <w:noWrap/>
          </w:tcPr>
          <w:p w14:paraId="57DFBA52" w14:textId="77777777" w:rsidR="00553430" w:rsidRDefault="00212577">
            <w:pPr>
              <w:pStyle w:val="P68B1DB1-Normal110"/>
              <w:spacing w:after="200" w:line="276" w:lineRule="auto"/>
              <w:jc w:val="center"/>
              <w:rPr>
                <w:noProof/>
              </w:rPr>
            </w:pPr>
            <w:r>
              <w:rPr>
                <w:noProof/>
              </w:rPr>
              <w:t>M</w:t>
            </w:r>
          </w:p>
        </w:tc>
        <w:tc>
          <w:tcPr>
            <w:tcW w:w="1786" w:type="dxa"/>
            <w:shd w:val="clear" w:color="auto" w:fill="C6EFCE"/>
            <w:noWrap/>
          </w:tcPr>
          <w:p w14:paraId="3CFBC7FC" w14:textId="77777777" w:rsidR="00553430" w:rsidRDefault="00212577">
            <w:pPr>
              <w:pStyle w:val="P68B1DB1-Normal66"/>
              <w:spacing w:after="200" w:line="276" w:lineRule="auto"/>
              <w:rPr>
                <w:noProof/>
                <w:u w:val="single"/>
              </w:rPr>
            </w:pPr>
            <w:r>
              <w:rPr>
                <w:noProof/>
              </w:rPr>
              <w:t>Formation pour les employés de l'Enquête sismologique</w:t>
            </w:r>
            <w:r>
              <w:rPr>
                <w:noProof/>
                <w:u w:val="single"/>
              </w:rPr>
              <w:t xml:space="preserve"> </w:t>
            </w:r>
          </w:p>
        </w:tc>
        <w:tc>
          <w:tcPr>
            <w:tcW w:w="2288" w:type="dxa"/>
            <w:shd w:val="clear" w:color="auto" w:fill="C6EFCE"/>
            <w:noWrap/>
          </w:tcPr>
          <w:p w14:paraId="2233F37A" w14:textId="77777777" w:rsidR="00553430" w:rsidRDefault="00212577">
            <w:pPr>
              <w:pStyle w:val="P68B1DB1-Normal66"/>
              <w:spacing w:after="200" w:line="276" w:lineRule="auto"/>
              <w:rPr>
                <w:noProof/>
              </w:rPr>
            </w:pPr>
            <w:r>
              <w:rPr>
                <w:noProof/>
              </w:rPr>
              <w:t> Formation dispensée</w:t>
            </w:r>
          </w:p>
        </w:tc>
        <w:tc>
          <w:tcPr>
            <w:tcW w:w="1067" w:type="dxa"/>
            <w:shd w:val="clear" w:color="auto" w:fill="C6EFCE"/>
            <w:noWrap/>
          </w:tcPr>
          <w:p w14:paraId="3E105C7F" w14:textId="77777777" w:rsidR="00553430" w:rsidRDefault="00553430">
            <w:pPr>
              <w:spacing w:after="200" w:line="276" w:lineRule="auto"/>
              <w:jc w:val="center"/>
              <w:rPr>
                <w:rFonts w:ascii="Times New Roman" w:eastAsia="Calibri" w:hAnsi="Times New Roman" w:cs="Times New Roman"/>
                <w:noProof/>
                <w:sz w:val="20"/>
                <w:szCs w:val="20"/>
              </w:rPr>
            </w:pPr>
          </w:p>
        </w:tc>
        <w:tc>
          <w:tcPr>
            <w:tcW w:w="990" w:type="dxa"/>
            <w:shd w:val="clear" w:color="auto" w:fill="C6EFCE"/>
            <w:noWrap/>
          </w:tcPr>
          <w:p w14:paraId="14B9516D" w14:textId="77777777" w:rsidR="00553430" w:rsidRDefault="00553430">
            <w:pPr>
              <w:spacing w:after="200" w:line="276" w:lineRule="auto"/>
              <w:jc w:val="center"/>
              <w:rPr>
                <w:rFonts w:ascii="Times New Roman" w:eastAsia="Calibri" w:hAnsi="Times New Roman" w:cs="Times New Roman"/>
                <w:noProof/>
                <w:sz w:val="20"/>
                <w:szCs w:val="20"/>
              </w:rPr>
            </w:pPr>
          </w:p>
        </w:tc>
        <w:tc>
          <w:tcPr>
            <w:tcW w:w="1073" w:type="dxa"/>
            <w:shd w:val="clear" w:color="auto" w:fill="C6EFCE"/>
            <w:noWrap/>
          </w:tcPr>
          <w:p w14:paraId="24757B8C" w14:textId="77777777" w:rsidR="00553430" w:rsidRDefault="00553430">
            <w:pPr>
              <w:spacing w:after="200" w:line="276" w:lineRule="auto"/>
              <w:jc w:val="center"/>
              <w:rPr>
                <w:rFonts w:ascii="Times New Roman" w:eastAsia="Calibri" w:hAnsi="Times New Roman" w:cs="Times New Roman"/>
                <w:noProof/>
                <w:sz w:val="20"/>
                <w:szCs w:val="20"/>
              </w:rPr>
            </w:pPr>
          </w:p>
        </w:tc>
        <w:tc>
          <w:tcPr>
            <w:tcW w:w="1053" w:type="dxa"/>
            <w:shd w:val="clear" w:color="auto" w:fill="C6EFCE"/>
            <w:noWrap/>
          </w:tcPr>
          <w:p w14:paraId="4A115F22" w14:textId="77777777" w:rsidR="00553430" w:rsidRDefault="00212577">
            <w:pPr>
              <w:pStyle w:val="P68B1DB1-Normal66"/>
              <w:spacing w:after="200" w:line="276" w:lineRule="auto"/>
              <w:jc w:val="center"/>
              <w:rPr>
                <w:noProof/>
              </w:rPr>
            </w:pPr>
            <w:r>
              <w:rPr>
                <w:noProof/>
              </w:rPr>
              <w:t>T2</w:t>
            </w:r>
          </w:p>
        </w:tc>
        <w:tc>
          <w:tcPr>
            <w:tcW w:w="851" w:type="dxa"/>
            <w:shd w:val="clear" w:color="auto" w:fill="C6EFCE"/>
            <w:noWrap/>
          </w:tcPr>
          <w:p w14:paraId="177B7AD0" w14:textId="77777777" w:rsidR="00553430" w:rsidRDefault="00212577">
            <w:pPr>
              <w:pStyle w:val="P68B1DB1-Normal66"/>
              <w:spacing w:after="200" w:line="276" w:lineRule="auto"/>
              <w:jc w:val="center"/>
              <w:rPr>
                <w:noProof/>
              </w:rPr>
            </w:pPr>
            <w:r>
              <w:rPr>
                <w:noProof/>
              </w:rPr>
              <w:t>2026</w:t>
            </w:r>
          </w:p>
        </w:tc>
        <w:tc>
          <w:tcPr>
            <w:tcW w:w="3261" w:type="dxa"/>
            <w:shd w:val="clear" w:color="auto" w:fill="C6EFCE"/>
            <w:noWrap/>
          </w:tcPr>
          <w:p w14:paraId="772340C5" w14:textId="77777777" w:rsidR="00553430" w:rsidRDefault="00212577">
            <w:pPr>
              <w:pStyle w:val="P68B1DB1-Normal66"/>
              <w:spacing w:after="200" w:line="276" w:lineRule="auto"/>
              <w:rPr>
                <w:noProof/>
              </w:rPr>
            </w:pPr>
            <w:r>
              <w:rPr>
                <w:noProof/>
              </w:rPr>
              <w:t xml:space="preserve">Une formation sur l'utilisation des équipements et le traitement des données est dispensée aux employés de l'enquête sismologique de la </w:t>
            </w:r>
            <w:r>
              <w:rPr>
                <w:noProof/>
              </w:rPr>
              <w:t>République de Croatie.</w:t>
            </w:r>
          </w:p>
        </w:tc>
      </w:tr>
      <w:tr w:rsidR="00553430" w14:paraId="4F80438E" w14:textId="77777777" w:rsidTr="00262866">
        <w:trPr>
          <w:trHeight w:val="283"/>
          <w:jc w:val="center"/>
        </w:trPr>
        <w:tc>
          <w:tcPr>
            <w:tcW w:w="835" w:type="dxa"/>
            <w:shd w:val="clear" w:color="auto" w:fill="C6EFCE"/>
            <w:noWrap/>
          </w:tcPr>
          <w:p w14:paraId="19E34CC4" w14:textId="77777777" w:rsidR="00553430" w:rsidRDefault="00212577">
            <w:pPr>
              <w:pStyle w:val="P68B1DB1-Normal66"/>
              <w:spacing w:after="200" w:line="276" w:lineRule="auto"/>
              <w:jc w:val="center"/>
              <w:rPr>
                <w:noProof/>
              </w:rPr>
            </w:pPr>
            <w:r>
              <w:rPr>
                <w:noProof/>
              </w:rPr>
              <w:t>368</w:t>
            </w:r>
          </w:p>
        </w:tc>
        <w:tc>
          <w:tcPr>
            <w:tcW w:w="1200" w:type="dxa"/>
            <w:shd w:val="clear" w:color="auto" w:fill="C6EFCE"/>
            <w:noWrap/>
          </w:tcPr>
          <w:p w14:paraId="4004CB60" w14:textId="77777777" w:rsidR="00553430" w:rsidRDefault="00212577">
            <w:pPr>
              <w:pStyle w:val="P68B1DB1-Normal66"/>
              <w:spacing w:after="200" w:line="276" w:lineRule="auto"/>
              <w:jc w:val="center"/>
              <w:rPr>
                <w:noProof/>
              </w:rPr>
            </w:pPr>
            <w:r>
              <w:rPr>
                <w:noProof/>
              </w:rPr>
              <w:t>C6.1. R5</w:t>
            </w:r>
          </w:p>
        </w:tc>
        <w:tc>
          <w:tcPr>
            <w:tcW w:w="1080" w:type="dxa"/>
            <w:shd w:val="clear" w:color="auto" w:fill="C6EFCE"/>
            <w:noWrap/>
          </w:tcPr>
          <w:p w14:paraId="12FB095B" w14:textId="77777777" w:rsidR="00553430" w:rsidRDefault="00212577">
            <w:pPr>
              <w:pStyle w:val="P68B1DB1-Normal66"/>
              <w:spacing w:after="200" w:line="276" w:lineRule="auto"/>
              <w:jc w:val="center"/>
              <w:rPr>
                <w:noProof/>
              </w:rPr>
            </w:pPr>
            <w:r>
              <w:rPr>
                <w:noProof/>
              </w:rPr>
              <w:t>M</w:t>
            </w:r>
          </w:p>
        </w:tc>
        <w:tc>
          <w:tcPr>
            <w:tcW w:w="1786" w:type="dxa"/>
            <w:shd w:val="clear" w:color="auto" w:fill="C6EFCE"/>
            <w:noWrap/>
          </w:tcPr>
          <w:p w14:paraId="43A2959D" w14:textId="77777777" w:rsidR="00553430" w:rsidRDefault="00212577">
            <w:pPr>
              <w:pStyle w:val="P68B1DB1-Normal66"/>
              <w:spacing w:after="200" w:line="276" w:lineRule="auto"/>
              <w:rPr>
                <w:noProof/>
              </w:rPr>
            </w:pPr>
            <w:bookmarkStart w:id="9" w:name="_Hlk209172854"/>
            <w:r>
              <w:rPr>
                <w:noProof/>
              </w:rPr>
              <w:t>Adoption du programme de développement de la gestion circulaire de l’espace et des bâtiments pour la période 2021-2030 et du programme de développement des infrastructures vertes urbaines pour la période 2021-2030</w:t>
            </w:r>
            <w:bookmarkEnd w:id="9"/>
          </w:p>
        </w:tc>
        <w:tc>
          <w:tcPr>
            <w:tcW w:w="2288" w:type="dxa"/>
            <w:shd w:val="clear" w:color="auto" w:fill="C6EFCE"/>
            <w:noWrap/>
          </w:tcPr>
          <w:p w14:paraId="4F5292A8" w14:textId="77777777" w:rsidR="00553430" w:rsidRDefault="00212577">
            <w:pPr>
              <w:pStyle w:val="P68B1DB1-Normal66"/>
              <w:spacing w:after="200" w:line="276" w:lineRule="auto"/>
              <w:rPr>
                <w:noProof/>
              </w:rPr>
            </w:pPr>
            <w:r>
              <w:rPr>
                <w:noProof/>
              </w:rPr>
              <w:t xml:space="preserve">Publication sur le site officiel du ministère de l’aménagement du territoire, de la construction et des biens de l’État </w:t>
            </w:r>
          </w:p>
        </w:tc>
        <w:tc>
          <w:tcPr>
            <w:tcW w:w="1067" w:type="dxa"/>
            <w:shd w:val="clear" w:color="auto" w:fill="C6EFCE"/>
            <w:noWrap/>
          </w:tcPr>
          <w:p w14:paraId="2DD12314" w14:textId="77777777" w:rsidR="00553430" w:rsidRDefault="00212577">
            <w:pPr>
              <w:pStyle w:val="P68B1DB1-Normal66"/>
              <w:spacing w:after="200" w:line="276" w:lineRule="auto"/>
              <w:jc w:val="center"/>
              <w:rPr>
                <w:noProof/>
              </w:rPr>
            </w:pPr>
            <w:r>
              <w:rPr>
                <w:noProof/>
              </w:rPr>
              <w:t> </w:t>
            </w:r>
          </w:p>
        </w:tc>
        <w:tc>
          <w:tcPr>
            <w:tcW w:w="990" w:type="dxa"/>
            <w:shd w:val="clear" w:color="auto" w:fill="C6EFCE"/>
            <w:noWrap/>
          </w:tcPr>
          <w:p w14:paraId="4B3B8D42" w14:textId="77777777" w:rsidR="00553430" w:rsidRDefault="00212577">
            <w:pPr>
              <w:pStyle w:val="P68B1DB1-Normal66"/>
              <w:spacing w:after="200" w:line="276" w:lineRule="auto"/>
              <w:jc w:val="center"/>
              <w:rPr>
                <w:noProof/>
              </w:rPr>
            </w:pPr>
            <w:r>
              <w:rPr>
                <w:noProof/>
              </w:rPr>
              <w:t> </w:t>
            </w:r>
          </w:p>
        </w:tc>
        <w:tc>
          <w:tcPr>
            <w:tcW w:w="1073" w:type="dxa"/>
            <w:shd w:val="clear" w:color="auto" w:fill="C6EFCE"/>
            <w:noWrap/>
          </w:tcPr>
          <w:p w14:paraId="46A6F265" w14:textId="77777777" w:rsidR="00553430" w:rsidRDefault="00212577">
            <w:pPr>
              <w:pStyle w:val="P68B1DB1-Normal66"/>
              <w:spacing w:after="200" w:line="276" w:lineRule="auto"/>
              <w:jc w:val="center"/>
              <w:rPr>
                <w:noProof/>
              </w:rPr>
            </w:pPr>
            <w:r>
              <w:rPr>
                <w:noProof/>
              </w:rPr>
              <w:t> </w:t>
            </w:r>
          </w:p>
        </w:tc>
        <w:tc>
          <w:tcPr>
            <w:tcW w:w="1053" w:type="dxa"/>
            <w:shd w:val="clear" w:color="auto" w:fill="C6EFCE"/>
            <w:noWrap/>
          </w:tcPr>
          <w:p w14:paraId="0DADE93B" w14:textId="77777777" w:rsidR="00553430" w:rsidRDefault="00212577">
            <w:pPr>
              <w:pStyle w:val="P68B1DB1-Normal66"/>
              <w:spacing w:after="200" w:line="276" w:lineRule="auto"/>
              <w:jc w:val="center"/>
              <w:rPr>
                <w:noProof/>
              </w:rPr>
            </w:pPr>
            <w:r>
              <w:rPr>
                <w:noProof/>
              </w:rPr>
              <w:t>T4</w:t>
            </w:r>
          </w:p>
        </w:tc>
        <w:tc>
          <w:tcPr>
            <w:tcW w:w="851" w:type="dxa"/>
            <w:shd w:val="clear" w:color="auto" w:fill="C6EFCE"/>
            <w:noWrap/>
          </w:tcPr>
          <w:p w14:paraId="63D93C6C" w14:textId="77777777" w:rsidR="00553430" w:rsidRDefault="00212577">
            <w:pPr>
              <w:pStyle w:val="P68B1DB1-Normal66"/>
              <w:spacing w:after="200" w:line="276" w:lineRule="auto"/>
              <w:jc w:val="center"/>
              <w:rPr>
                <w:noProof/>
              </w:rPr>
            </w:pPr>
            <w:r>
              <w:rPr>
                <w:noProof/>
              </w:rPr>
              <w:t>2021</w:t>
            </w:r>
          </w:p>
        </w:tc>
        <w:tc>
          <w:tcPr>
            <w:tcW w:w="3261" w:type="dxa"/>
            <w:shd w:val="clear" w:color="auto" w:fill="C6EFCE"/>
            <w:noWrap/>
          </w:tcPr>
          <w:p w14:paraId="1FEFD9B9" w14:textId="77777777" w:rsidR="00553430" w:rsidRDefault="00212577">
            <w:pPr>
              <w:pStyle w:val="P68B1DB1-Normal66"/>
              <w:spacing w:after="200" w:line="276" w:lineRule="auto"/>
              <w:rPr>
                <w:noProof/>
              </w:rPr>
            </w:pPr>
            <w:r>
              <w:rPr>
                <w:noProof/>
              </w:rPr>
              <w:t>Le programme de développement de la gestion circulaire de l’espace et des bâtiments pour la période 2021-2030, qui doit ê</w:t>
            </w:r>
            <w:r>
              <w:rPr>
                <w:noProof/>
              </w:rPr>
              <w:t>tre adopté par le gouvernement, définit des objectifs et des mesures pour la gestion circulaire de l’espace et des bâtiments qui encouragent, entre autres, les mesures de circularité dans la planification des nouveaux bâtiments, la réutilisation des bâtime</w:t>
            </w:r>
            <w:r>
              <w:rPr>
                <w:noProof/>
              </w:rPr>
              <w:t>nts abandonnés et l’extension de la durabilité des espaces et des bâtiments existants, l’augmentation de l’efficacité énergétique et de l’utilisation des ressources des bâtiments et l’utilisation de sources d’énergie renouvelables, la réutilisation des pro</w:t>
            </w:r>
            <w:r>
              <w:rPr>
                <w:noProof/>
              </w:rPr>
              <w:t>duits et matériaux de construction, aux fins d’une utilisation efficace des ressources spatiales et de la réduction de la production de déchets de bâtiments conformément au plan de gestion des déchets actualisé, en tant que base pour l’élaboration de strat</w:t>
            </w:r>
            <w:r>
              <w:rPr>
                <w:noProof/>
              </w:rPr>
              <w:t>égies de rénovation urbaine verte;</w:t>
            </w:r>
            <w:r>
              <w:rPr>
                <w:noProof/>
              </w:rPr>
              <w:br/>
            </w:r>
            <w:r>
              <w:rPr>
                <w:noProof/>
              </w:rPr>
              <w:br/>
              <w:t>Le programme de développement d’infrastructures vertes urbaines pour la période 2021-2030, qui doit être adopté par le gouvernement, définit les objectifs et les mesures qui contribuent à l’atténuation du changement clim</w:t>
            </w:r>
            <w:r>
              <w:rPr>
                <w:noProof/>
              </w:rPr>
              <w:t>atique et à la réduction des effets des îlots de chaleur, à la réduction des émissions de gaz à effet de serre, à l’amélioration de la qualité de vie et du logement dans les villes, à l’amélioration de la santé humaine, à l’amélioration de la qualité des z</w:t>
            </w:r>
            <w:r>
              <w:rPr>
                <w:noProof/>
              </w:rPr>
              <w:t>ones urbaines par la transformation des terres sous-utilisées et abandonnées, à l’encouragement des investissements verts, au soutien à la restauration et à la conservation des espèces et des habitats au titre des directives «espèces» et «habitats», confor</w:t>
            </w:r>
            <w:r>
              <w:rPr>
                <w:noProof/>
              </w:rPr>
              <w:t>mément à la stratégie de l’UE en faveur de la biodiversité à l’horizon 2030, ainsi qu’à la création de nouveaux emplois et à la réalisation d’économies d’énergie, qui constitueront la base de l’élaboration de stratégies de rénovation urbaine verte.</w:t>
            </w:r>
          </w:p>
        </w:tc>
      </w:tr>
      <w:tr w:rsidR="00553430" w14:paraId="1702DF69" w14:textId="77777777" w:rsidTr="00262866">
        <w:trPr>
          <w:trHeight w:val="283"/>
          <w:jc w:val="center"/>
        </w:trPr>
        <w:tc>
          <w:tcPr>
            <w:tcW w:w="835" w:type="dxa"/>
            <w:shd w:val="clear" w:color="auto" w:fill="C6EFCE"/>
            <w:noWrap/>
          </w:tcPr>
          <w:p w14:paraId="06AC8504" w14:textId="77777777" w:rsidR="00553430" w:rsidRDefault="00212577">
            <w:pPr>
              <w:pStyle w:val="P68B1DB1-Normal66"/>
              <w:spacing w:after="200" w:line="276" w:lineRule="auto"/>
              <w:jc w:val="center"/>
              <w:rPr>
                <w:noProof/>
              </w:rPr>
            </w:pPr>
            <w:r>
              <w:rPr>
                <w:noProof/>
              </w:rPr>
              <w:t>369</w:t>
            </w:r>
          </w:p>
        </w:tc>
        <w:tc>
          <w:tcPr>
            <w:tcW w:w="1200" w:type="dxa"/>
            <w:shd w:val="clear" w:color="auto" w:fill="C6EFCE"/>
            <w:noWrap/>
          </w:tcPr>
          <w:p w14:paraId="2377A98B" w14:textId="77777777" w:rsidR="00553430" w:rsidRDefault="00212577">
            <w:pPr>
              <w:pStyle w:val="P68B1DB1-Normal66"/>
              <w:spacing w:after="200" w:line="276" w:lineRule="auto"/>
              <w:jc w:val="center"/>
              <w:rPr>
                <w:noProof/>
              </w:rPr>
            </w:pPr>
            <w:r>
              <w:rPr>
                <w:noProof/>
              </w:rPr>
              <w:t>C6.1. R5</w:t>
            </w:r>
          </w:p>
        </w:tc>
        <w:tc>
          <w:tcPr>
            <w:tcW w:w="1080" w:type="dxa"/>
            <w:shd w:val="clear" w:color="auto" w:fill="C6EFCE"/>
            <w:noWrap/>
          </w:tcPr>
          <w:p w14:paraId="40B01116" w14:textId="77777777" w:rsidR="00553430" w:rsidRDefault="00212577">
            <w:pPr>
              <w:pStyle w:val="P68B1DB1-Normal66"/>
              <w:spacing w:after="200" w:line="276" w:lineRule="auto"/>
              <w:jc w:val="center"/>
              <w:rPr>
                <w:noProof/>
              </w:rPr>
            </w:pPr>
            <w:r>
              <w:rPr>
                <w:noProof/>
              </w:rPr>
              <w:t>T</w:t>
            </w:r>
          </w:p>
        </w:tc>
        <w:tc>
          <w:tcPr>
            <w:tcW w:w="1786" w:type="dxa"/>
            <w:shd w:val="clear" w:color="auto" w:fill="C6EFCE"/>
            <w:noWrap/>
          </w:tcPr>
          <w:p w14:paraId="3D8C5FCB" w14:textId="77777777" w:rsidR="00553430" w:rsidRDefault="00212577">
            <w:pPr>
              <w:pStyle w:val="P68B1DB1-Normal66"/>
              <w:spacing w:after="200" w:line="276" w:lineRule="auto"/>
              <w:rPr>
                <w:noProof/>
              </w:rPr>
            </w:pPr>
            <w:r>
              <w:rPr>
                <w:noProof/>
              </w:rPr>
              <w:t xml:space="preserve">L'adoption de stratégies de rénovation urbaine verte </w:t>
            </w:r>
          </w:p>
        </w:tc>
        <w:tc>
          <w:tcPr>
            <w:tcW w:w="2288" w:type="dxa"/>
            <w:shd w:val="clear" w:color="auto" w:fill="C6EFCE"/>
            <w:noWrap/>
          </w:tcPr>
          <w:p w14:paraId="4D43D0AD" w14:textId="77777777" w:rsidR="00553430" w:rsidRDefault="00212577">
            <w:pPr>
              <w:pStyle w:val="P68B1DB1-Normal66"/>
              <w:spacing w:after="200" w:line="276" w:lineRule="auto"/>
              <w:rPr>
                <w:noProof/>
              </w:rPr>
            </w:pPr>
            <w:r>
              <w:rPr>
                <w:noProof/>
              </w:rPr>
              <w:t xml:space="preserve"> </w:t>
            </w:r>
          </w:p>
        </w:tc>
        <w:tc>
          <w:tcPr>
            <w:tcW w:w="1067" w:type="dxa"/>
            <w:shd w:val="clear" w:color="auto" w:fill="C6EFCE"/>
            <w:noWrap/>
          </w:tcPr>
          <w:p w14:paraId="3DA96633" w14:textId="77777777" w:rsidR="00553430" w:rsidRDefault="00212577">
            <w:pPr>
              <w:pStyle w:val="P68B1DB1-Normal66"/>
              <w:spacing w:after="200" w:line="276" w:lineRule="auto"/>
              <w:jc w:val="center"/>
              <w:rPr>
                <w:noProof/>
              </w:rPr>
            </w:pPr>
            <w:r>
              <w:rPr>
                <w:noProof/>
              </w:rPr>
              <w:t>Numéro</w:t>
            </w:r>
          </w:p>
        </w:tc>
        <w:tc>
          <w:tcPr>
            <w:tcW w:w="990" w:type="dxa"/>
            <w:shd w:val="clear" w:color="auto" w:fill="C6EFCE"/>
            <w:noWrap/>
          </w:tcPr>
          <w:p w14:paraId="26C274D7" w14:textId="77777777" w:rsidR="00553430" w:rsidRDefault="00212577">
            <w:pPr>
              <w:pStyle w:val="P68B1DB1-Normal66"/>
              <w:spacing w:after="200" w:line="276" w:lineRule="auto"/>
              <w:jc w:val="center"/>
              <w:rPr>
                <w:noProof/>
              </w:rPr>
            </w:pPr>
            <w:r>
              <w:rPr>
                <w:noProof/>
              </w:rPr>
              <w:t>0</w:t>
            </w:r>
          </w:p>
        </w:tc>
        <w:tc>
          <w:tcPr>
            <w:tcW w:w="1073" w:type="dxa"/>
            <w:shd w:val="clear" w:color="auto" w:fill="C6EFCE"/>
            <w:noWrap/>
          </w:tcPr>
          <w:p w14:paraId="0D092C6F" w14:textId="77777777" w:rsidR="00553430" w:rsidRDefault="00212577">
            <w:pPr>
              <w:pStyle w:val="P68B1DB1-Normal66"/>
              <w:spacing w:after="200" w:line="276" w:lineRule="auto"/>
              <w:jc w:val="center"/>
              <w:rPr>
                <w:noProof/>
              </w:rPr>
            </w:pPr>
            <w:r>
              <w:rPr>
                <w:noProof/>
              </w:rPr>
              <w:t>10</w:t>
            </w:r>
          </w:p>
        </w:tc>
        <w:tc>
          <w:tcPr>
            <w:tcW w:w="1053" w:type="dxa"/>
            <w:shd w:val="clear" w:color="auto" w:fill="C6EFCE"/>
            <w:noWrap/>
          </w:tcPr>
          <w:p w14:paraId="33FA4703" w14:textId="77777777" w:rsidR="00553430" w:rsidRDefault="00212577">
            <w:pPr>
              <w:pStyle w:val="P68B1DB1-Normal66"/>
              <w:spacing w:after="200" w:line="276" w:lineRule="auto"/>
              <w:jc w:val="center"/>
              <w:rPr>
                <w:noProof/>
              </w:rPr>
            </w:pPr>
            <w:r>
              <w:rPr>
                <w:noProof/>
              </w:rPr>
              <w:t>T4</w:t>
            </w:r>
          </w:p>
        </w:tc>
        <w:tc>
          <w:tcPr>
            <w:tcW w:w="851" w:type="dxa"/>
            <w:shd w:val="clear" w:color="auto" w:fill="C6EFCE"/>
            <w:noWrap/>
          </w:tcPr>
          <w:p w14:paraId="238309C5" w14:textId="77777777" w:rsidR="00553430" w:rsidRDefault="00212577">
            <w:pPr>
              <w:pStyle w:val="P68B1DB1-Normal66"/>
              <w:spacing w:after="200" w:line="276" w:lineRule="auto"/>
              <w:jc w:val="center"/>
              <w:rPr>
                <w:noProof/>
              </w:rPr>
            </w:pPr>
            <w:r>
              <w:rPr>
                <w:noProof/>
              </w:rPr>
              <w:t>2023</w:t>
            </w:r>
          </w:p>
        </w:tc>
        <w:tc>
          <w:tcPr>
            <w:tcW w:w="3261" w:type="dxa"/>
            <w:shd w:val="clear" w:color="auto" w:fill="C6EFCE"/>
            <w:noWrap/>
          </w:tcPr>
          <w:p w14:paraId="751A8F93" w14:textId="77777777" w:rsidR="00553430" w:rsidRDefault="00212577">
            <w:pPr>
              <w:pStyle w:val="P68B1DB1-Normal66"/>
              <w:spacing w:after="200" w:line="276" w:lineRule="auto"/>
              <w:rPr>
                <w:noProof/>
              </w:rPr>
            </w:pPr>
            <w:r>
              <w:rPr>
                <w:noProof/>
              </w:rPr>
              <w:t xml:space="preserve">Adoption d’au moins 10 stratégies de rénovation urbaine verte pour fournir la base du développement d’un espace durable, en mettant l’accent sur le développement </w:t>
            </w:r>
            <w:r>
              <w:rPr>
                <w:noProof/>
              </w:rPr>
              <w:t>d’infrastructures urbaines vertes et l’intégration de solutions fondées sur la nature, l’intégration de modèles de gestion circulaire de l’espace et des bâtiments, le renforcement de la résilience aux risques et au changement climatique et le soutien au dé</w:t>
            </w:r>
            <w:r>
              <w:rPr>
                <w:noProof/>
              </w:rPr>
              <w:t>veloppement durable global.</w:t>
            </w:r>
          </w:p>
        </w:tc>
      </w:tr>
      <w:tr w:rsidR="00553430" w14:paraId="3C0F1D38" w14:textId="77777777" w:rsidTr="00262866">
        <w:trPr>
          <w:trHeight w:val="283"/>
          <w:jc w:val="center"/>
        </w:trPr>
        <w:tc>
          <w:tcPr>
            <w:tcW w:w="835" w:type="dxa"/>
            <w:shd w:val="clear" w:color="auto" w:fill="C6EFCE"/>
            <w:noWrap/>
          </w:tcPr>
          <w:p w14:paraId="64416CED" w14:textId="77777777" w:rsidR="00553430" w:rsidRDefault="00212577">
            <w:pPr>
              <w:pStyle w:val="P68B1DB1-Normal66"/>
              <w:spacing w:after="200" w:line="276" w:lineRule="auto"/>
              <w:jc w:val="center"/>
              <w:rPr>
                <w:noProof/>
              </w:rPr>
            </w:pPr>
            <w:r>
              <w:rPr>
                <w:noProof/>
              </w:rPr>
              <w:t>370</w:t>
            </w:r>
          </w:p>
        </w:tc>
        <w:tc>
          <w:tcPr>
            <w:tcW w:w="1200" w:type="dxa"/>
            <w:shd w:val="clear" w:color="auto" w:fill="C6EFCE"/>
            <w:noWrap/>
          </w:tcPr>
          <w:p w14:paraId="3CFC9943" w14:textId="77777777" w:rsidR="00553430" w:rsidRDefault="00212577">
            <w:pPr>
              <w:pStyle w:val="P68B1DB1-Normal66"/>
              <w:spacing w:after="200" w:line="276" w:lineRule="auto"/>
              <w:jc w:val="center"/>
              <w:rPr>
                <w:noProof/>
              </w:rPr>
            </w:pPr>
            <w:r>
              <w:rPr>
                <w:noProof/>
              </w:rPr>
              <w:t>C6.1. R5</w:t>
            </w:r>
          </w:p>
        </w:tc>
        <w:tc>
          <w:tcPr>
            <w:tcW w:w="1080" w:type="dxa"/>
            <w:shd w:val="clear" w:color="auto" w:fill="C6EFCE"/>
            <w:noWrap/>
          </w:tcPr>
          <w:p w14:paraId="41907F06" w14:textId="77777777" w:rsidR="00553430" w:rsidRDefault="00212577">
            <w:pPr>
              <w:pStyle w:val="P68B1DB1-Normal66"/>
              <w:spacing w:after="200" w:line="276" w:lineRule="auto"/>
              <w:jc w:val="center"/>
              <w:rPr>
                <w:noProof/>
              </w:rPr>
            </w:pPr>
            <w:r>
              <w:rPr>
                <w:noProof/>
              </w:rPr>
              <w:t>T</w:t>
            </w:r>
          </w:p>
        </w:tc>
        <w:tc>
          <w:tcPr>
            <w:tcW w:w="1786" w:type="dxa"/>
            <w:shd w:val="clear" w:color="auto" w:fill="C6EFCE"/>
            <w:noWrap/>
          </w:tcPr>
          <w:p w14:paraId="5F65E14B" w14:textId="0C834590" w:rsidR="00553430" w:rsidRDefault="00212577">
            <w:pPr>
              <w:pStyle w:val="P68B1DB1-Normal66"/>
              <w:spacing w:after="200" w:line="276" w:lineRule="auto"/>
              <w:rPr>
                <w:noProof/>
              </w:rPr>
            </w:pPr>
            <w:r>
              <w:rPr>
                <w:noProof/>
              </w:rPr>
              <w:t xml:space="preserve">Finalisation d'un projet pilote identifié à travers des stratégies de rénovation urbaine verte </w:t>
            </w:r>
          </w:p>
        </w:tc>
        <w:tc>
          <w:tcPr>
            <w:tcW w:w="2288" w:type="dxa"/>
            <w:shd w:val="clear" w:color="auto" w:fill="C6EFCE"/>
            <w:noWrap/>
          </w:tcPr>
          <w:p w14:paraId="6280EB76" w14:textId="77777777" w:rsidR="00553430" w:rsidRDefault="00212577">
            <w:pPr>
              <w:pStyle w:val="P68B1DB1-Normal66"/>
              <w:spacing w:after="200" w:line="276" w:lineRule="auto"/>
              <w:rPr>
                <w:noProof/>
              </w:rPr>
            </w:pPr>
            <w:r>
              <w:rPr>
                <w:noProof/>
              </w:rPr>
              <w:t> </w:t>
            </w:r>
          </w:p>
        </w:tc>
        <w:tc>
          <w:tcPr>
            <w:tcW w:w="1067" w:type="dxa"/>
            <w:shd w:val="clear" w:color="auto" w:fill="C6EFCE"/>
            <w:noWrap/>
          </w:tcPr>
          <w:p w14:paraId="06D5F951" w14:textId="77777777" w:rsidR="00553430" w:rsidRDefault="00212577">
            <w:pPr>
              <w:pStyle w:val="P68B1DB1-Normal66"/>
              <w:spacing w:after="200" w:line="276" w:lineRule="auto"/>
              <w:jc w:val="center"/>
              <w:rPr>
                <w:noProof/>
              </w:rPr>
            </w:pPr>
            <w:r>
              <w:rPr>
                <w:noProof/>
              </w:rPr>
              <w:t>Numéro</w:t>
            </w:r>
          </w:p>
        </w:tc>
        <w:tc>
          <w:tcPr>
            <w:tcW w:w="990" w:type="dxa"/>
            <w:shd w:val="clear" w:color="auto" w:fill="C6EFCE"/>
            <w:noWrap/>
          </w:tcPr>
          <w:p w14:paraId="59CA5E08" w14:textId="77777777" w:rsidR="00553430" w:rsidRDefault="00212577">
            <w:pPr>
              <w:pStyle w:val="P68B1DB1-Normal66"/>
              <w:spacing w:after="200" w:line="276" w:lineRule="auto"/>
              <w:jc w:val="center"/>
              <w:rPr>
                <w:noProof/>
              </w:rPr>
            </w:pPr>
            <w:r>
              <w:rPr>
                <w:noProof/>
              </w:rPr>
              <w:t>0</w:t>
            </w:r>
          </w:p>
        </w:tc>
        <w:tc>
          <w:tcPr>
            <w:tcW w:w="1073" w:type="dxa"/>
            <w:shd w:val="clear" w:color="auto" w:fill="C6EFCE"/>
            <w:noWrap/>
          </w:tcPr>
          <w:p w14:paraId="43864F4B" w14:textId="77777777" w:rsidR="00553430" w:rsidRDefault="00212577">
            <w:pPr>
              <w:pStyle w:val="P68B1DB1-Normal66"/>
              <w:spacing w:after="200" w:line="276" w:lineRule="auto"/>
              <w:jc w:val="center"/>
              <w:rPr>
                <w:noProof/>
              </w:rPr>
            </w:pPr>
            <w:r>
              <w:rPr>
                <w:noProof/>
              </w:rPr>
              <w:t>1</w:t>
            </w:r>
          </w:p>
        </w:tc>
        <w:tc>
          <w:tcPr>
            <w:tcW w:w="1053" w:type="dxa"/>
            <w:shd w:val="clear" w:color="auto" w:fill="C6EFCE"/>
            <w:noWrap/>
          </w:tcPr>
          <w:p w14:paraId="129CC9CA" w14:textId="77777777" w:rsidR="00553430" w:rsidRDefault="00212577">
            <w:pPr>
              <w:pStyle w:val="P68B1DB1-Normal66"/>
              <w:spacing w:after="200" w:line="276" w:lineRule="auto"/>
              <w:jc w:val="center"/>
              <w:rPr>
                <w:noProof/>
              </w:rPr>
            </w:pPr>
            <w:r>
              <w:rPr>
                <w:noProof/>
              </w:rPr>
              <w:t>T2</w:t>
            </w:r>
          </w:p>
        </w:tc>
        <w:tc>
          <w:tcPr>
            <w:tcW w:w="851" w:type="dxa"/>
            <w:shd w:val="clear" w:color="auto" w:fill="C6EFCE"/>
            <w:noWrap/>
          </w:tcPr>
          <w:p w14:paraId="23F6002F" w14:textId="77777777" w:rsidR="00553430" w:rsidRDefault="00212577">
            <w:pPr>
              <w:pStyle w:val="P68B1DB1-Normal66"/>
              <w:spacing w:after="200" w:line="276" w:lineRule="auto"/>
              <w:jc w:val="center"/>
              <w:rPr>
                <w:noProof/>
              </w:rPr>
            </w:pPr>
            <w:r>
              <w:rPr>
                <w:noProof/>
              </w:rPr>
              <w:t>2026</w:t>
            </w:r>
          </w:p>
        </w:tc>
        <w:tc>
          <w:tcPr>
            <w:tcW w:w="3261" w:type="dxa"/>
            <w:shd w:val="clear" w:color="auto" w:fill="C6EFCE"/>
            <w:noWrap/>
          </w:tcPr>
          <w:p w14:paraId="2F71CE96" w14:textId="77777777" w:rsidR="00553430" w:rsidRDefault="00212577">
            <w:pPr>
              <w:pStyle w:val="P68B1DB1-Normal66"/>
              <w:spacing w:after="200" w:line="276" w:lineRule="auto"/>
              <w:rPr>
                <w:noProof/>
              </w:rPr>
            </w:pPr>
            <w:r>
              <w:rPr>
                <w:noProof/>
              </w:rPr>
              <w:t xml:space="preserve">Au moins un projet pilote identifié dans le cadre de stratégies de rénovation urbaine verte doit être finalisé. </w:t>
            </w:r>
          </w:p>
        </w:tc>
      </w:tr>
      <w:tr w:rsidR="00553430" w14:paraId="27B4D79B" w14:textId="77777777" w:rsidTr="00262866">
        <w:trPr>
          <w:trHeight w:val="283"/>
          <w:jc w:val="center"/>
        </w:trPr>
        <w:tc>
          <w:tcPr>
            <w:tcW w:w="835" w:type="dxa"/>
            <w:shd w:val="clear" w:color="auto" w:fill="C6EFCE"/>
            <w:noWrap/>
          </w:tcPr>
          <w:p w14:paraId="2AE0C72F" w14:textId="77777777" w:rsidR="00553430" w:rsidRDefault="00212577">
            <w:pPr>
              <w:pStyle w:val="P68B1DB1-Normal66"/>
              <w:spacing w:after="200" w:line="276" w:lineRule="auto"/>
              <w:jc w:val="center"/>
              <w:rPr>
                <w:noProof/>
              </w:rPr>
            </w:pPr>
            <w:r>
              <w:rPr>
                <w:noProof/>
              </w:rPr>
              <w:t>371</w:t>
            </w:r>
          </w:p>
        </w:tc>
        <w:tc>
          <w:tcPr>
            <w:tcW w:w="1200" w:type="dxa"/>
            <w:shd w:val="clear" w:color="auto" w:fill="C6EFCE"/>
            <w:noWrap/>
          </w:tcPr>
          <w:p w14:paraId="0C4627C0" w14:textId="77777777" w:rsidR="00553430" w:rsidRDefault="00212577">
            <w:pPr>
              <w:pStyle w:val="P68B1DB1-Normal66"/>
              <w:spacing w:after="200" w:line="276" w:lineRule="auto"/>
              <w:jc w:val="center"/>
              <w:rPr>
                <w:noProof/>
              </w:rPr>
            </w:pPr>
            <w:r>
              <w:rPr>
                <w:noProof/>
              </w:rPr>
              <w:t>C6.1. R6</w:t>
            </w:r>
          </w:p>
        </w:tc>
        <w:tc>
          <w:tcPr>
            <w:tcW w:w="1080" w:type="dxa"/>
            <w:shd w:val="clear" w:color="auto" w:fill="C6EFCE"/>
            <w:noWrap/>
          </w:tcPr>
          <w:p w14:paraId="7A6FA3C6" w14:textId="77777777" w:rsidR="00553430" w:rsidRDefault="00212577">
            <w:pPr>
              <w:pStyle w:val="P68B1DB1-Normal66"/>
              <w:spacing w:after="200" w:line="276" w:lineRule="auto"/>
              <w:jc w:val="center"/>
              <w:rPr>
                <w:noProof/>
              </w:rPr>
            </w:pPr>
            <w:r>
              <w:rPr>
                <w:noProof/>
              </w:rPr>
              <w:t>M</w:t>
            </w:r>
          </w:p>
        </w:tc>
        <w:tc>
          <w:tcPr>
            <w:tcW w:w="1786" w:type="dxa"/>
            <w:shd w:val="clear" w:color="auto" w:fill="C6EFCE"/>
            <w:noWrap/>
          </w:tcPr>
          <w:p w14:paraId="27EAD785" w14:textId="77777777" w:rsidR="00553430" w:rsidRDefault="00212577">
            <w:pPr>
              <w:pStyle w:val="P68B1DB1-Normal66"/>
              <w:spacing w:after="200" w:line="276" w:lineRule="auto"/>
              <w:rPr>
                <w:noProof/>
              </w:rPr>
            </w:pPr>
            <w:r>
              <w:rPr>
                <w:noProof/>
              </w:rPr>
              <w:t xml:space="preserve">Projet pilote de gestion systématique de l'énergie mené à bien avec succès dans le but de tester un nouveau modèle de financement de la rénovation de l'efficacité énergétique </w:t>
            </w:r>
          </w:p>
        </w:tc>
        <w:tc>
          <w:tcPr>
            <w:tcW w:w="2288" w:type="dxa"/>
            <w:shd w:val="clear" w:color="auto" w:fill="C6EFCE"/>
            <w:noWrap/>
          </w:tcPr>
          <w:p w14:paraId="775AD511" w14:textId="77777777" w:rsidR="00553430" w:rsidRDefault="00212577">
            <w:pPr>
              <w:pStyle w:val="P68B1DB1-Normal66"/>
              <w:spacing w:after="200" w:line="276" w:lineRule="auto"/>
              <w:rPr>
                <w:noProof/>
              </w:rPr>
            </w:pPr>
            <w:r>
              <w:rPr>
                <w:noProof/>
              </w:rPr>
              <w:t>Publication d ' un projet pilote achevé sur le site Web officiel du Ministère de</w:t>
            </w:r>
            <w:r>
              <w:rPr>
                <w:noProof/>
              </w:rPr>
              <w:t xml:space="preserve"> l ' aménagement du territoire, de la construction et des biens de l ' État </w:t>
            </w:r>
            <w:r>
              <w:rPr>
                <w:noProof/>
              </w:rPr>
              <w:br/>
              <w:t xml:space="preserve"> </w:t>
            </w:r>
          </w:p>
        </w:tc>
        <w:tc>
          <w:tcPr>
            <w:tcW w:w="1067" w:type="dxa"/>
            <w:shd w:val="clear" w:color="auto" w:fill="C6EFCE"/>
            <w:noWrap/>
          </w:tcPr>
          <w:p w14:paraId="72ACDF83" w14:textId="77777777" w:rsidR="00553430" w:rsidRDefault="00212577">
            <w:pPr>
              <w:pStyle w:val="P68B1DB1-Normal66"/>
              <w:spacing w:after="200" w:line="276" w:lineRule="auto"/>
              <w:jc w:val="center"/>
              <w:rPr>
                <w:noProof/>
              </w:rPr>
            </w:pPr>
            <w:r>
              <w:rPr>
                <w:noProof/>
              </w:rPr>
              <w:t> </w:t>
            </w:r>
          </w:p>
        </w:tc>
        <w:tc>
          <w:tcPr>
            <w:tcW w:w="990" w:type="dxa"/>
            <w:shd w:val="clear" w:color="auto" w:fill="C6EFCE"/>
            <w:noWrap/>
          </w:tcPr>
          <w:p w14:paraId="6D07ABFC" w14:textId="77777777" w:rsidR="00553430" w:rsidRDefault="00212577">
            <w:pPr>
              <w:pStyle w:val="P68B1DB1-Normal66"/>
              <w:spacing w:after="200" w:line="276" w:lineRule="auto"/>
              <w:jc w:val="center"/>
              <w:rPr>
                <w:noProof/>
              </w:rPr>
            </w:pPr>
            <w:r>
              <w:rPr>
                <w:noProof/>
              </w:rPr>
              <w:t> </w:t>
            </w:r>
          </w:p>
        </w:tc>
        <w:tc>
          <w:tcPr>
            <w:tcW w:w="1073" w:type="dxa"/>
            <w:shd w:val="clear" w:color="auto" w:fill="C6EFCE"/>
            <w:noWrap/>
          </w:tcPr>
          <w:p w14:paraId="5A5DC514" w14:textId="77777777" w:rsidR="00553430" w:rsidRDefault="00212577">
            <w:pPr>
              <w:pStyle w:val="P68B1DB1-Normal66"/>
              <w:spacing w:after="200" w:line="276" w:lineRule="auto"/>
              <w:jc w:val="center"/>
              <w:rPr>
                <w:noProof/>
              </w:rPr>
            </w:pPr>
            <w:r>
              <w:rPr>
                <w:noProof/>
              </w:rPr>
              <w:t> </w:t>
            </w:r>
          </w:p>
        </w:tc>
        <w:tc>
          <w:tcPr>
            <w:tcW w:w="1053" w:type="dxa"/>
            <w:shd w:val="clear" w:color="auto" w:fill="C6EFCE"/>
            <w:noWrap/>
          </w:tcPr>
          <w:p w14:paraId="5A5E64B5" w14:textId="77777777" w:rsidR="00553430" w:rsidRDefault="00212577">
            <w:pPr>
              <w:pStyle w:val="P68B1DB1-Normal66"/>
              <w:spacing w:after="200" w:line="276" w:lineRule="auto"/>
              <w:jc w:val="center"/>
              <w:rPr>
                <w:noProof/>
              </w:rPr>
            </w:pPr>
            <w:r>
              <w:rPr>
                <w:noProof/>
              </w:rPr>
              <w:t>T4</w:t>
            </w:r>
          </w:p>
        </w:tc>
        <w:tc>
          <w:tcPr>
            <w:tcW w:w="851" w:type="dxa"/>
            <w:shd w:val="clear" w:color="auto" w:fill="C6EFCE"/>
            <w:noWrap/>
          </w:tcPr>
          <w:p w14:paraId="724A68CA" w14:textId="77777777" w:rsidR="00553430" w:rsidRDefault="00212577">
            <w:pPr>
              <w:pStyle w:val="P68B1DB1-Normal66"/>
              <w:spacing w:after="200" w:line="276" w:lineRule="auto"/>
              <w:jc w:val="center"/>
              <w:rPr>
                <w:noProof/>
              </w:rPr>
            </w:pPr>
            <w:r>
              <w:rPr>
                <w:noProof/>
              </w:rPr>
              <w:t>2023</w:t>
            </w:r>
          </w:p>
        </w:tc>
        <w:tc>
          <w:tcPr>
            <w:tcW w:w="3261" w:type="dxa"/>
            <w:shd w:val="clear" w:color="auto" w:fill="C6EFCE"/>
            <w:noWrap/>
          </w:tcPr>
          <w:p w14:paraId="2BA302F2" w14:textId="77777777" w:rsidR="00553430" w:rsidRDefault="00212577">
            <w:pPr>
              <w:pStyle w:val="P68B1DB1-Normal66"/>
              <w:spacing w:after="200" w:line="276" w:lineRule="auto"/>
              <w:rPr>
                <w:noProof/>
              </w:rPr>
            </w:pPr>
            <w:r>
              <w:rPr>
                <w:noProof/>
              </w:rPr>
              <w:t>À la suite d’un appel public, le ministère de l’aménagement du territoire, de la construction et des biens de l’État, en coopération avec l’agence immobilière du g</w:t>
            </w:r>
            <w:r>
              <w:rPr>
                <w:noProof/>
              </w:rPr>
              <w:t>ouvernement croate, met en œuvre un projet pilote couvrant tous les secteurs de la consommation d’énergie et d’eau dans l’unité d’administration locale pilote en mettant en place une collecte automatique de données sur la consommation d’énergie et d’eau da</w:t>
            </w:r>
            <w:r>
              <w:rPr>
                <w:noProof/>
              </w:rPr>
              <w:t xml:space="preserve">ns les bâtiments à logements multiples dans la zone pilote sélectionnée. </w:t>
            </w:r>
            <w:r>
              <w:rPr>
                <w:noProof/>
              </w:rPr>
              <w:br/>
              <w:t>L’objectif du projet pilote est de réaliser des économies d’énergie et d’eau en mettant en place et en mettant en œuvre une gestion systématique de l’énergie et de permettre de teste</w:t>
            </w:r>
            <w:r>
              <w:rPr>
                <w:noProof/>
              </w:rPr>
              <w:t xml:space="preserve">r les possibilités de mise en œuvre du nouveau modèle de financement pour la rénovation énergétique des bâtiments à logements multiples, y compris une analyse coûts-avantages pour son application au niveau national. </w:t>
            </w:r>
            <w:r>
              <w:rPr>
                <w:noProof/>
              </w:rPr>
              <w:br/>
              <w:t>Sur la base du projet pilote, des ligne</w:t>
            </w:r>
            <w:r>
              <w:rPr>
                <w:noProof/>
              </w:rPr>
              <w:t xml:space="preserve">s directrices sur l’application du modèle de gestion de la consommation d’énergie pour les bâtiments à logements multiples sont élaborées au niveau national. </w:t>
            </w:r>
          </w:p>
        </w:tc>
      </w:tr>
    </w:tbl>
    <w:p w14:paraId="5FC0190B" w14:textId="77777777" w:rsidR="00553430" w:rsidRDefault="00553430">
      <w:pPr>
        <w:rPr>
          <w:noProof/>
        </w:rPr>
        <w:sectPr w:rsidR="00553430" w:rsidSect="00FA29B2">
          <w:headerReference w:type="even" r:id="rId393"/>
          <w:headerReference w:type="default" r:id="rId394"/>
          <w:footerReference w:type="even" r:id="rId395"/>
          <w:footerReference w:type="default" r:id="rId396"/>
          <w:headerReference w:type="first" r:id="rId397"/>
          <w:footerReference w:type="first" r:id="rId398"/>
          <w:pgSz w:w="16839" w:h="11907" w:orient="landscape"/>
          <w:pgMar w:top="1134" w:right="1134" w:bottom="1134" w:left="1134" w:header="567" w:footer="567" w:gutter="0"/>
          <w:cols w:space="708"/>
          <w:docGrid w:linePitch="360"/>
        </w:sectPr>
      </w:pPr>
    </w:p>
    <w:p w14:paraId="678D9CA0" w14:textId="77777777" w:rsidR="00553430" w:rsidRDefault="00553430">
      <w:pPr>
        <w:pStyle w:val="paragraph"/>
        <w:spacing w:before="0" w:beforeAutospacing="0" w:after="0" w:afterAutospacing="0"/>
        <w:ind w:left="705"/>
        <w:jc w:val="both"/>
        <w:textAlignment w:val="baseline"/>
        <w:rPr>
          <w:rFonts w:ascii="Segoe UI" w:hAnsi="Segoe UI" w:cs="Segoe UI"/>
          <w:noProof/>
          <w:sz w:val="18"/>
          <w:szCs w:val="18"/>
        </w:rPr>
      </w:pPr>
    </w:p>
    <w:p w14:paraId="3EBE99F7" w14:textId="437BE274" w:rsidR="00553430" w:rsidRDefault="00212577">
      <w:pPr>
        <w:pStyle w:val="P68B1DB1-Normal57"/>
        <w:keepNext/>
        <w:spacing w:before="40" w:after="0"/>
        <w:ind w:left="130" w:firstLine="720"/>
        <w:jc w:val="both"/>
        <w:outlineLvl w:val="1"/>
        <w:rPr>
          <w:noProof/>
        </w:rPr>
      </w:pPr>
      <w:r>
        <w:rPr>
          <w:noProof/>
        </w:rPr>
        <w:t xml:space="preserve">V.3. </w:t>
      </w:r>
      <w:r>
        <w:rPr>
          <w:noProof/>
        </w:rPr>
        <w:tab/>
      </w:r>
      <w:r>
        <w:rPr>
          <w:noProof/>
        </w:rPr>
        <w:t xml:space="preserve">Description des réformes et des investissements pour le prêt </w:t>
      </w:r>
    </w:p>
    <w:p w14:paraId="31256B87" w14:textId="77777777" w:rsidR="00553430" w:rsidRDefault="00553430">
      <w:pPr>
        <w:pStyle w:val="paragraph"/>
        <w:spacing w:before="0" w:beforeAutospacing="0" w:after="0" w:afterAutospacing="0"/>
        <w:ind w:left="840"/>
        <w:jc w:val="both"/>
        <w:textAlignment w:val="baseline"/>
        <w:rPr>
          <w:noProof/>
          <w:szCs w:val="24"/>
          <w:u w:val="single"/>
        </w:rPr>
      </w:pPr>
    </w:p>
    <w:p w14:paraId="039AE8DF" w14:textId="02A3C922" w:rsidR="00553430" w:rsidRDefault="00212577">
      <w:pPr>
        <w:pStyle w:val="P68B1DB1-Normal81"/>
        <w:spacing w:line="240" w:lineRule="auto"/>
        <w:ind w:left="850"/>
        <w:jc w:val="both"/>
        <w:rPr>
          <w:rStyle w:val="normaltextrun"/>
          <w:rFonts w:eastAsia="Times New Roman"/>
          <w:noProof/>
        </w:rPr>
      </w:pPr>
      <w:r>
        <w:rPr>
          <w:noProof/>
        </w:rPr>
        <w:t xml:space="preserve">Réforme C6.1 R7 – Utilisation circulaire des déchets de construction provenant de bâtiments ayant le statut de bien culturel: un projet pilote explorant les possibilités d'échanges et </w:t>
      </w:r>
      <w:r>
        <w:rPr>
          <w:noProof/>
        </w:rPr>
        <w:t>d'échanges</w:t>
      </w:r>
    </w:p>
    <w:p w14:paraId="68E469C8" w14:textId="0C13630C" w:rsidR="00553430" w:rsidRDefault="00212577">
      <w:pPr>
        <w:pStyle w:val="paragraph"/>
        <w:spacing w:after="0"/>
        <w:jc w:val="both"/>
        <w:rPr>
          <w:rStyle w:val="normaltextrun"/>
          <w:noProof/>
          <w:color w:val="000000"/>
          <w:szCs w:val="24"/>
        </w:rPr>
      </w:pPr>
      <w:r>
        <w:rPr>
          <w:rStyle w:val="normaltextrun"/>
          <w:noProof/>
          <w:color w:val="000000"/>
          <w:szCs w:val="24"/>
        </w:rPr>
        <w:t>L’objectif de la mesure est d’examiner les possibilités d’utilisation circulaire des déchets de construction provenant de bâtiments ayant le statut de bien culturel. Cette mesure consiste à mettre en œuvre des projets pilotes et à adopter des li</w:t>
      </w:r>
      <w:r>
        <w:rPr>
          <w:rStyle w:val="normaltextrun"/>
          <w:noProof/>
          <w:color w:val="000000"/>
          <w:szCs w:val="24"/>
        </w:rPr>
        <w:t>gnes directrices nationales sur l’utilisation circulaire des déchets de construction provenant des bâtiments ayant le statut de bien culturel.</w:t>
      </w:r>
    </w:p>
    <w:p w14:paraId="1DBB1565" w14:textId="77777777" w:rsidR="00553430" w:rsidRDefault="00212577">
      <w:pPr>
        <w:pStyle w:val="P68B1DB1-Normal82"/>
        <w:tabs>
          <w:tab w:val="left" w:pos="1100"/>
        </w:tabs>
        <w:ind w:left="851"/>
        <w:rPr>
          <w:noProof/>
        </w:rPr>
      </w:pPr>
      <w:r>
        <w:rPr>
          <w:noProof/>
        </w:rPr>
        <w:t>Investissement C6.1 R1 – I4 Rénovation énergétique des bâtiments ayant le statut de bien culturel</w:t>
      </w:r>
    </w:p>
    <w:p w14:paraId="2D308136" w14:textId="77777777" w:rsidR="00553430" w:rsidRDefault="00212577">
      <w:pPr>
        <w:pStyle w:val="P68B1DB1-Normal46"/>
        <w:tabs>
          <w:tab w:val="left" w:pos="1100"/>
        </w:tabs>
        <w:jc w:val="both"/>
        <w:rPr>
          <w:rFonts w:eastAsia="Times New Roman"/>
          <w:noProof/>
        </w:rPr>
      </w:pPr>
      <w:r>
        <w:rPr>
          <w:noProof/>
        </w:rPr>
        <w:t>L’objectif de c</w:t>
      </w:r>
      <w:r>
        <w:rPr>
          <w:noProof/>
        </w:rPr>
        <w:t>ette mesure est d’accroître l’ambition de la mesure existante C6.1 R1-I3 Rénovation énergétique des bâtiments ayant le statut de bien culturel. Les lignes directrices pour la rénovation énergétique des bâtiments ayant le statut de bien culturel sont élabor</w:t>
      </w:r>
      <w:r>
        <w:rPr>
          <w:noProof/>
        </w:rPr>
        <w:t>ées et publiées sur le site web officiel du ministère de la culture et des médias. Les lignes directrices fournissent des recommandations sur les mesures de rénovation énergétique, les solutions techniques et les matériaux modernes, et clarifient les procé</w:t>
      </w:r>
      <w:r>
        <w:rPr>
          <w:noProof/>
        </w:rPr>
        <w:t>dures de préparation de la documentation et d’obtention des autorisations nécessaires.</w:t>
      </w:r>
    </w:p>
    <w:p w14:paraId="38D9ACF7" w14:textId="77777777" w:rsidR="00553430" w:rsidRDefault="00212577">
      <w:pPr>
        <w:pStyle w:val="P68B1DB1-Normal83"/>
        <w:tabs>
          <w:tab w:val="left" w:pos="1100"/>
        </w:tabs>
        <w:rPr>
          <w:noProof/>
        </w:rPr>
      </w:pPr>
      <w:r>
        <w:rPr>
          <w:noProof/>
        </w:rPr>
        <w:t>La mise en œuvre de la mesure est achevée au plus tard le 31 décembre 2023.</w:t>
      </w:r>
    </w:p>
    <w:p w14:paraId="11CD49FD" w14:textId="77777777" w:rsidR="00553430" w:rsidRDefault="00212577">
      <w:pPr>
        <w:pStyle w:val="P68B1DB1-Normal46"/>
        <w:tabs>
          <w:tab w:val="left" w:pos="1100"/>
        </w:tabs>
        <w:rPr>
          <w:noProof/>
        </w:rPr>
        <w:sectPr w:rsidR="00553430" w:rsidSect="00FA29B2">
          <w:headerReference w:type="even" r:id="rId399"/>
          <w:headerReference w:type="default" r:id="rId400"/>
          <w:footerReference w:type="even" r:id="rId401"/>
          <w:footerReference w:type="default" r:id="rId402"/>
          <w:headerReference w:type="first" r:id="rId403"/>
          <w:footerReference w:type="first" r:id="rId404"/>
          <w:pgSz w:w="11907" w:h="16839"/>
          <w:pgMar w:top="1134" w:right="1134" w:bottom="1134" w:left="1134" w:header="567" w:footer="567" w:gutter="0"/>
          <w:cols w:space="708"/>
          <w:docGrid w:linePitch="360"/>
        </w:sectPr>
      </w:pPr>
      <w:r>
        <w:rPr>
          <w:noProof/>
        </w:rPr>
        <w:tab/>
      </w:r>
    </w:p>
    <w:p w14:paraId="0B9C229D" w14:textId="410A855A" w:rsidR="00553430" w:rsidRDefault="00212577">
      <w:pPr>
        <w:pStyle w:val="P68B1DB1-Normal57"/>
        <w:keepNext/>
        <w:tabs>
          <w:tab w:val="num" w:pos="284"/>
        </w:tabs>
        <w:spacing w:before="40" w:after="0"/>
        <w:jc w:val="both"/>
        <w:outlineLvl w:val="1"/>
        <w:rPr>
          <w:noProof/>
        </w:rPr>
      </w:pPr>
      <w:r>
        <w:rPr>
          <w:noProof/>
        </w:rPr>
        <w:t xml:space="preserve">V.4. </w:t>
      </w:r>
      <w:r>
        <w:rPr>
          <w:noProof/>
        </w:rPr>
        <w:tab/>
      </w:r>
      <w:r>
        <w:rPr>
          <w:noProof/>
        </w:rPr>
        <w:t xml:space="preserve">Étapes, objectifs, indicateurs et calendrier du suivi et de la mise en œuvre du prêt </w:t>
      </w:r>
    </w:p>
    <w:tbl>
      <w:tblPr>
        <w:tblpPr w:leftFromText="180" w:rightFromText="180" w:vertAnchor="text" w:horzAnchor="page" w:tblpX="415" w:tblpY="37"/>
        <w:tblW w:w="15871"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46"/>
        <w:gridCol w:w="1488"/>
        <w:gridCol w:w="1021"/>
        <w:gridCol w:w="1895"/>
        <w:gridCol w:w="2126"/>
        <w:gridCol w:w="993"/>
        <w:gridCol w:w="850"/>
        <w:gridCol w:w="851"/>
        <w:gridCol w:w="992"/>
        <w:gridCol w:w="693"/>
        <w:gridCol w:w="4116"/>
      </w:tblGrid>
      <w:tr w:rsidR="00553430" w14:paraId="48DA4C71" w14:textId="77777777">
        <w:trPr>
          <w:trHeight w:val="688"/>
          <w:tblHead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E8A13F" w14:textId="77777777" w:rsidR="00553430" w:rsidRDefault="00212577">
            <w:pPr>
              <w:pStyle w:val="P68B1DB1-Normal58"/>
              <w:spacing w:after="0" w:line="240" w:lineRule="auto"/>
              <w:jc w:val="center"/>
              <w:textAlignment w:val="baseline"/>
              <w:rPr>
                <w:noProof/>
              </w:rPr>
            </w:pPr>
            <w:r>
              <w:rPr>
                <w:noProof/>
              </w:rPr>
              <w:t>Numéro</w:t>
            </w:r>
          </w:p>
        </w:tc>
        <w:tc>
          <w:tcPr>
            <w:tcW w:w="14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A7EE147" w14:textId="77777777" w:rsidR="00553430" w:rsidRDefault="00212577">
            <w:pPr>
              <w:pStyle w:val="P68B1DB1-Normal58"/>
              <w:spacing w:after="0" w:line="240" w:lineRule="auto"/>
              <w:jc w:val="center"/>
              <w:textAlignment w:val="baseline"/>
              <w:rPr>
                <w:noProof/>
              </w:rPr>
            </w:pPr>
            <w:r>
              <w:rPr>
                <w:noProof/>
              </w:rPr>
              <w:t xml:space="preserve">Mesure </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953025" w14:textId="77777777" w:rsidR="00553430" w:rsidRDefault="00212577">
            <w:pPr>
              <w:pStyle w:val="P68B1DB1-Normal76"/>
              <w:spacing w:after="0" w:line="240" w:lineRule="auto"/>
              <w:jc w:val="center"/>
              <w:textAlignment w:val="baseline"/>
              <w:rPr>
                <w:noProof/>
              </w:rPr>
            </w:pPr>
            <w:r>
              <w:rPr>
                <w:b/>
                <w:noProof/>
              </w:rPr>
              <w:t>Étape/cible</w:t>
            </w:r>
            <w:r>
              <w:rPr>
                <w:noProof/>
              </w:rPr>
              <w:t> </w:t>
            </w:r>
          </w:p>
        </w:tc>
        <w:tc>
          <w:tcPr>
            <w:tcW w:w="189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64BCA1" w14:textId="77777777" w:rsidR="00553430" w:rsidRDefault="00212577">
            <w:pPr>
              <w:pStyle w:val="P68B1DB1-Normal76"/>
              <w:spacing w:after="0" w:line="240" w:lineRule="auto"/>
              <w:jc w:val="center"/>
              <w:textAlignment w:val="baseline"/>
              <w:rPr>
                <w:noProof/>
              </w:rPr>
            </w:pPr>
            <w:r>
              <w:rPr>
                <w:b/>
                <w:noProof/>
              </w:rPr>
              <w:t>Nom</w:t>
            </w:r>
            <w:r>
              <w:rPr>
                <w:noProof/>
              </w:rPr>
              <w:t> </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1A54761" w14:textId="6B0FB9C7" w:rsidR="00553430" w:rsidRDefault="00212577">
            <w:pPr>
              <w:pStyle w:val="P68B1DB1-Normal59"/>
              <w:spacing w:after="0" w:line="240" w:lineRule="auto"/>
              <w:jc w:val="center"/>
              <w:textAlignment w:val="baseline"/>
              <w:rPr>
                <w:rFonts w:ascii="Times New Roman" w:eastAsia="Times New Roman" w:hAnsi="Times New Roman" w:cs="Times New Roman"/>
                <w:noProof/>
              </w:rPr>
            </w:pPr>
            <w:r>
              <w:rPr>
                <w:rFonts w:ascii="Times New Roman" w:eastAsia="Times New Roman" w:hAnsi="Times New Roman" w:cs="Times New Roman"/>
                <w:b/>
                <w:noProof/>
              </w:rPr>
              <w:t>Indicateurs qualitatifs</w:t>
            </w:r>
            <w:r>
              <w:rPr>
                <w:rFonts w:ascii="Times New Roman" w:hAnsi="Times New Roman" w:cs="Times New Roman"/>
                <w:noProof/>
              </w:rPr>
              <w:br/>
            </w:r>
            <w:r>
              <w:rPr>
                <w:rFonts w:ascii="Times New Roman" w:eastAsia="Times New Roman" w:hAnsi="Times New Roman" w:cs="Times New Roman"/>
                <w:b/>
                <w:noProof/>
              </w:rPr>
              <w:t>(pour les jalons)</w:t>
            </w:r>
            <w:r>
              <w:rPr>
                <w:rFonts w:ascii="Times New Roman" w:eastAsia="Times New Roman" w:hAnsi="Times New Roman" w:cs="Times New Roman"/>
                <w:noProof/>
              </w:rPr>
              <w:t> </w:t>
            </w:r>
          </w:p>
        </w:tc>
        <w:tc>
          <w:tcPr>
            <w:tcW w:w="2694" w:type="dxa"/>
            <w:gridSpan w:val="3"/>
            <w:tcBorders>
              <w:top w:val="single" w:sz="6" w:space="0" w:color="auto"/>
              <w:left w:val="single" w:sz="4" w:space="0" w:color="auto"/>
              <w:bottom w:val="single" w:sz="6" w:space="0" w:color="auto"/>
              <w:right w:val="single" w:sz="6" w:space="0" w:color="auto"/>
            </w:tcBorders>
            <w:shd w:val="clear" w:color="auto" w:fill="BDD7EE"/>
            <w:vAlign w:val="center"/>
            <w:hideMark/>
          </w:tcPr>
          <w:p w14:paraId="5CB01460" w14:textId="0520D7D3" w:rsidR="00553430" w:rsidRDefault="00212577">
            <w:pPr>
              <w:pStyle w:val="P68B1DB1-Normal76"/>
              <w:spacing w:after="0" w:line="240" w:lineRule="auto"/>
              <w:jc w:val="center"/>
              <w:textAlignment w:val="baseline"/>
              <w:rPr>
                <w:noProof/>
              </w:rPr>
            </w:pPr>
            <w:r>
              <w:rPr>
                <w:b/>
                <w:noProof/>
              </w:rPr>
              <w:t>Indicateurs quantitatifs</w:t>
            </w:r>
            <w:r>
              <w:rPr>
                <w:noProof/>
              </w:rPr>
              <w:br/>
            </w:r>
            <w:r>
              <w:rPr>
                <w:b/>
                <w:noProof/>
              </w:rPr>
              <w:t>(pour les objectifs)</w:t>
            </w:r>
            <w:r>
              <w:rPr>
                <w:noProof/>
              </w:rPr>
              <w:t> </w:t>
            </w:r>
          </w:p>
        </w:tc>
        <w:tc>
          <w:tcPr>
            <w:tcW w:w="1685" w:type="dxa"/>
            <w:gridSpan w:val="2"/>
            <w:tcBorders>
              <w:top w:val="single" w:sz="6" w:space="0" w:color="auto"/>
              <w:left w:val="nil"/>
              <w:bottom w:val="single" w:sz="6" w:space="0" w:color="auto"/>
              <w:right w:val="single" w:sz="4" w:space="0" w:color="auto"/>
            </w:tcBorders>
            <w:shd w:val="clear" w:color="auto" w:fill="BDD7EE"/>
            <w:vAlign w:val="center"/>
            <w:hideMark/>
          </w:tcPr>
          <w:p w14:paraId="6A0A934B" w14:textId="3B968B46" w:rsidR="00553430" w:rsidRDefault="00212577">
            <w:pPr>
              <w:pStyle w:val="P68B1DB1-Normal58"/>
              <w:spacing w:after="0" w:line="240" w:lineRule="auto"/>
              <w:jc w:val="center"/>
              <w:textAlignment w:val="baseline"/>
              <w:rPr>
                <w:noProof/>
              </w:rPr>
            </w:pPr>
            <w:r>
              <w:rPr>
                <w:noProof/>
              </w:rPr>
              <w:t xml:space="preserve">Temps </w:t>
            </w:r>
          </w:p>
        </w:tc>
        <w:tc>
          <w:tcPr>
            <w:tcW w:w="4116" w:type="dxa"/>
            <w:vMerge w:val="restart"/>
            <w:tcBorders>
              <w:top w:val="single" w:sz="4" w:space="0" w:color="auto"/>
              <w:left w:val="single" w:sz="4" w:space="0" w:color="auto"/>
              <w:right w:val="single" w:sz="4" w:space="0" w:color="auto"/>
            </w:tcBorders>
            <w:shd w:val="clear" w:color="auto" w:fill="BDD7EE"/>
            <w:vAlign w:val="center"/>
            <w:hideMark/>
          </w:tcPr>
          <w:p w14:paraId="32C19E15" w14:textId="77777777" w:rsidR="00553430" w:rsidRDefault="00212577">
            <w:pPr>
              <w:pStyle w:val="P68B1DB1-Normal76"/>
              <w:spacing w:after="0" w:line="240" w:lineRule="auto"/>
              <w:jc w:val="center"/>
              <w:textAlignment w:val="baseline"/>
              <w:rPr>
                <w:noProof/>
              </w:rPr>
            </w:pPr>
            <w:r>
              <w:rPr>
                <w:b/>
                <w:noProof/>
              </w:rPr>
              <w:t>Description de chaque jalon et cible</w:t>
            </w:r>
            <w:r>
              <w:rPr>
                <w:noProof/>
              </w:rPr>
              <w:t> </w:t>
            </w:r>
          </w:p>
        </w:tc>
      </w:tr>
      <w:tr w:rsidR="00553430" w14:paraId="0F8E95FB" w14:textId="77777777" w:rsidTr="00262866">
        <w:trPr>
          <w:trHeight w:val="589"/>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9B36975" w14:textId="77777777" w:rsidR="00553430" w:rsidRDefault="00553430">
            <w:pPr>
              <w:spacing w:after="0" w:line="240" w:lineRule="auto"/>
              <w:rPr>
                <w:rFonts w:ascii="Times New Roman" w:eastAsia="Times New Roman" w:hAnsi="Times New Roman" w:cs="Times New Roman"/>
                <w:noProof/>
                <w:sz w:val="20"/>
                <w:szCs w:val="20"/>
              </w:rPr>
            </w:pPr>
          </w:p>
        </w:tc>
        <w:tc>
          <w:tcPr>
            <w:tcW w:w="1488" w:type="dxa"/>
            <w:vMerge/>
            <w:tcBorders>
              <w:top w:val="single" w:sz="4" w:space="0" w:color="auto"/>
              <w:left w:val="single" w:sz="4" w:space="0" w:color="auto"/>
              <w:bottom w:val="single" w:sz="4" w:space="0" w:color="auto"/>
              <w:right w:val="single" w:sz="4" w:space="0" w:color="auto"/>
            </w:tcBorders>
            <w:vAlign w:val="center"/>
            <w:hideMark/>
          </w:tcPr>
          <w:p w14:paraId="72E1A89C" w14:textId="77777777" w:rsidR="00553430" w:rsidRDefault="00553430">
            <w:pPr>
              <w:spacing w:after="0" w:line="240" w:lineRule="auto"/>
              <w:rPr>
                <w:rFonts w:ascii="Times New Roman" w:eastAsia="Times New Roman" w:hAnsi="Times New Roman" w:cs="Times New Roman"/>
                <w:noProof/>
                <w:sz w:val="20"/>
                <w:szCs w:val="20"/>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560E534B" w14:textId="77777777" w:rsidR="00553430" w:rsidRDefault="00553430">
            <w:pPr>
              <w:spacing w:after="0" w:line="240" w:lineRule="auto"/>
              <w:rPr>
                <w:rFonts w:ascii="Times New Roman" w:eastAsia="Times New Roman" w:hAnsi="Times New Roman" w:cs="Times New Roman"/>
                <w:noProof/>
                <w:sz w:val="20"/>
                <w:szCs w:val="20"/>
              </w:rPr>
            </w:pPr>
          </w:p>
        </w:tc>
        <w:tc>
          <w:tcPr>
            <w:tcW w:w="1895" w:type="dxa"/>
            <w:vMerge/>
            <w:tcBorders>
              <w:top w:val="single" w:sz="4" w:space="0" w:color="auto"/>
              <w:left w:val="single" w:sz="4" w:space="0" w:color="auto"/>
              <w:bottom w:val="single" w:sz="4" w:space="0" w:color="auto"/>
              <w:right w:val="single" w:sz="4" w:space="0" w:color="auto"/>
            </w:tcBorders>
            <w:vAlign w:val="center"/>
            <w:hideMark/>
          </w:tcPr>
          <w:p w14:paraId="7E9E505D" w14:textId="77777777" w:rsidR="00553430" w:rsidRDefault="00553430">
            <w:pPr>
              <w:spacing w:after="0" w:line="240" w:lineRule="auto"/>
              <w:rPr>
                <w:rFonts w:ascii="Times New Roman" w:eastAsia="Times New Roman" w:hAnsi="Times New Roman" w:cs="Times New Roman"/>
                <w:noProof/>
                <w:sz w:val="20"/>
                <w:szCs w:val="20"/>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A7E041C" w14:textId="77777777" w:rsidR="00553430" w:rsidRDefault="00553430">
            <w:pPr>
              <w:spacing w:after="0" w:line="240" w:lineRule="auto"/>
              <w:rPr>
                <w:rFonts w:ascii="Times New Roman" w:eastAsia="Times New Roman" w:hAnsi="Times New Roman" w:cs="Times New Roman"/>
                <w:noProof/>
                <w:sz w:val="20"/>
                <w:szCs w:val="20"/>
              </w:rPr>
            </w:pPr>
          </w:p>
        </w:tc>
        <w:tc>
          <w:tcPr>
            <w:tcW w:w="993" w:type="dxa"/>
            <w:tcBorders>
              <w:top w:val="nil"/>
              <w:left w:val="single" w:sz="4" w:space="0" w:color="auto"/>
              <w:bottom w:val="single" w:sz="4" w:space="0" w:color="auto"/>
              <w:right w:val="single" w:sz="6" w:space="0" w:color="auto"/>
            </w:tcBorders>
            <w:shd w:val="clear" w:color="auto" w:fill="BDD7EE"/>
            <w:vAlign w:val="center"/>
            <w:hideMark/>
          </w:tcPr>
          <w:p w14:paraId="6F70779E" w14:textId="77777777" w:rsidR="00553430" w:rsidRDefault="00212577">
            <w:pPr>
              <w:pStyle w:val="P68B1DB1-Normal76"/>
              <w:spacing w:after="0" w:line="240" w:lineRule="auto"/>
              <w:jc w:val="center"/>
              <w:textAlignment w:val="baseline"/>
              <w:rPr>
                <w:noProof/>
              </w:rPr>
            </w:pPr>
            <w:r>
              <w:rPr>
                <w:b/>
                <w:noProof/>
              </w:rPr>
              <w:t>Unité</w:t>
            </w:r>
            <w:r>
              <w:rPr>
                <w:noProof/>
              </w:rPr>
              <w:t> </w:t>
            </w:r>
          </w:p>
        </w:tc>
        <w:tc>
          <w:tcPr>
            <w:tcW w:w="850" w:type="dxa"/>
            <w:tcBorders>
              <w:top w:val="nil"/>
              <w:left w:val="nil"/>
              <w:bottom w:val="single" w:sz="6" w:space="0" w:color="auto"/>
              <w:right w:val="single" w:sz="6" w:space="0" w:color="auto"/>
            </w:tcBorders>
            <w:shd w:val="clear" w:color="auto" w:fill="BDD7EE"/>
            <w:vAlign w:val="center"/>
            <w:hideMark/>
          </w:tcPr>
          <w:p w14:paraId="48A9D33F" w14:textId="0D08BE56" w:rsidR="00553430" w:rsidRDefault="00212577">
            <w:pPr>
              <w:pStyle w:val="P68B1DB1-Normal58"/>
              <w:spacing w:after="0" w:line="240" w:lineRule="auto"/>
              <w:jc w:val="center"/>
              <w:textAlignment w:val="baseline"/>
              <w:rPr>
                <w:noProof/>
              </w:rPr>
            </w:pPr>
            <w:r>
              <w:rPr>
                <w:noProof/>
              </w:rPr>
              <w:t xml:space="preserve">Données de référence </w:t>
            </w:r>
          </w:p>
        </w:tc>
        <w:tc>
          <w:tcPr>
            <w:tcW w:w="851" w:type="dxa"/>
            <w:tcBorders>
              <w:top w:val="nil"/>
              <w:left w:val="nil"/>
              <w:bottom w:val="single" w:sz="6" w:space="0" w:color="auto"/>
              <w:right w:val="single" w:sz="6" w:space="0" w:color="auto"/>
            </w:tcBorders>
            <w:shd w:val="clear" w:color="auto" w:fill="BDD7EE"/>
            <w:vAlign w:val="center"/>
            <w:hideMark/>
          </w:tcPr>
          <w:p w14:paraId="3619F2A0" w14:textId="31E3B021" w:rsidR="00553430" w:rsidRDefault="00212577">
            <w:pPr>
              <w:pStyle w:val="P68B1DB1-Normal58"/>
              <w:spacing w:after="0" w:line="240" w:lineRule="auto"/>
              <w:jc w:val="center"/>
              <w:textAlignment w:val="baseline"/>
              <w:rPr>
                <w:noProof/>
              </w:rPr>
            </w:pPr>
            <w:r>
              <w:rPr>
                <w:noProof/>
              </w:rPr>
              <w:t xml:space="preserve">Objectif </w:t>
            </w:r>
          </w:p>
        </w:tc>
        <w:tc>
          <w:tcPr>
            <w:tcW w:w="992" w:type="dxa"/>
            <w:tcBorders>
              <w:top w:val="nil"/>
              <w:left w:val="nil"/>
              <w:bottom w:val="single" w:sz="6" w:space="0" w:color="auto"/>
              <w:right w:val="single" w:sz="6" w:space="0" w:color="auto"/>
            </w:tcBorders>
            <w:shd w:val="clear" w:color="auto" w:fill="BDD7EE"/>
            <w:vAlign w:val="center"/>
            <w:hideMark/>
          </w:tcPr>
          <w:p w14:paraId="1C7DBCB1" w14:textId="77777777" w:rsidR="00553430" w:rsidRDefault="00212577">
            <w:pPr>
              <w:pStyle w:val="P68B1DB1-Normal76"/>
              <w:spacing w:after="0" w:line="240" w:lineRule="auto"/>
              <w:jc w:val="center"/>
              <w:textAlignment w:val="baseline"/>
              <w:rPr>
                <w:noProof/>
              </w:rPr>
            </w:pPr>
            <w:r>
              <w:rPr>
                <w:b/>
                <w:noProof/>
              </w:rPr>
              <w:t>Trimestre</w:t>
            </w:r>
            <w:r>
              <w:rPr>
                <w:noProof/>
              </w:rPr>
              <w:t> </w:t>
            </w:r>
          </w:p>
        </w:tc>
        <w:tc>
          <w:tcPr>
            <w:tcW w:w="693" w:type="dxa"/>
            <w:tcBorders>
              <w:top w:val="nil"/>
              <w:left w:val="nil"/>
              <w:bottom w:val="single" w:sz="6" w:space="0" w:color="auto"/>
              <w:right w:val="single" w:sz="4" w:space="0" w:color="auto"/>
            </w:tcBorders>
            <w:shd w:val="clear" w:color="auto" w:fill="BDD7EE"/>
            <w:vAlign w:val="center"/>
            <w:hideMark/>
          </w:tcPr>
          <w:p w14:paraId="1EBCA09A" w14:textId="77777777" w:rsidR="00553430" w:rsidRDefault="00212577">
            <w:pPr>
              <w:pStyle w:val="P68B1DB1-Normal76"/>
              <w:spacing w:after="0" w:line="240" w:lineRule="auto"/>
              <w:jc w:val="center"/>
              <w:textAlignment w:val="baseline"/>
              <w:rPr>
                <w:noProof/>
              </w:rPr>
            </w:pPr>
            <w:r>
              <w:rPr>
                <w:b/>
                <w:noProof/>
              </w:rPr>
              <w:t>Année</w:t>
            </w:r>
            <w:r>
              <w:rPr>
                <w:noProof/>
              </w:rPr>
              <w:t> </w:t>
            </w:r>
          </w:p>
        </w:tc>
        <w:tc>
          <w:tcPr>
            <w:tcW w:w="4116" w:type="dxa"/>
            <w:vMerge/>
            <w:vAlign w:val="center"/>
            <w:hideMark/>
          </w:tcPr>
          <w:p w14:paraId="456A06AB" w14:textId="77777777" w:rsidR="00553430" w:rsidRDefault="00553430">
            <w:pPr>
              <w:spacing w:after="0" w:line="240" w:lineRule="auto"/>
              <w:rPr>
                <w:rFonts w:ascii="Times New Roman" w:eastAsia="Times New Roman" w:hAnsi="Times New Roman" w:cs="Times New Roman"/>
                <w:noProof/>
                <w:sz w:val="20"/>
                <w:szCs w:val="20"/>
              </w:rPr>
            </w:pPr>
          </w:p>
        </w:tc>
      </w:tr>
      <w:tr w:rsidR="00553430" w14:paraId="774C4BD2" w14:textId="77777777" w:rsidTr="00262866">
        <w:trPr>
          <w:trHeight w:val="301"/>
        </w:trPr>
        <w:tc>
          <w:tcPr>
            <w:tcW w:w="846" w:type="dxa"/>
            <w:tcBorders>
              <w:top w:val="single" w:sz="4" w:space="0" w:color="auto"/>
              <w:left w:val="single" w:sz="6" w:space="0" w:color="auto"/>
              <w:bottom w:val="single" w:sz="6" w:space="0" w:color="auto"/>
              <w:right w:val="single" w:sz="6" w:space="0" w:color="auto"/>
            </w:tcBorders>
            <w:shd w:val="clear" w:color="auto" w:fill="C6EFCE"/>
            <w:hideMark/>
          </w:tcPr>
          <w:p w14:paraId="6C1C7913" w14:textId="77777777" w:rsidR="00553430" w:rsidRDefault="00212577">
            <w:pPr>
              <w:pStyle w:val="P68B1DB1-Normal76"/>
              <w:spacing w:after="0" w:line="240" w:lineRule="auto"/>
              <w:jc w:val="center"/>
              <w:textAlignment w:val="baseline"/>
              <w:rPr>
                <w:noProof/>
              </w:rPr>
            </w:pPr>
            <w:r>
              <w:rPr>
                <w:noProof/>
              </w:rPr>
              <w:t>402</w:t>
            </w:r>
          </w:p>
        </w:tc>
        <w:tc>
          <w:tcPr>
            <w:tcW w:w="1488" w:type="dxa"/>
            <w:tcBorders>
              <w:top w:val="single" w:sz="4" w:space="0" w:color="auto"/>
              <w:left w:val="nil"/>
              <w:bottom w:val="single" w:sz="6" w:space="0" w:color="auto"/>
              <w:right w:val="single" w:sz="6" w:space="0" w:color="auto"/>
            </w:tcBorders>
            <w:shd w:val="clear" w:color="auto" w:fill="C6EFCE"/>
            <w:hideMark/>
          </w:tcPr>
          <w:p w14:paraId="1B5DC544" w14:textId="77777777" w:rsidR="00553430" w:rsidRDefault="00212577">
            <w:pPr>
              <w:pStyle w:val="P68B1DB1-Normal76"/>
              <w:spacing w:after="0" w:line="240" w:lineRule="auto"/>
              <w:jc w:val="center"/>
              <w:textAlignment w:val="baseline"/>
              <w:rPr>
                <w:noProof/>
              </w:rPr>
            </w:pPr>
            <w:r>
              <w:rPr>
                <w:noProof/>
              </w:rPr>
              <w:t>C6.1. R7</w:t>
            </w:r>
          </w:p>
          <w:p w14:paraId="776582D0" w14:textId="77777777" w:rsidR="00553430" w:rsidRDefault="00553430">
            <w:pPr>
              <w:spacing w:after="0" w:line="240" w:lineRule="auto"/>
              <w:jc w:val="center"/>
              <w:textAlignment w:val="baseline"/>
              <w:rPr>
                <w:rFonts w:ascii="Times New Roman" w:eastAsia="Times New Roman" w:hAnsi="Times New Roman" w:cs="Times New Roman"/>
                <w:noProof/>
                <w:sz w:val="20"/>
                <w:szCs w:val="20"/>
              </w:rPr>
            </w:pPr>
          </w:p>
        </w:tc>
        <w:tc>
          <w:tcPr>
            <w:tcW w:w="1021" w:type="dxa"/>
            <w:tcBorders>
              <w:top w:val="single" w:sz="4" w:space="0" w:color="auto"/>
              <w:left w:val="nil"/>
              <w:bottom w:val="single" w:sz="6" w:space="0" w:color="auto"/>
              <w:right w:val="single" w:sz="6" w:space="0" w:color="auto"/>
            </w:tcBorders>
            <w:shd w:val="clear" w:color="auto" w:fill="C6EFCE"/>
          </w:tcPr>
          <w:p w14:paraId="0C585FD9" w14:textId="77777777" w:rsidR="00553430" w:rsidRDefault="00212577">
            <w:pPr>
              <w:pStyle w:val="P68B1DB1-Normal76"/>
              <w:spacing w:after="0" w:line="240" w:lineRule="auto"/>
              <w:jc w:val="center"/>
              <w:textAlignment w:val="baseline"/>
              <w:rPr>
                <w:noProof/>
              </w:rPr>
            </w:pPr>
            <w:r>
              <w:rPr>
                <w:noProof/>
              </w:rPr>
              <w:t>M</w:t>
            </w:r>
          </w:p>
        </w:tc>
        <w:tc>
          <w:tcPr>
            <w:tcW w:w="1895" w:type="dxa"/>
            <w:tcBorders>
              <w:top w:val="single" w:sz="4" w:space="0" w:color="auto"/>
              <w:left w:val="nil"/>
              <w:bottom w:val="single" w:sz="6" w:space="0" w:color="auto"/>
              <w:right w:val="single" w:sz="6" w:space="0" w:color="auto"/>
            </w:tcBorders>
            <w:shd w:val="clear" w:color="auto" w:fill="C6EFCE"/>
          </w:tcPr>
          <w:p w14:paraId="3561CC18" w14:textId="278EFBCE" w:rsidR="00553430" w:rsidRDefault="00212577">
            <w:pPr>
              <w:pStyle w:val="P68B1DB1-Normal76"/>
              <w:spacing w:after="0" w:line="240" w:lineRule="auto"/>
              <w:textAlignment w:val="baseline"/>
              <w:rPr>
                <w:b/>
                <w:bCs/>
                <w:noProof/>
              </w:rPr>
            </w:pPr>
            <w:r>
              <w:rPr>
                <w:noProof/>
              </w:rPr>
              <w:t xml:space="preserve">Signature d'accords sur la mise en œuvre de projets pilotes </w:t>
            </w:r>
          </w:p>
        </w:tc>
        <w:tc>
          <w:tcPr>
            <w:tcW w:w="2126" w:type="dxa"/>
            <w:tcBorders>
              <w:top w:val="single" w:sz="4" w:space="0" w:color="auto"/>
              <w:left w:val="nil"/>
              <w:bottom w:val="single" w:sz="6" w:space="0" w:color="auto"/>
              <w:right w:val="single" w:sz="4" w:space="0" w:color="auto"/>
            </w:tcBorders>
            <w:shd w:val="clear" w:color="auto" w:fill="C6EFCE"/>
          </w:tcPr>
          <w:p w14:paraId="03DF7A68" w14:textId="77777777" w:rsidR="00553430" w:rsidRDefault="00212577">
            <w:pPr>
              <w:pStyle w:val="P68B1DB1-Normal76"/>
              <w:spacing w:after="0" w:line="240" w:lineRule="auto"/>
              <w:textAlignment w:val="baseline"/>
              <w:rPr>
                <w:noProof/>
              </w:rPr>
            </w:pPr>
            <w:r>
              <w:rPr>
                <w:noProof/>
              </w:rPr>
              <w:t xml:space="preserve">Signature d'accords pour la mise en œuvre de projets pilotes </w:t>
            </w:r>
          </w:p>
        </w:tc>
        <w:tc>
          <w:tcPr>
            <w:tcW w:w="993" w:type="dxa"/>
            <w:tcBorders>
              <w:top w:val="single" w:sz="4" w:space="0" w:color="auto"/>
              <w:left w:val="single" w:sz="4" w:space="0" w:color="auto"/>
              <w:bottom w:val="single" w:sz="4" w:space="0" w:color="auto"/>
              <w:right w:val="single" w:sz="4" w:space="0" w:color="auto"/>
            </w:tcBorders>
            <w:shd w:val="clear" w:color="auto" w:fill="C6EFCE"/>
            <w:hideMark/>
          </w:tcPr>
          <w:p w14:paraId="2F679869" w14:textId="77777777" w:rsidR="00553430" w:rsidRDefault="00553430">
            <w:pPr>
              <w:spacing w:after="0" w:line="240" w:lineRule="auto"/>
              <w:jc w:val="center"/>
              <w:textAlignment w:val="baseline"/>
              <w:rPr>
                <w:rFonts w:ascii="Times New Roman" w:eastAsia="Times New Roman" w:hAnsi="Times New Roman" w:cs="Times New Roman"/>
                <w:noProof/>
                <w:sz w:val="20"/>
                <w:szCs w:val="20"/>
              </w:rPr>
            </w:pPr>
          </w:p>
        </w:tc>
        <w:tc>
          <w:tcPr>
            <w:tcW w:w="850" w:type="dxa"/>
            <w:tcBorders>
              <w:top w:val="nil"/>
              <w:left w:val="single" w:sz="4" w:space="0" w:color="auto"/>
              <w:bottom w:val="single" w:sz="6" w:space="0" w:color="auto"/>
              <w:right w:val="single" w:sz="6" w:space="0" w:color="auto"/>
            </w:tcBorders>
            <w:shd w:val="clear" w:color="auto" w:fill="C6EFCE"/>
            <w:hideMark/>
          </w:tcPr>
          <w:p w14:paraId="344EC990" w14:textId="77777777" w:rsidR="00553430" w:rsidRDefault="00553430">
            <w:pPr>
              <w:spacing w:after="0" w:line="240" w:lineRule="auto"/>
              <w:jc w:val="center"/>
              <w:textAlignment w:val="baseline"/>
              <w:rPr>
                <w:rFonts w:ascii="Times New Roman" w:eastAsia="Times New Roman" w:hAnsi="Times New Roman" w:cs="Times New Roman"/>
                <w:noProof/>
                <w:sz w:val="20"/>
                <w:szCs w:val="20"/>
              </w:rPr>
            </w:pPr>
          </w:p>
        </w:tc>
        <w:tc>
          <w:tcPr>
            <w:tcW w:w="851" w:type="dxa"/>
            <w:tcBorders>
              <w:top w:val="nil"/>
              <w:left w:val="nil"/>
              <w:bottom w:val="single" w:sz="6" w:space="0" w:color="auto"/>
              <w:right w:val="single" w:sz="6" w:space="0" w:color="auto"/>
            </w:tcBorders>
            <w:shd w:val="clear" w:color="auto" w:fill="C6EFCE"/>
            <w:hideMark/>
          </w:tcPr>
          <w:p w14:paraId="4D9775D9" w14:textId="77777777" w:rsidR="00553430" w:rsidRDefault="00553430">
            <w:pPr>
              <w:spacing w:after="0" w:line="240" w:lineRule="auto"/>
              <w:jc w:val="center"/>
              <w:textAlignment w:val="baseline"/>
              <w:rPr>
                <w:rFonts w:ascii="Times New Roman" w:eastAsia="Times New Roman" w:hAnsi="Times New Roman" w:cs="Times New Roman"/>
                <w:noProof/>
                <w:sz w:val="20"/>
                <w:szCs w:val="20"/>
              </w:rPr>
            </w:pPr>
          </w:p>
        </w:tc>
        <w:tc>
          <w:tcPr>
            <w:tcW w:w="992" w:type="dxa"/>
            <w:tcBorders>
              <w:top w:val="nil"/>
              <w:left w:val="nil"/>
              <w:bottom w:val="single" w:sz="6" w:space="0" w:color="auto"/>
              <w:right w:val="single" w:sz="6" w:space="0" w:color="auto"/>
            </w:tcBorders>
            <w:shd w:val="clear" w:color="auto" w:fill="C6EFCE"/>
            <w:hideMark/>
          </w:tcPr>
          <w:p w14:paraId="4690EC2F" w14:textId="77777777" w:rsidR="00553430" w:rsidRDefault="00212577">
            <w:pPr>
              <w:pStyle w:val="P68B1DB1-Normal76"/>
              <w:spacing w:after="0" w:line="240" w:lineRule="auto"/>
              <w:jc w:val="center"/>
              <w:textAlignment w:val="baseline"/>
              <w:rPr>
                <w:noProof/>
              </w:rPr>
            </w:pPr>
            <w:r>
              <w:rPr>
                <w:noProof/>
              </w:rPr>
              <w:t>T3</w:t>
            </w:r>
          </w:p>
        </w:tc>
        <w:tc>
          <w:tcPr>
            <w:tcW w:w="693" w:type="dxa"/>
            <w:tcBorders>
              <w:top w:val="nil"/>
              <w:left w:val="nil"/>
              <w:bottom w:val="single" w:sz="6" w:space="0" w:color="auto"/>
              <w:right w:val="single" w:sz="6" w:space="0" w:color="auto"/>
            </w:tcBorders>
            <w:shd w:val="clear" w:color="auto" w:fill="C6EFCE"/>
            <w:hideMark/>
          </w:tcPr>
          <w:p w14:paraId="40C1A58F" w14:textId="77777777" w:rsidR="00553430" w:rsidRDefault="00212577">
            <w:pPr>
              <w:pStyle w:val="P68B1DB1-Normal76"/>
              <w:spacing w:after="0" w:line="240" w:lineRule="auto"/>
              <w:jc w:val="center"/>
              <w:textAlignment w:val="baseline"/>
              <w:rPr>
                <w:noProof/>
              </w:rPr>
            </w:pPr>
            <w:r>
              <w:rPr>
                <w:noProof/>
              </w:rPr>
              <w:t>2024</w:t>
            </w:r>
          </w:p>
        </w:tc>
        <w:tc>
          <w:tcPr>
            <w:tcW w:w="4116" w:type="dxa"/>
            <w:tcBorders>
              <w:top w:val="single" w:sz="4" w:space="0" w:color="auto"/>
              <w:left w:val="nil"/>
              <w:bottom w:val="single" w:sz="6" w:space="0" w:color="auto"/>
              <w:right w:val="single" w:sz="6" w:space="0" w:color="auto"/>
            </w:tcBorders>
            <w:shd w:val="clear" w:color="auto" w:fill="C6EFCE"/>
            <w:hideMark/>
          </w:tcPr>
          <w:p w14:paraId="5FF93AA9" w14:textId="77777777" w:rsidR="00553430" w:rsidRDefault="00212577">
            <w:pPr>
              <w:pStyle w:val="P68B1DB1-Normal76"/>
              <w:spacing w:after="0" w:line="240" w:lineRule="auto"/>
              <w:textAlignment w:val="baseline"/>
              <w:rPr>
                <w:noProof/>
              </w:rPr>
            </w:pPr>
            <w:r>
              <w:rPr>
                <w:noProof/>
              </w:rPr>
              <w:t>Des accords pour la mise en œuvre de projets pilotes sont signés avec les collectivités locales autonomes.</w:t>
            </w:r>
          </w:p>
        </w:tc>
      </w:tr>
      <w:tr w:rsidR="00553430" w14:paraId="1AA53B77" w14:textId="77777777" w:rsidTr="00262866">
        <w:trPr>
          <w:trHeight w:val="301"/>
        </w:trPr>
        <w:tc>
          <w:tcPr>
            <w:tcW w:w="846" w:type="dxa"/>
            <w:tcBorders>
              <w:top w:val="nil"/>
              <w:left w:val="single" w:sz="6" w:space="0" w:color="auto"/>
              <w:bottom w:val="single" w:sz="6" w:space="0" w:color="auto"/>
              <w:right w:val="single" w:sz="6" w:space="0" w:color="auto"/>
            </w:tcBorders>
            <w:shd w:val="clear" w:color="auto" w:fill="C6EFCE"/>
            <w:hideMark/>
          </w:tcPr>
          <w:p w14:paraId="45059CBE" w14:textId="77777777" w:rsidR="00553430" w:rsidRDefault="00212577">
            <w:pPr>
              <w:pStyle w:val="P68B1DB1-Normal76"/>
              <w:spacing w:after="0" w:line="240" w:lineRule="auto"/>
              <w:jc w:val="center"/>
              <w:textAlignment w:val="baseline"/>
              <w:rPr>
                <w:noProof/>
              </w:rPr>
            </w:pPr>
            <w:r>
              <w:rPr>
                <w:noProof/>
              </w:rPr>
              <w:t>403</w:t>
            </w:r>
          </w:p>
        </w:tc>
        <w:tc>
          <w:tcPr>
            <w:tcW w:w="1488" w:type="dxa"/>
            <w:tcBorders>
              <w:top w:val="nil"/>
              <w:left w:val="nil"/>
              <w:bottom w:val="single" w:sz="6" w:space="0" w:color="auto"/>
              <w:right w:val="single" w:sz="6" w:space="0" w:color="auto"/>
            </w:tcBorders>
            <w:shd w:val="clear" w:color="auto" w:fill="C6EFCE"/>
            <w:hideMark/>
          </w:tcPr>
          <w:p w14:paraId="035AFCC5" w14:textId="77777777" w:rsidR="00553430" w:rsidRDefault="00212577">
            <w:pPr>
              <w:pStyle w:val="P68B1DB1-Normal76"/>
              <w:spacing w:after="0" w:line="240" w:lineRule="auto"/>
              <w:jc w:val="center"/>
              <w:textAlignment w:val="baseline"/>
              <w:rPr>
                <w:noProof/>
              </w:rPr>
            </w:pPr>
            <w:r>
              <w:rPr>
                <w:noProof/>
              </w:rPr>
              <w:t>C6.1. R7</w:t>
            </w:r>
          </w:p>
          <w:p w14:paraId="549FB994" w14:textId="77777777" w:rsidR="00553430" w:rsidRDefault="00553430">
            <w:pPr>
              <w:spacing w:after="0" w:line="240" w:lineRule="auto"/>
              <w:jc w:val="center"/>
              <w:textAlignment w:val="baseline"/>
              <w:rPr>
                <w:rFonts w:ascii="Times New Roman" w:eastAsia="Times New Roman" w:hAnsi="Times New Roman" w:cs="Times New Roman"/>
                <w:noProof/>
                <w:sz w:val="20"/>
                <w:szCs w:val="20"/>
              </w:rPr>
            </w:pPr>
          </w:p>
        </w:tc>
        <w:tc>
          <w:tcPr>
            <w:tcW w:w="1021" w:type="dxa"/>
            <w:tcBorders>
              <w:top w:val="nil"/>
              <w:left w:val="nil"/>
              <w:bottom w:val="single" w:sz="6" w:space="0" w:color="auto"/>
              <w:right w:val="single" w:sz="6" w:space="0" w:color="auto"/>
            </w:tcBorders>
            <w:shd w:val="clear" w:color="auto" w:fill="C6EFCE"/>
            <w:hideMark/>
          </w:tcPr>
          <w:p w14:paraId="0E9F3C75" w14:textId="77777777" w:rsidR="00553430" w:rsidRDefault="00212577">
            <w:pPr>
              <w:pStyle w:val="P68B1DB1-Normal76"/>
              <w:spacing w:after="0" w:line="240" w:lineRule="auto"/>
              <w:jc w:val="center"/>
              <w:textAlignment w:val="baseline"/>
              <w:rPr>
                <w:noProof/>
              </w:rPr>
            </w:pPr>
            <w:r>
              <w:rPr>
                <w:noProof/>
              </w:rPr>
              <w:t>T</w:t>
            </w:r>
          </w:p>
        </w:tc>
        <w:tc>
          <w:tcPr>
            <w:tcW w:w="1895" w:type="dxa"/>
            <w:tcBorders>
              <w:top w:val="nil"/>
              <w:left w:val="nil"/>
              <w:bottom w:val="single" w:sz="6" w:space="0" w:color="auto"/>
              <w:right w:val="single" w:sz="6" w:space="0" w:color="auto"/>
            </w:tcBorders>
            <w:shd w:val="clear" w:color="auto" w:fill="C6EFCE"/>
            <w:hideMark/>
          </w:tcPr>
          <w:p w14:paraId="0DDF183E" w14:textId="77777777" w:rsidR="00553430" w:rsidRDefault="00212577">
            <w:pPr>
              <w:pStyle w:val="P68B1DB1-Normal76"/>
              <w:spacing w:after="0" w:line="240" w:lineRule="auto"/>
              <w:textAlignment w:val="baseline"/>
              <w:rPr>
                <w:noProof/>
              </w:rPr>
            </w:pPr>
            <w:r>
              <w:rPr>
                <w:noProof/>
              </w:rPr>
              <w:t>Projets pilotes achevés</w:t>
            </w:r>
          </w:p>
        </w:tc>
        <w:tc>
          <w:tcPr>
            <w:tcW w:w="2126" w:type="dxa"/>
            <w:tcBorders>
              <w:top w:val="nil"/>
              <w:left w:val="nil"/>
              <w:bottom w:val="single" w:sz="6" w:space="0" w:color="auto"/>
              <w:right w:val="single" w:sz="6" w:space="0" w:color="auto"/>
            </w:tcBorders>
            <w:shd w:val="clear" w:color="auto" w:fill="C6EFCE"/>
            <w:hideMark/>
          </w:tcPr>
          <w:p w14:paraId="42B1BDCB" w14:textId="77777777" w:rsidR="00553430" w:rsidRDefault="00212577">
            <w:pPr>
              <w:pStyle w:val="P68B1DB1-Normal76"/>
              <w:spacing w:after="0" w:line="240" w:lineRule="auto"/>
              <w:textAlignment w:val="baseline"/>
              <w:rPr>
                <w:noProof/>
              </w:rPr>
            </w:pPr>
            <w:r>
              <w:rPr>
                <w:noProof/>
              </w:rPr>
              <w:t xml:space="preserve"> Achèvement des projets pilotes avec des sites d'infrastructure équip</w:t>
            </w:r>
            <w:r>
              <w:rPr>
                <w:noProof/>
              </w:rPr>
              <w:t>és et opérationnels.</w:t>
            </w:r>
          </w:p>
        </w:tc>
        <w:tc>
          <w:tcPr>
            <w:tcW w:w="993" w:type="dxa"/>
            <w:tcBorders>
              <w:top w:val="single" w:sz="4" w:space="0" w:color="auto"/>
              <w:left w:val="nil"/>
              <w:bottom w:val="single" w:sz="6" w:space="0" w:color="auto"/>
              <w:right w:val="single" w:sz="6" w:space="0" w:color="auto"/>
            </w:tcBorders>
            <w:shd w:val="clear" w:color="auto" w:fill="C6EFCE"/>
            <w:hideMark/>
          </w:tcPr>
          <w:p w14:paraId="37CAE239" w14:textId="77777777" w:rsidR="00553430" w:rsidRDefault="00212577">
            <w:pPr>
              <w:pStyle w:val="P68B1DB1-Normal76"/>
              <w:spacing w:after="0" w:line="240" w:lineRule="auto"/>
              <w:jc w:val="center"/>
              <w:textAlignment w:val="baseline"/>
              <w:rPr>
                <w:noProof/>
              </w:rPr>
            </w:pPr>
            <w:r>
              <w:rPr>
                <w:noProof/>
              </w:rPr>
              <w:t>Numéro</w:t>
            </w:r>
          </w:p>
        </w:tc>
        <w:tc>
          <w:tcPr>
            <w:tcW w:w="850" w:type="dxa"/>
            <w:tcBorders>
              <w:top w:val="nil"/>
              <w:left w:val="nil"/>
              <w:bottom w:val="single" w:sz="6" w:space="0" w:color="auto"/>
              <w:right w:val="single" w:sz="6" w:space="0" w:color="auto"/>
            </w:tcBorders>
            <w:shd w:val="clear" w:color="auto" w:fill="C6EFCE"/>
            <w:hideMark/>
          </w:tcPr>
          <w:p w14:paraId="7D557780" w14:textId="77777777" w:rsidR="00553430" w:rsidRDefault="00212577">
            <w:pPr>
              <w:pStyle w:val="P68B1DB1-Normal76"/>
              <w:spacing w:after="0" w:line="240" w:lineRule="auto"/>
              <w:jc w:val="center"/>
              <w:textAlignment w:val="baseline"/>
              <w:rPr>
                <w:noProof/>
              </w:rPr>
            </w:pPr>
            <w:r>
              <w:rPr>
                <w:noProof/>
              </w:rPr>
              <w:t>0</w:t>
            </w:r>
          </w:p>
        </w:tc>
        <w:tc>
          <w:tcPr>
            <w:tcW w:w="851" w:type="dxa"/>
            <w:tcBorders>
              <w:top w:val="nil"/>
              <w:left w:val="nil"/>
              <w:bottom w:val="single" w:sz="6" w:space="0" w:color="auto"/>
              <w:right w:val="single" w:sz="6" w:space="0" w:color="auto"/>
            </w:tcBorders>
            <w:shd w:val="clear" w:color="auto" w:fill="C6EFCE"/>
            <w:hideMark/>
          </w:tcPr>
          <w:p w14:paraId="52D65EB0" w14:textId="77777777" w:rsidR="00553430" w:rsidRDefault="00212577">
            <w:pPr>
              <w:pStyle w:val="P68B1DB1-Normal76"/>
              <w:spacing w:after="0" w:line="240" w:lineRule="auto"/>
              <w:jc w:val="center"/>
              <w:textAlignment w:val="baseline"/>
              <w:rPr>
                <w:noProof/>
              </w:rPr>
            </w:pPr>
            <w:r>
              <w:rPr>
                <w:noProof/>
              </w:rPr>
              <w:t>2</w:t>
            </w:r>
          </w:p>
        </w:tc>
        <w:tc>
          <w:tcPr>
            <w:tcW w:w="992" w:type="dxa"/>
            <w:tcBorders>
              <w:top w:val="nil"/>
              <w:left w:val="nil"/>
              <w:bottom w:val="single" w:sz="6" w:space="0" w:color="auto"/>
              <w:right w:val="single" w:sz="6" w:space="0" w:color="auto"/>
            </w:tcBorders>
            <w:shd w:val="clear" w:color="auto" w:fill="C6EFCE"/>
            <w:hideMark/>
          </w:tcPr>
          <w:p w14:paraId="04FB6314" w14:textId="77777777" w:rsidR="00553430" w:rsidRDefault="00212577">
            <w:pPr>
              <w:pStyle w:val="P68B1DB1-Normal76"/>
              <w:spacing w:after="0" w:line="240" w:lineRule="auto"/>
              <w:jc w:val="center"/>
              <w:textAlignment w:val="baseline"/>
              <w:rPr>
                <w:noProof/>
              </w:rPr>
            </w:pPr>
            <w:r>
              <w:rPr>
                <w:noProof/>
              </w:rPr>
              <w:t>T1</w:t>
            </w:r>
          </w:p>
        </w:tc>
        <w:tc>
          <w:tcPr>
            <w:tcW w:w="693" w:type="dxa"/>
            <w:tcBorders>
              <w:top w:val="nil"/>
              <w:left w:val="nil"/>
              <w:bottom w:val="single" w:sz="6" w:space="0" w:color="auto"/>
              <w:right w:val="single" w:sz="6" w:space="0" w:color="auto"/>
            </w:tcBorders>
            <w:shd w:val="clear" w:color="auto" w:fill="C6EFCE"/>
            <w:hideMark/>
          </w:tcPr>
          <w:p w14:paraId="3B14A146" w14:textId="77777777" w:rsidR="00553430" w:rsidRDefault="00212577">
            <w:pPr>
              <w:pStyle w:val="P68B1DB1-Normal76"/>
              <w:spacing w:after="0" w:line="240" w:lineRule="auto"/>
              <w:jc w:val="center"/>
              <w:textAlignment w:val="baseline"/>
              <w:rPr>
                <w:noProof/>
              </w:rPr>
            </w:pPr>
            <w:r>
              <w:rPr>
                <w:noProof/>
              </w:rPr>
              <w:t>2026</w:t>
            </w:r>
          </w:p>
        </w:tc>
        <w:tc>
          <w:tcPr>
            <w:tcW w:w="4116" w:type="dxa"/>
            <w:tcBorders>
              <w:top w:val="nil"/>
              <w:left w:val="nil"/>
              <w:bottom w:val="single" w:sz="6" w:space="0" w:color="auto"/>
              <w:right w:val="single" w:sz="6" w:space="0" w:color="auto"/>
            </w:tcBorders>
            <w:shd w:val="clear" w:color="auto" w:fill="C6EFCE"/>
            <w:hideMark/>
          </w:tcPr>
          <w:p w14:paraId="217BDE50" w14:textId="77777777" w:rsidR="00553430" w:rsidRDefault="00212577">
            <w:pPr>
              <w:pStyle w:val="P68B1DB1-Normal76"/>
              <w:spacing w:after="0" w:line="240" w:lineRule="auto"/>
              <w:textAlignment w:val="baseline"/>
              <w:rPr>
                <w:noProof/>
              </w:rPr>
            </w:pPr>
            <w:r>
              <w:rPr>
                <w:noProof/>
              </w:rPr>
              <w:t>Les projets pilotes seront menés à bien dans deux collectivités locales sélectionnées, en mettant l’accent sur la réutilisation des déchets de construction provenant des bâtiments du patrimoine culturel.</w:t>
            </w:r>
          </w:p>
          <w:p w14:paraId="280C5B69" w14:textId="77777777" w:rsidR="00553430" w:rsidRDefault="00212577">
            <w:pPr>
              <w:pStyle w:val="P68B1DB1-Normal76"/>
              <w:spacing w:after="0" w:line="240" w:lineRule="auto"/>
              <w:textAlignment w:val="baseline"/>
              <w:rPr>
                <w:noProof/>
              </w:rPr>
            </w:pPr>
            <w:r>
              <w:rPr>
                <w:noProof/>
              </w:rPr>
              <w:t>Deux install</w:t>
            </w:r>
            <w:r>
              <w:rPr>
                <w:noProof/>
              </w:rPr>
              <w:t>ations de gestion des déchets de construction doivent être équipées et mises en service.</w:t>
            </w:r>
          </w:p>
          <w:p w14:paraId="7D1B9565" w14:textId="77777777" w:rsidR="00553430" w:rsidRDefault="00212577">
            <w:pPr>
              <w:pStyle w:val="P68B1DB1-Normal76"/>
              <w:spacing w:after="0" w:line="240" w:lineRule="auto"/>
              <w:textAlignment w:val="baseline"/>
              <w:rPr>
                <w:noProof/>
              </w:rPr>
            </w:pPr>
            <w:r>
              <w:rPr>
                <w:noProof/>
              </w:rPr>
              <w:t xml:space="preserve">Les projets sont mis en œuvre conformément aux principes DNSH. </w:t>
            </w:r>
          </w:p>
          <w:p w14:paraId="263F441F" w14:textId="77777777" w:rsidR="00553430" w:rsidRDefault="00212577">
            <w:pPr>
              <w:pStyle w:val="P68B1DB1-Normal76"/>
              <w:spacing w:after="0" w:line="240" w:lineRule="auto"/>
              <w:textAlignment w:val="baseline"/>
              <w:rPr>
                <w:noProof/>
              </w:rPr>
            </w:pPr>
            <w:r>
              <w:rPr>
                <w:noProof/>
              </w:rPr>
              <w:t xml:space="preserve">En cas d’acquisition de véhicules, une aide est fournie exclusivement pour les véhicules à émissions nulles et/ou les véhicules hybrides rechargeables émettant moins de 50 g de CO2/km ou les véhicules à usage spécial fondés sur les meilleures technologies </w:t>
            </w:r>
            <w:r>
              <w:rPr>
                <w:noProof/>
              </w:rPr>
              <w:t>disponibles, conformément aux règles en matière de marchés publics.</w:t>
            </w:r>
          </w:p>
          <w:p w14:paraId="642519A0" w14:textId="77777777" w:rsidR="00553430" w:rsidRDefault="00212577">
            <w:pPr>
              <w:pStyle w:val="P68B1DB1-Normal76"/>
              <w:spacing w:after="0" w:line="240" w:lineRule="auto"/>
              <w:textAlignment w:val="baseline"/>
              <w:rPr>
                <w:noProof/>
              </w:rPr>
            </w:pPr>
            <w:r>
              <w:rPr>
                <w:noProof/>
              </w:rPr>
              <w:t xml:space="preserve">Un inventaire des bâtiments sélectionnés ayant le statut de bien culturel doit être préparé pour les deux administrations locales. </w:t>
            </w:r>
          </w:p>
          <w:p w14:paraId="7E54EA16" w14:textId="77777777" w:rsidR="00553430" w:rsidRDefault="00553430">
            <w:pPr>
              <w:spacing w:after="0" w:line="240" w:lineRule="auto"/>
              <w:textAlignment w:val="baseline"/>
              <w:rPr>
                <w:rFonts w:ascii="Times New Roman" w:eastAsia="Times New Roman" w:hAnsi="Times New Roman" w:cs="Times New Roman"/>
                <w:noProof/>
                <w:sz w:val="20"/>
                <w:szCs w:val="20"/>
              </w:rPr>
            </w:pPr>
          </w:p>
        </w:tc>
      </w:tr>
      <w:tr w:rsidR="00553430" w14:paraId="1D5E5CA6" w14:textId="77777777" w:rsidTr="00262866">
        <w:trPr>
          <w:trHeight w:val="301"/>
        </w:trPr>
        <w:tc>
          <w:tcPr>
            <w:tcW w:w="846" w:type="dxa"/>
            <w:tcBorders>
              <w:top w:val="nil"/>
              <w:left w:val="single" w:sz="6" w:space="0" w:color="auto"/>
              <w:bottom w:val="single" w:sz="6" w:space="0" w:color="auto"/>
              <w:right w:val="single" w:sz="6" w:space="0" w:color="auto"/>
            </w:tcBorders>
            <w:shd w:val="clear" w:color="auto" w:fill="C6EFCE"/>
            <w:hideMark/>
          </w:tcPr>
          <w:p w14:paraId="4FE7063E" w14:textId="77777777" w:rsidR="00553430" w:rsidRDefault="00212577">
            <w:pPr>
              <w:pStyle w:val="P68B1DB1-Normal76"/>
              <w:spacing w:after="0" w:line="240" w:lineRule="auto"/>
              <w:jc w:val="center"/>
              <w:textAlignment w:val="baseline"/>
              <w:rPr>
                <w:noProof/>
              </w:rPr>
            </w:pPr>
            <w:r>
              <w:rPr>
                <w:noProof/>
              </w:rPr>
              <w:t> 404</w:t>
            </w:r>
          </w:p>
        </w:tc>
        <w:tc>
          <w:tcPr>
            <w:tcW w:w="1488" w:type="dxa"/>
            <w:tcBorders>
              <w:top w:val="nil"/>
              <w:left w:val="nil"/>
              <w:bottom w:val="single" w:sz="6" w:space="0" w:color="auto"/>
              <w:right w:val="single" w:sz="6" w:space="0" w:color="auto"/>
            </w:tcBorders>
            <w:shd w:val="clear" w:color="auto" w:fill="C6EFCE"/>
            <w:hideMark/>
          </w:tcPr>
          <w:p w14:paraId="6CE75356" w14:textId="77777777" w:rsidR="00553430" w:rsidRDefault="00212577">
            <w:pPr>
              <w:pStyle w:val="P68B1DB1-Normal76"/>
              <w:spacing w:after="0" w:line="240" w:lineRule="auto"/>
              <w:jc w:val="center"/>
              <w:textAlignment w:val="baseline"/>
              <w:rPr>
                <w:noProof/>
              </w:rPr>
            </w:pPr>
            <w:r>
              <w:rPr>
                <w:noProof/>
              </w:rPr>
              <w:t> C6.1. R7</w:t>
            </w:r>
          </w:p>
        </w:tc>
        <w:tc>
          <w:tcPr>
            <w:tcW w:w="1021" w:type="dxa"/>
            <w:tcBorders>
              <w:top w:val="nil"/>
              <w:left w:val="nil"/>
              <w:bottom w:val="single" w:sz="6" w:space="0" w:color="auto"/>
              <w:right w:val="single" w:sz="6" w:space="0" w:color="auto"/>
            </w:tcBorders>
            <w:shd w:val="clear" w:color="auto" w:fill="C6EFCE"/>
            <w:hideMark/>
          </w:tcPr>
          <w:p w14:paraId="0174E9C8" w14:textId="77777777" w:rsidR="00553430" w:rsidRDefault="00212577">
            <w:pPr>
              <w:pStyle w:val="P68B1DB1-Normal76"/>
              <w:spacing w:after="0" w:line="240" w:lineRule="auto"/>
              <w:jc w:val="center"/>
              <w:textAlignment w:val="baseline"/>
              <w:rPr>
                <w:noProof/>
              </w:rPr>
            </w:pPr>
            <w:r>
              <w:rPr>
                <w:noProof/>
                <w:color w:val="006100"/>
              </w:rPr>
              <w:t xml:space="preserve"> </w:t>
            </w:r>
            <w:r>
              <w:rPr>
                <w:noProof/>
              </w:rPr>
              <w:t>M</w:t>
            </w:r>
          </w:p>
        </w:tc>
        <w:tc>
          <w:tcPr>
            <w:tcW w:w="1895" w:type="dxa"/>
            <w:tcBorders>
              <w:top w:val="nil"/>
              <w:left w:val="nil"/>
              <w:bottom w:val="single" w:sz="6" w:space="0" w:color="auto"/>
              <w:right w:val="single" w:sz="6" w:space="0" w:color="auto"/>
            </w:tcBorders>
            <w:shd w:val="clear" w:color="auto" w:fill="C6EFCE"/>
            <w:hideMark/>
          </w:tcPr>
          <w:p w14:paraId="7D39418B" w14:textId="77777777" w:rsidR="00553430" w:rsidRDefault="00212577">
            <w:pPr>
              <w:pStyle w:val="P68B1DB1-Normal76"/>
              <w:spacing w:after="0" w:line="240" w:lineRule="auto"/>
              <w:textAlignment w:val="baseline"/>
              <w:rPr>
                <w:noProof/>
              </w:rPr>
            </w:pPr>
            <w:r>
              <w:rPr>
                <w:noProof/>
              </w:rPr>
              <w:t> Lignes directrices nationales sur l’utili</w:t>
            </w:r>
            <w:r>
              <w:rPr>
                <w:noProof/>
              </w:rPr>
              <w:t xml:space="preserve">sation circulaire des déchets de construction provenant des bâtiments ayant le statut de bien culturel </w:t>
            </w:r>
          </w:p>
        </w:tc>
        <w:tc>
          <w:tcPr>
            <w:tcW w:w="2126" w:type="dxa"/>
            <w:tcBorders>
              <w:top w:val="nil"/>
              <w:left w:val="nil"/>
              <w:bottom w:val="single" w:sz="6" w:space="0" w:color="auto"/>
              <w:right w:val="single" w:sz="6" w:space="0" w:color="auto"/>
            </w:tcBorders>
            <w:shd w:val="clear" w:color="auto" w:fill="C6EFCE"/>
            <w:hideMark/>
          </w:tcPr>
          <w:p w14:paraId="189471ED" w14:textId="77777777" w:rsidR="00553430" w:rsidRDefault="00212577">
            <w:pPr>
              <w:pStyle w:val="P68B1DB1-Normal76"/>
              <w:spacing w:after="0" w:line="240" w:lineRule="auto"/>
              <w:textAlignment w:val="baseline"/>
              <w:rPr>
                <w:noProof/>
              </w:rPr>
            </w:pPr>
            <w:r>
              <w:rPr>
                <w:noProof/>
              </w:rPr>
              <w:t xml:space="preserve">Publication de lignes directrices nationales sur l’utilisation circulaire des déchets de construction des bâtiments ayant le statut de bien culturel </w:t>
            </w:r>
          </w:p>
        </w:tc>
        <w:tc>
          <w:tcPr>
            <w:tcW w:w="993" w:type="dxa"/>
            <w:tcBorders>
              <w:top w:val="nil"/>
              <w:left w:val="nil"/>
              <w:bottom w:val="single" w:sz="6" w:space="0" w:color="auto"/>
              <w:right w:val="single" w:sz="6" w:space="0" w:color="auto"/>
            </w:tcBorders>
            <w:shd w:val="clear" w:color="auto" w:fill="C6EFCE"/>
            <w:hideMark/>
          </w:tcPr>
          <w:p w14:paraId="11E35CDA" w14:textId="77777777" w:rsidR="00553430" w:rsidRDefault="00212577">
            <w:pPr>
              <w:pStyle w:val="P68B1DB1-Normal135"/>
              <w:spacing w:after="0" w:line="240" w:lineRule="auto"/>
              <w:jc w:val="center"/>
              <w:textAlignment w:val="baseline"/>
              <w:rPr>
                <w:noProof/>
              </w:rPr>
            </w:pPr>
            <w:r>
              <w:rPr>
                <w:noProof/>
              </w:rPr>
              <w:t> </w:t>
            </w:r>
          </w:p>
        </w:tc>
        <w:tc>
          <w:tcPr>
            <w:tcW w:w="850" w:type="dxa"/>
            <w:tcBorders>
              <w:top w:val="nil"/>
              <w:left w:val="nil"/>
              <w:bottom w:val="single" w:sz="6" w:space="0" w:color="auto"/>
              <w:right w:val="single" w:sz="6" w:space="0" w:color="auto"/>
            </w:tcBorders>
            <w:shd w:val="clear" w:color="auto" w:fill="C6EFCE"/>
            <w:hideMark/>
          </w:tcPr>
          <w:p w14:paraId="5A6DE32C" w14:textId="77777777" w:rsidR="00553430" w:rsidRDefault="00212577">
            <w:pPr>
              <w:pStyle w:val="P68B1DB1-Normal76"/>
              <w:spacing w:after="0" w:line="240" w:lineRule="auto"/>
              <w:jc w:val="center"/>
              <w:textAlignment w:val="baseline"/>
              <w:rPr>
                <w:noProof/>
              </w:rPr>
            </w:pPr>
            <w:r>
              <w:rPr>
                <w:noProof/>
              </w:rPr>
              <w:t> </w:t>
            </w:r>
          </w:p>
        </w:tc>
        <w:tc>
          <w:tcPr>
            <w:tcW w:w="851" w:type="dxa"/>
            <w:tcBorders>
              <w:top w:val="nil"/>
              <w:left w:val="nil"/>
              <w:bottom w:val="single" w:sz="6" w:space="0" w:color="auto"/>
              <w:right w:val="single" w:sz="6" w:space="0" w:color="auto"/>
            </w:tcBorders>
            <w:shd w:val="clear" w:color="auto" w:fill="C6EFCE"/>
            <w:hideMark/>
          </w:tcPr>
          <w:p w14:paraId="44B0EFDE" w14:textId="77777777" w:rsidR="00553430" w:rsidRDefault="00212577">
            <w:pPr>
              <w:pStyle w:val="P68B1DB1-Normal76"/>
              <w:spacing w:after="0" w:line="240" w:lineRule="auto"/>
              <w:jc w:val="center"/>
              <w:textAlignment w:val="baseline"/>
              <w:rPr>
                <w:noProof/>
              </w:rPr>
            </w:pPr>
            <w:r>
              <w:rPr>
                <w:noProof/>
              </w:rPr>
              <w:t> </w:t>
            </w:r>
          </w:p>
        </w:tc>
        <w:tc>
          <w:tcPr>
            <w:tcW w:w="992" w:type="dxa"/>
            <w:tcBorders>
              <w:top w:val="nil"/>
              <w:left w:val="nil"/>
              <w:bottom w:val="single" w:sz="6" w:space="0" w:color="auto"/>
              <w:right w:val="single" w:sz="6" w:space="0" w:color="auto"/>
            </w:tcBorders>
            <w:shd w:val="clear" w:color="auto" w:fill="C6EFCE"/>
            <w:hideMark/>
          </w:tcPr>
          <w:p w14:paraId="52EEEC2B" w14:textId="77777777" w:rsidR="00553430" w:rsidRDefault="00212577">
            <w:pPr>
              <w:pStyle w:val="P68B1DB1-Normal76"/>
              <w:spacing w:after="0" w:line="240" w:lineRule="auto"/>
              <w:jc w:val="center"/>
              <w:textAlignment w:val="baseline"/>
              <w:rPr>
                <w:noProof/>
              </w:rPr>
            </w:pPr>
            <w:r>
              <w:rPr>
                <w:noProof/>
              </w:rPr>
              <w:t>  T1</w:t>
            </w:r>
          </w:p>
        </w:tc>
        <w:tc>
          <w:tcPr>
            <w:tcW w:w="693" w:type="dxa"/>
            <w:tcBorders>
              <w:top w:val="nil"/>
              <w:left w:val="nil"/>
              <w:bottom w:val="single" w:sz="6" w:space="0" w:color="auto"/>
              <w:right w:val="single" w:sz="6" w:space="0" w:color="auto"/>
            </w:tcBorders>
            <w:shd w:val="clear" w:color="auto" w:fill="C6EFCE"/>
            <w:hideMark/>
          </w:tcPr>
          <w:p w14:paraId="32E70344" w14:textId="77777777" w:rsidR="00553430" w:rsidRDefault="00212577">
            <w:pPr>
              <w:pStyle w:val="P68B1DB1-Normal76"/>
              <w:spacing w:after="0" w:line="240" w:lineRule="auto"/>
              <w:jc w:val="center"/>
              <w:textAlignment w:val="baseline"/>
              <w:rPr>
                <w:noProof/>
              </w:rPr>
            </w:pPr>
            <w:r>
              <w:rPr>
                <w:noProof/>
              </w:rPr>
              <w:t>  2026</w:t>
            </w:r>
          </w:p>
        </w:tc>
        <w:tc>
          <w:tcPr>
            <w:tcW w:w="4116" w:type="dxa"/>
            <w:tcBorders>
              <w:top w:val="nil"/>
              <w:left w:val="nil"/>
              <w:bottom w:val="single" w:sz="6" w:space="0" w:color="auto"/>
              <w:right w:val="single" w:sz="6" w:space="0" w:color="auto"/>
            </w:tcBorders>
            <w:shd w:val="clear" w:color="auto" w:fill="C6EFCE"/>
            <w:hideMark/>
          </w:tcPr>
          <w:p w14:paraId="637512C8" w14:textId="77777777" w:rsidR="00553430" w:rsidRDefault="00212577">
            <w:pPr>
              <w:pStyle w:val="P68B1DB1-Normal89"/>
              <w:spacing w:after="0" w:line="240" w:lineRule="auto"/>
              <w:textAlignment w:val="baseline"/>
              <w:rPr>
                <w:rFonts w:eastAsia="Times New Roman"/>
                <w:noProof/>
              </w:rPr>
            </w:pPr>
            <w:r>
              <w:rPr>
                <w:noProof/>
              </w:rPr>
              <w:t xml:space="preserve">Des lignes directrices sur l’utilisation circulaire des déchets de construction provenant de bâtiments ayant le statut de bien culturel sont publiées. Une plateforme numérique sur l’inventaire des bâtiments ayant le statut de bien culturel </w:t>
            </w:r>
            <w:r>
              <w:rPr>
                <w:noProof/>
              </w:rPr>
              <w:t>est mise en place.</w:t>
            </w:r>
          </w:p>
        </w:tc>
      </w:tr>
      <w:tr w:rsidR="00553430" w14:paraId="2E7C674C" w14:textId="77777777" w:rsidTr="00262866">
        <w:trPr>
          <w:trHeight w:val="301"/>
        </w:trPr>
        <w:tc>
          <w:tcPr>
            <w:tcW w:w="846" w:type="dxa"/>
            <w:tcBorders>
              <w:top w:val="single" w:sz="6" w:space="0" w:color="auto"/>
              <w:left w:val="single" w:sz="6" w:space="0" w:color="auto"/>
              <w:bottom w:val="single" w:sz="6" w:space="0" w:color="auto"/>
              <w:right w:val="single" w:sz="6" w:space="0" w:color="auto"/>
            </w:tcBorders>
            <w:shd w:val="clear" w:color="auto" w:fill="C6EFCE"/>
          </w:tcPr>
          <w:p w14:paraId="4815058D" w14:textId="77777777" w:rsidR="00553430" w:rsidRDefault="00212577">
            <w:pPr>
              <w:pStyle w:val="P68B1DB1-Normal76"/>
              <w:spacing w:after="0" w:line="240" w:lineRule="auto"/>
              <w:jc w:val="center"/>
              <w:textAlignment w:val="baseline"/>
              <w:rPr>
                <w:noProof/>
              </w:rPr>
            </w:pPr>
            <w:r>
              <w:rPr>
                <w:noProof/>
              </w:rPr>
              <w:t>405</w:t>
            </w:r>
          </w:p>
        </w:tc>
        <w:tc>
          <w:tcPr>
            <w:tcW w:w="1488" w:type="dxa"/>
            <w:tcBorders>
              <w:top w:val="single" w:sz="6" w:space="0" w:color="auto"/>
              <w:left w:val="single" w:sz="6" w:space="0" w:color="auto"/>
              <w:bottom w:val="single" w:sz="6" w:space="0" w:color="auto"/>
              <w:right w:val="single" w:sz="6" w:space="0" w:color="auto"/>
            </w:tcBorders>
            <w:shd w:val="clear" w:color="auto" w:fill="C6EFCE"/>
          </w:tcPr>
          <w:p w14:paraId="6982C35E" w14:textId="77777777" w:rsidR="00553430" w:rsidRDefault="00212577">
            <w:pPr>
              <w:pStyle w:val="P68B1DB1-Normal76"/>
              <w:spacing w:after="0" w:line="240" w:lineRule="auto"/>
              <w:jc w:val="center"/>
              <w:textAlignment w:val="baseline"/>
              <w:rPr>
                <w:noProof/>
              </w:rPr>
            </w:pPr>
            <w:r>
              <w:rPr>
                <w:noProof/>
              </w:rPr>
              <w:t>C6.1. R1 à I4</w:t>
            </w:r>
          </w:p>
        </w:tc>
        <w:tc>
          <w:tcPr>
            <w:tcW w:w="1021" w:type="dxa"/>
            <w:tcBorders>
              <w:top w:val="single" w:sz="6" w:space="0" w:color="auto"/>
              <w:left w:val="single" w:sz="6" w:space="0" w:color="auto"/>
              <w:bottom w:val="single" w:sz="6" w:space="0" w:color="auto"/>
              <w:right w:val="single" w:sz="6" w:space="0" w:color="auto"/>
            </w:tcBorders>
            <w:shd w:val="clear" w:color="auto" w:fill="C6EFCE"/>
          </w:tcPr>
          <w:p w14:paraId="588DE27C" w14:textId="77777777" w:rsidR="00553430" w:rsidRDefault="00212577">
            <w:pPr>
              <w:pStyle w:val="P68B1DB1-Normal76"/>
              <w:spacing w:after="0" w:line="240" w:lineRule="auto"/>
              <w:jc w:val="center"/>
              <w:textAlignment w:val="baseline"/>
              <w:rPr>
                <w:noProof/>
              </w:rPr>
            </w:pPr>
            <w:r>
              <w:rPr>
                <w:noProof/>
              </w:rPr>
              <w:t>M</w:t>
            </w:r>
          </w:p>
        </w:tc>
        <w:tc>
          <w:tcPr>
            <w:tcW w:w="1895" w:type="dxa"/>
            <w:tcBorders>
              <w:top w:val="single" w:sz="6" w:space="0" w:color="auto"/>
              <w:left w:val="single" w:sz="6" w:space="0" w:color="auto"/>
              <w:bottom w:val="single" w:sz="6" w:space="0" w:color="auto"/>
              <w:right w:val="single" w:sz="6" w:space="0" w:color="auto"/>
            </w:tcBorders>
            <w:shd w:val="clear" w:color="auto" w:fill="C6EFCE"/>
          </w:tcPr>
          <w:p w14:paraId="56369A1E" w14:textId="77777777" w:rsidR="00553430" w:rsidRDefault="00212577">
            <w:pPr>
              <w:pStyle w:val="P68B1DB1-Normal76"/>
              <w:spacing w:after="0" w:line="240" w:lineRule="auto"/>
              <w:textAlignment w:val="baseline"/>
              <w:rPr>
                <w:noProof/>
              </w:rPr>
            </w:pPr>
            <w:r>
              <w:rPr>
                <w:noProof/>
              </w:rPr>
              <w:t>Lignes directrices pour la rénovation énergétique des bâtiments ayant le statut de bien culturel</w:t>
            </w:r>
          </w:p>
        </w:tc>
        <w:tc>
          <w:tcPr>
            <w:tcW w:w="2126" w:type="dxa"/>
            <w:tcBorders>
              <w:top w:val="single" w:sz="6" w:space="0" w:color="auto"/>
              <w:left w:val="single" w:sz="6" w:space="0" w:color="auto"/>
              <w:bottom w:val="single" w:sz="6" w:space="0" w:color="auto"/>
              <w:right w:val="single" w:sz="6" w:space="0" w:color="auto"/>
            </w:tcBorders>
            <w:shd w:val="clear" w:color="auto" w:fill="C6EFCE"/>
          </w:tcPr>
          <w:p w14:paraId="07C36065" w14:textId="77777777" w:rsidR="00553430" w:rsidRDefault="00212577">
            <w:pPr>
              <w:pStyle w:val="P68B1DB1-Normal76"/>
              <w:spacing w:after="0" w:line="240" w:lineRule="auto"/>
              <w:textAlignment w:val="baseline"/>
              <w:rPr>
                <w:noProof/>
              </w:rPr>
            </w:pPr>
            <w:r>
              <w:rPr>
                <w:noProof/>
              </w:rPr>
              <w:t>Publication sur le site officiel du Ministère de la Culture et des Médias</w:t>
            </w:r>
          </w:p>
        </w:tc>
        <w:tc>
          <w:tcPr>
            <w:tcW w:w="993" w:type="dxa"/>
            <w:tcBorders>
              <w:top w:val="single" w:sz="6" w:space="0" w:color="auto"/>
              <w:left w:val="single" w:sz="6" w:space="0" w:color="auto"/>
              <w:bottom w:val="single" w:sz="6" w:space="0" w:color="auto"/>
              <w:right w:val="single" w:sz="6" w:space="0" w:color="auto"/>
            </w:tcBorders>
            <w:shd w:val="clear" w:color="auto" w:fill="C6EFCE"/>
          </w:tcPr>
          <w:p w14:paraId="6D55C0F4" w14:textId="77777777" w:rsidR="00553430" w:rsidRDefault="00553430">
            <w:pPr>
              <w:spacing w:after="0" w:line="240" w:lineRule="auto"/>
              <w:jc w:val="center"/>
              <w:textAlignment w:val="baseline"/>
              <w:rPr>
                <w:rFonts w:ascii="Times New Roman" w:eastAsia="Times New Roman" w:hAnsi="Times New Roman" w:cs="Times New Roman"/>
                <w:noProof/>
                <w:sz w:val="20"/>
                <w:szCs w:val="20"/>
              </w:rPr>
            </w:pPr>
          </w:p>
        </w:tc>
        <w:tc>
          <w:tcPr>
            <w:tcW w:w="850" w:type="dxa"/>
            <w:tcBorders>
              <w:top w:val="single" w:sz="6" w:space="0" w:color="auto"/>
              <w:left w:val="single" w:sz="6" w:space="0" w:color="auto"/>
              <w:bottom w:val="single" w:sz="6" w:space="0" w:color="auto"/>
              <w:right w:val="single" w:sz="6" w:space="0" w:color="auto"/>
            </w:tcBorders>
            <w:shd w:val="clear" w:color="auto" w:fill="C6EFCE"/>
          </w:tcPr>
          <w:p w14:paraId="0DD84EAC" w14:textId="77777777" w:rsidR="00553430" w:rsidRDefault="00553430">
            <w:pPr>
              <w:spacing w:after="0" w:line="240" w:lineRule="auto"/>
              <w:jc w:val="center"/>
              <w:textAlignment w:val="baseline"/>
              <w:rPr>
                <w:rFonts w:ascii="Times New Roman" w:eastAsia="Times New Roman" w:hAnsi="Times New Roman" w:cs="Times New Roman"/>
                <w:noProof/>
                <w:sz w:val="20"/>
                <w:szCs w:val="20"/>
              </w:rPr>
            </w:pPr>
          </w:p>
        </w:tc>
        <w:tc>
          <w:tcPr>
            <w:tcW w:w="851" w:type="dxa"/>
            <w:tcBorders>
              <w:top w:val="single" w:sz="6" w:space="0" w:color="auto"/>
              <w:left w:val="single" w:sz="6" w:space="0" w:color="auto"/>
              <w:bottom w:val="single" w:sz="6" w:space="0" w:color="auto"/>
              <w:right w:val="single" w:sz="6" w:space="0" w:color="auto"/>
            </w:tcBorders>
            <w:shd w:val="clear" w:color="auto" w:fill="C6EFCE"/>
          </w:tcPr>
          <w:p w14:paraId="3E4EE40B" w14:textId="77777777" w:rsidR="00553430" w:rsidRDefault="00553430">
            <w:pPr>
              <w:spacing w:after="0" w:line="240" w:lineRule="auto"/>
              <w:jc w:val="center"/>
              <w:textAlignment w:val="baseline"/>
              <w:rPr>
                <w:rFonts w:ascii="Times New Roman" w:eastAsia="Times New Roman" w:hAnsi="Times New Roman" w:cs="Times New Roman"/>
                <w:noProof/>
                <w:sz w:val="20"/>
                <w:szCs w:val="20"/>
              </w:rPr>
            </w:pPr>
          </w:p>
        </w:tc>
        <w:tc>
          <w:tcPr>
            <w:tcW w:w="992" w:type="dxa"/>
            <w:tcBorders>
              <w:top w:val="single" w:sz="6" w:space="0" w:color="auto"/>
              <w:left w:val="single" w:sz="6" w:space="0" w:color="auto"/>
              <w:bottom w:val="single" w:sz="6" w:space="0" w:color="auto"/>
              <w:right w:val="single" w:sz="6" w:space="0" w:color="auto"/>
            </w:tcBorders>
            <w:shd w:val="clear" w:color="auto" w:fill="C6EFCE"/>
          </w:tcPr>
          <w:p w14:paraId="738F3F60" w14:textId="77777777" w:rsidR="00553430" w:rsidRDefault="00212577">
            <w:pPr>
              <w:pStyle w:val="P68B1DB1-Normal76"/>
              <w:spacing w:after="0" w:line="240" w:lineRule="auto"/>
              <w:jc w:val="center"/>
              <w:textAlignment w:val="baseline"/>
              <w:rPr>
                <w:noProof/>
              </w:rPr>
            </w:pPr>
            <w:r>
              <w:rPr>
                <w:noProof/>
              </w:rPr>
              <w:t>T4</w:t>
            </w:r>
          </w:p>
        </w:tc>
        <w:tc>
          <w:tcPr>
            <w:tcW w:w="693" w:type="dxa"/>
            <w:tcBorders>
              <w:top w:val="single" w:sz="6" w:space="0" w:color="auto"/>
              <w:left w:val="single" w:sz="6" w:space="0" w:color="auto"/>
              <w:bottom w:val="single" w:sz="6" w:space="0" w:color="auto"/>
              <w:right w:val="single" w:sz="6" w:space="0" w:color="auto"/>
            </w:tcBorders>
            <w:shd w:val="clear" w:color="auto" w:fill="C6EFCE"/>
          </w:tcPr>
          <w:p w14:paraId="597F4DB8" w14:textId="77777777" w:rsidR="00553430" w:rsidRDefault="00212577">
            <w:pPr>
              <w:pStyle w:val="P68B1DB1-Normal76"/>
              <w:spacing w:after="0" w:line="240" w:lineRule="auto"/>
              <w:jc w:val="center"/>
              <w:textAlignment w:val="baseline"/>
              <w:rPr>
                <w:noProof/>
              </w:rPr>
            </w:pPr>
            <w:r>
              <w:rPr>
                <w:noProof/>
              </w:rPr>
              <w:t>2023</w:t>
            </w:r>
          </w:p>
        </w:tc>
        <w:tc>
          <w:tcPr>
            <w:tcW w:w="4116" w:type="dxa"/>
            <w:tcBorders>
              <w:top w:val="single" w:sz="6" w:space="0" w:color="auto"/>
              <w:left w:val="single" w:sz="6" w:space="0" w:color="auto"/>
              <w:bottom w:val="single" w:sz="6" w:space="0" w:color="auto"/>
              <w:right w:val="single" w:sz="6" w:space="0" w:color="auto"/>
            </w:tcBorders>
            <w:shd w:val="clear" w:color="auto" w:fill="C6EFCE"/>
          </w:tcPr>
          <w:p w14:paraId="03D571D3" w14:textId="77777777" w:rsidR="00553430" w:rsidRDefault="00212577">
            <w:pPr>
              <w:pStyle w:val="P68B1DB1-Normal76"/>
              <w:spacing w:after="0" w:line="240" w:lineRule="auto"/>
              <w:textAlignment w:val="baseline"/>
              <w:rPr>
                <w:noProof/>
              </w:rPr>
            </w:pPr>
            <w:r>
              <w:rPr>
                <w:noProof/>
              </w:rPr>
              <w:t xml:space="preserve">Des lignes directrices pour la </w:t>
            </w:r>
            <w:r>
              <w:rPr>
                <w:noProof/>
              </w:rPr>
              <w:t>rénovation énergétique des bâtiments ayant le statut de bien culturel sont élaborées et publiées sur le site web officiel du ministère de la culture et des médias. Les lignes directrices fournissent des recommandations sur les mesures de rénovation énergét</w:t>
            </w:r>
            <w:r>
              <w:rPr>
                <w:noProof/>
              </w:rPr>
              <w:t>ique, les solutions techniques et les matériaux modernes, et clarifient les procédures de préparation de la documentation et d’obtention des autorisations nécessaires.</w:t>
            </w:r>
          </w:p>
        </w:tc>
      </w:tr>
    </w:tbl>
    <w:p w14:paraId="75939890" w14:textId="77777777" w:rsidR="00553430" w:rsidRDefault="00553430">
      <w:pPr>
        <w:keepNext/>
        <w:tabs>
          <w:tab w:val="left" w:pos="284"/>
        </w:tabs>
        <w:spacing w:after="200" w:line="276" w:lineRule="auto"/>
        <w:ind w:left="850" w:firstLine="1"/>
        <w:jc w:val="both"/>
        <w:outlineLvl w:val="0"/>
        <w:rPr>
          <w:rFonts w:eastAsia="Calibri"/>
          <w:b/>
          <w:noProof/>
          <w:szCs w:val="24"/>
        </w:rPr>
        <w:sectPr w:rsidR="00553430" w:rsidSect="00FA29B2">
          <w:headerReference w:type="even" r:id="rId405"/>
          <w:headerReference w:type="default" r:id="rId406"/>
          <w:footerReference w:type="even" r:id="rId407"/>
          <w:footerReference w:type="default" r:id="rId408"/>
          <w:headerReference w:type="first" r:id="rId409"/>
          <w:footerReference w:type="first" r:id="rId410"/>
          <w:pgSz w:w="16839" w:h="11907" w:orient="landscape"/>
          <w:pgMar w:top="1134" w:right="1134" w:bottom="1134" w:left="1134" w:header="567" w:footer="567" w:gutter="0"/>
          <w:cols w:space="708"/>
          <w:docGrid w:linePitch="360"/>
        </w:sectPr>
      </w:pPr>
    </w:p>
    <w:p w14:paraId="3A50B0DE" w14:textId="77777777" w:rsidR="00553430" w:rsidRDefault="00212577">
      <w:pPr>
        <w:pStyle w:val="P68B1DB1-Normal136"/>
        <w:keepNext/>
        <w:tabs>
          <w:tab w:val="left" w:pos="284"/>
        </w:tabs>
        <w:spacing w:after="200" w:line="276" w:lineRule="auto"/>
        <w:ind w:left="850" w:firstLine="1"/>
        <w:jc w:val="both"/>
        <w:outlineLvl w:val="0"/>
        <w:rPr>
          <w:smallCaps/>
          <w:noProof/>
        </w:rPr>
      </w:pPr>
      <w:r>
        <w:rPr>
          <w:noProof/>
        </w:rPr>
        <w:t>W. ÉLÉMENT 7.1: ÉNERGIE</w:t>
      </w:r>
      <w:r>
        <w:rPr>
          <w:noProof/>
        </w:rPr>
        <w:t xml:space="preserve"> ET TRANSPORTS DURABLES (COMposant</w:t>
      </w:r>
      <w:r>
        <w:rPr>
          <w:smallCaps/>
          <w:noProof/>
        </w:rPr>
        <w:t xml:space="preserve"> REPowerEU)</w:t>
      </w:r>
    </w:p>
    <w:p w14:paraId="7D45B299" w14:textId="77777777" w:rsidR="00553430" w:rsidRDefault="00212577">
      <w:pPr>
        <w:pStyle w:val="paragraph"/>
        <w:spacing w:before="0" w:beforeAutospacing="0" w:after="0" w:afterAutospacing="0"/>
        <w:jc w:val="both"/>
        <w:textAlignment w:val="baseline"/>
        <w:rPr>
          <w:noProof/>
        </w:rPr>
      </w:pPr>
      <w:r>
        <w:rPr>
          <w:noProof/>
        </w:rPr>
        <w:t>Le principal objectif de ce volet est de réduire la dépendance à l’égard des combustibles fossiles, en particulier en provenance de Russie, et d’accélérer la transition écologique dans l’ensemble de l’économie.</w:t>
      </w:r>
      <w:r>
        <w:rPr>
          <w:noProof/>
          <w:color w:val="000000" w:themeColor="text1"/>
        </w:rPr>
        <w:t xml:space="preserve"> Cet objectif devrait être atteint au moyen de mesures </w:t>
      </w:r>
      <w:r>
        <w:rPr>
          <w:noProof/>
        </w:rPr>
        <w:t xml:space="preserve">liées aux réseaux énergétiques, au gaz naturel liquéfié et aux infrastructures gazières, à l’adoption de sources d’énergie renouvelables, au transport à émissions nulles et à l’hydrogène renouvelable. </w:t>
      </w:r>
      <w:r>
        <w:rPr>
          <w:noProof/>
        </w:rPr>
        <w:t>Les mesures mentionnées visent à améliorer la sécurité d’approvisionnement et la diversification de l’approvisionnement de l’Union en gaz, à réduire la dépendance à l’égard des combustibles fossiles en augmentant la production et l’utilisation d’énergies r</w:t>
      </w:r>
      <w:r>
        <w:rPr>
          <w:noProof/>
        </w:rPr>
        <w:t>enouvelables telles que le biométhane durable, l’hydrogène renouvelable et la géothermie, à accroître la part des énergies renouvelables et à accélérer leur déploiement, à contribuer à accroître la sécurité énergétique et à remédier aux goulets d’étranglem</w:t>
      </w:r>
      <w:r>
        <w:rPr>
          <w:noProof/>
        </w:rPr>
        <w:t xml:space="preserve">ent dans la distribution d’électricité, ainsi qu’à soutenir le transport à émissions nulles. </w:t>
      </w:r>
    </w:p>
    <w:p w14:paraId="75E19323" w14:textId="77777777" w:rsidR="00553430" w:rsidRDefault="00553430">
      <w:pPr>
        <w:pStyle w:val="paragraph"/>
        <w:spacing w:before="0" w:beforeAutospacing="0" w:after="0" w:afterAutospacing="0"/>
        <w:jc w:val="both"/>
        <w:textAlignment w:val="baseline"/>
        <w:rPr>
          <w:noProof/>
        </w:rPr>
      </w:pPr>
    </w:p>
    <w:p w14:paraId="69D693C8" w14:textId="77777777" w:rsidR="00553430" w:rsidRDefault="00212577">
      <w:pPr>
        <w:pStyle w:val="paragraph"/>
        <w:spacing w:before="0" w:beforeAutospacing="0" w:after="0" w:afterAutospacing="0"/>
        <w:jc w:val="both"/>
        <w:textAlignment w:val="baseline"/>
        <w:rPr>
          <w:noProof/>
          <w:color w:val="000000" w:themeColor="text1"/>
        </w:rPr>
      </w:pPr>
      <w:r>
        <w:rPr>
          <w:noProof/>
        </w:rPr>
        <w:t>Sur les neuf mesures relevant de ce volet, huit ont une dimension transfrontière ou plurinationale. Les investissements les plus importants ayant une dimension t</w:t>
      </w:r>
      <w:r>
        <w:rPr>
          <w:noProof/>
        </w:rPr>
        <w:t xml:space="preserve">ransfrontière ou multinationale concernent l’augmentation de la capacité du terminal GNL sur l’île de Krk et le renforcement des infrastructures gazières, ainsi que le </w:t>
      </w:r>
      <w:r>
        <w:rPr>
          <w:noProof/>
          <w:color w:val="000000" w:themeColor="text1"/>
        </w:rPr>
        <w:t>renforcement des capacités de transport et de distribution du réseau</w:t>
      </w:r>
      <w:r>
        <w:rPr>
          <w:noProof/>
          <w:color w:val="000000" w:themeColor="text1"/>
          <w:u w:val="single"/>
        </w:rPr>
        <w:t xml:space="preserve"> </w:t>
      </w:r>
      <w:r>
        <w:rPr>
          <w:noProof/>
          <w:color w:val="000000" w:themeColor="text1"/>
        </w:rPr>
        <w:t>électrique. D’autre</w:t>
      </w:r>
      <w:r>
        <w:rPr>
          <w:noProof/>
          <w:color w:val="000000" w:themeColor="text1"/>
        </w:rPr>
        <w:t>s investissements notables ayant une dimension transfrontière ou plurinationale concernent l’adoption accrue des énergies renouvelables, telles que l’hydrogène renouvelable, le biométhane durable et l’énergie géothermique, ainsi que les investissements dan</w:t>
      </w:r>
      <w:r>
        <w:rPr>
          <w:noProof/>
          <w:color w:val="000000" w:themeColor="text1"/>
        </w:rPr>
        <w:t>s des véhicules fonctionnant aux carburants alternatifs pour les transports publics réguliers urbains et suburbains et le développement d’infrastructures pour carburants alternatifs dans le transport routier.</w:t>
      </w:r>
    </w:p>
    <w:p w14:paraId="67F0596A" w14:textId="77777777" w:rsidR="00553430" w:rsidRDefault="00553430">
      <w:pPr>
        <w:pStyle w:val="paragraph"/>
        <w:spacing w:before="0" w:beforeAutospacing="0" w:after="0" w:afterAutospacing="0"/>
        <w:jc w:val="both"/>
        <w:textAlignment w:val="baseline"/>
        <w:rPr>
          <w:noProof/>
          <w:color w:val="000000" w:themeColor="text1"/>
        </w:rPr>
      </w:pPr>
    </w:p>
    <w:p w14:paraId="0AA317B8" w14:textId="77777777" w:rsidR="00553430" w:rsidRDefault="00212577">
      <w:pPr>
        <w:pStyle w:val="paragraph"/>
        <w:spacing w:before="0" w:beforeAutospacing="0" w:after="0" w:afterAutospacing="0"/>
        <w:jc w:val="both"/>
        <w:textAlignment w:val="baseline"/>
        <w:rPr>
          <w:noProof/>
          <w:color w:val="000000" w:themeColor="text1"/>
        </w:rPr>
      </w:pPr>
      <w:r>
        <w:rPr>
          <w:noProof/>
          <w:color w:val="000000" w:themeColor="text1"/>
        </w:rPr>
        <w:t>Les investissements et les réformes contribuen</w:t>
      </w:r>
      <w:r>
        <w:rPr>
          <w:noProof/>
          <w:color w:val="000000" w:themeColor="text1"/>
        </w:rPr>
        <w:t>t à donner suite aux recommandations par pays</w:t>
      </w:r>
      <w:r>
        <w:rPr>
          <w:noProof/>
        </w:rPr>
        <w:t xml:space="preserve"> adressées à la Croatie sur la nécessité de moderniser les réseaux de transport et de distribution d’électricité (recommandations 2022.3.3 et 2023.3.4), d’accroître le déploiement et l’utilisation des sources d’</w:t>
      </w:r>
      <w:r>
        <w:rPr>
          <w:noProof/>
        </w:rPr>
        <w:t>énergie renouvelables (recommandations 2019.3.3, 2020.3.8, 2022.3.2, 2023.3.1 et 3.2), de diversifier les importations de combustibles fossiles (recommandations 2022.3.1) et de réduire la dépendance à l’égard des combustibles fossiles dans les transports e</w:t>
      </w:r>
      <w:r>
        <w:rPr>
          <w:noProof/>
        </w:rPr>
        <w:t>t de promouvoir des transports à émissions nulles (recommandations 2019.3.3, 2020.3.7, 2022.3.5, 2023.3.1 et 3.6).</w:t>
      </w:r>
    </w:p>
    <w:p w14:paraId="2DD1AA03" w14:textId="77777777" w:rsidR="00553430" w:rsidRDefault="00553430">
      <w:pPr>
        <w:pStyle w:val="paragraph"/>
        <w:spacing w:before="0" w:beforeAutospacing="0" w:after="0" w:afterAutospacing="0"/>
        <w:jc w:val="both"/>
        <w:textAlignment w:val="baseline"/>
        <w:rPr>
          <w:noProof/>
          <w:color w:val="000000" w:themeColor="text1"/>
        </w:rPr>
      </w:pPr>
    </w:p>
    <w:p w14:paraId="5F740975" w14:textId="77777777" w:rsidR="00553430" w:rsidRDefault="00212577">
      <w:pPr>
        <w:pStyle w:val="paragraph"/>
        <w:spacing w:before="0" w:beforeAutospacing="0" w:after="0" w:afterAutospacing="0"/>
        <w:jc w:val="both"/>
        <w:textAlignment w:val="baseline"/>
        <w:rPr>
          <w:noProof/>
          <w:color w:val="000000" w:themeColor="text1"/>
        </w:rPr>
      </w:pPr>
      <w:r>
        <w:rPr>
          <w:noProof/>
          <w:color w:val="000000" w:themeColor="text1"/>
        </w:rPr>
        <w:t>Aucune mesure relevant de cette composante ne devrait causer de préjudice important aux objectifs environnementaux au sens de l’article 17 d</w:t>
      </w:r>
      <w:r>
        <w:rPr>
          <w:noProof/>
          <w:color w:val="000000" w:themeColor="text1"/>
        </w:rPr>
        <w:t>u règlement (UE) 2020/852, compte tenu de la description des mesures et des mesures d’atténuation énoncées dans le plan pour la reprise et la résilience conformément aux orientations techniques «Ne pas causer de préjudice important» [C(2023)</w:t>
      </w:r>
      <w:r>
        <w:rPr>
          <w:rFonts w:eastAsia="Calibri"/>
          <w:noProof/>
        </w:rPr>
        <w:t xml:space="preserve"> 6454 final],</w:t>
      </w:r>
      <w:r>
        <w:rPr>
          <w:noProof/>
          <w:color w:val="000000" w:themeColor="text1"/>
        </w:rPr>
        <w:t xml:space="preserve"> t</w:t>
      </w:r>
      <w:r>
        <w:rPr>
          <w:noProof/>
          <w:color w:val="000000" w:themeColor="text1"/>
        </w:rPr>
        <w:t>andis que le principe consistant à «ne pas causer de préjudice important» ne s’applique pas à l’investissement C7.1 I3 – Accroître la capacité du terminal GNL sur l’île de Krk et renforcer l’infrastructure gazière, conformément à l’article 21 quater, parag</w:t>
      </w:r>
      <w:r>
        <w:rPr>
          <w:noProof/>
          <w:color w:val="000000" w:themeColor="text1"/>
        </w:rPr>
        <w:t>raphe 6, du règlement (UE) 2021/241.</w:t>
      </w:r>
    </w:p>
    <w:p w14:paraId="019BBB94" w14:textId="77777777" w:rsidR="00553430" w:rsidRDefault="00553430">
      <w:pPr>
        <w:pStyle w:val="paragraph"/>
        <w:spacing w:before="0" w:beforeAutospacing="0" w:after="0" w:afterAutospacing="0"/>
        <w:jc w:val="both"/>
        <w:textAlignment w:val="baseline"/>
        <w:rPr>
          <w:noProof/>
        </w:rPr>
      </w:pPr>
    </w:p>
    <w:p w14:paraId="4E77C9B9" w14:textId="77777777" w:rsidR="00553430" w:rsidRDefault="00212577">
      <w:pPr>
        <w:pStyle w:val="paragraph"/>
        <w:spacing w:before="0" w:beforeAutospacing="0" w:after="0" w:afterAutospacing="0"/>
        <w:jc w:val="both"/>
        <w:textAlignment w:val="baseline"/>
        <w:rPr>
          <w:noProof/>
        </w:rPr>
      </w:pPr>
      <w:r>
        <w:rPr>
          <w:rStyle w:val="normaltextrun"/>
          <w:b/>
          <w:noProof/>
          <w:u w:val="single"/>
        </w:rPr>
        <w:t xml:space="preserve">W.1. </w:t>
      </w:r>
      <w:r>
        <w:rPr>
          <w:rStyle w:val="tabchar"/>
          <w:noProof/>
          <w:u w:val="single"/>
        </w:rPr>
        <w:t xml:space="preserve"> </w:t>
      </w:r>
      <w:r>
        <w:rPr>
          <w:rStyle w:val="normaltextrun"/>
          <w:b/>
          <w:noProof/>
          <w:u w:val="single"/>
        </w:rPr>
        <w:t>Description des réformes et des investissements pour le soutien financier non remboursable</w:t>
      </w:r>
      <w:r>
        <w:rPr>
          <w:rStyle w:val="eop"/>
          <w:noProof/>
        </w:rPr>
        <w:t> </w:t>
      </w:r>
    </w:p>
    <w:p w14:paraId="64829772" w14:textId="77777777" w:rsidR="00553430" w:rsidRDefault="00553430">
      <w:pPr>
        <w:pStyle w:val="paragraph"/>
        <w:spacing w:before="0" w:beforeAutospacing="0" w:after="0" w:afterAutospacing="0"/>
        <w:jc w:val="both"/>
        <w:textAlignment w:val="baseline"/>
        <w:rPr>
          <w:rStyle w:val="normaltextrun"/>
          <w:noProof/>
        </w:rPr>
      </w:pPr>
    </w:p>
    <w:p w14:paraId="00F8E289" w14:textId="77777777" w:rsidR="00553430" w:rsidRDefault="00212577">
      <w:pPr>
        <w:pStyle w:val="P68B1DB1-paragraph57"/>
        <w:spacing w:before="0" w:beforeAutospacing="0" w:after="0" w:afterAutospacing="0"/>
        <w:ind w:firstLine="720"/>
        <w:jc w:val="both"/>
        <w:textAlignment w:val="baseline"/>
        <w:rPr>
          <w:bCs/>
          <w:noProof/>
          <w:color w:val="000000" w:themeColor="text1"/>
        </w:rPr>
      </w:pPr>
      <w:r>
        <w:rPr>
          <w:noProof/>
          <w:color w:val="000000" w:themeColor="text1"/>
        </w:rPr>
        <w:t xml:space="preserve">Réforme C7.1 R1 - </w:t>
      </w:r>
      <w:r>
        <w:rPr>
          <w:noProof/>
        </w:rPr>
        <w:t>Mesure renforcée:</w:t>
      </w:r>
      <w:r>
        <w:rPr>
          <w:noProof/>
          <w:color w:val="000000" w:themeColor="text1"/>
        </w:rPr>
        <w:t xml:space="preserve"> Décarbonation du secteur de l’énergie</w:t>
      </w:r>
    </w:p>
    <w:p w14:paraId="67174762" w14:textId="77777777" w:rsidR="00553430" w:rsidRDefault="00553430">
      <w:pPr>
        <w:pStyle w:val="paragraph"/>
        <w:spacing w:before="0" w:beforeAutospacing="0" w:after="0" w:afterAutospacing="0"/>
        <w:ind w:firstLine="720"/>
        <w:jc w:val="both"/>
        <w:textAlignment w:val="baseline"/>
        <w:rPr>
          <w:bCs/>
          <w:noProof/>
          <w:color w:val="000000" w:themeColor="text1"/>
          <w:u w:val="single"/>
        </w:rPr>
      </w:pPr>
    </w:p>
    <w:p w14:paraId="031A5B7D" w14:textId="77777777" w:rsidR="00553430" w:rsidRDefault="00212577">
      <w:pPr>
        <w:pStyle w:val="paragraph"/>
        <w:spacing w:before="0" w:beforeAutospacing="0" w:after="0" w:afterAutospacing="0"/>
        <w:jc w:val="both"/>
        <w:textAlignment w:val="baseline"/>
        <w:rPr>
          <w:noProof/>
        </w:rPr>
      </w:pPr>
      <w:r>
        <w:rPr>
          <w:noProof/>
        </w:rPr>
        <w:t xml:space="preserve">L’objectif </w:t>
      </w:r>
      <w:r>
        <w:rPr>
          <w:rFonts w:eastAsia="Calibri"/>
          <w:noProof/>
        </w:rPr>
        <w:t xml:space="preserve">de cette mesure est de renforcer </w:t>
      </w:r>
      <w:r>
        <w:rPr>
          <w:rFonts w:eastAsia="Calibri"/>
          <w:noProof/>
        </w:rPr>
        <w:t>la réforme</w:t>
      </w:r>
      <w:r>
        <w:rPr>
          <w:noProof/>
        </w:rPr>
        <w:t xml:space="preserve"> C1.2 R1: </w:t>
      </w:r>
      <w:r>
        <w:rPr>
          <w:noProof/>
          <w:color w:val="000000"/>
        </w:rPr>
        <w:t xml:space="preserve">Décarbonation du secteur de l’énergie au titre du </w:t>
      </w:r>
      <w:r>
        <w:rPr>
          <w:noProof/>
        </w:rPr>
        <w:t xml:space="preserve">volet 1.2 (Transition énergétique pour une économie durable). </w:t>
      </w:r>
    </w:p>
    <w:p w14:paraId="25348408" w14:textId="77777777" w:rsidR="00553430" w:rsidRDefault="00212577">
      <w:pPr>
        <w:pStyle w:val="paragraph"/>
        <w:spacing w:before="0" w:beforeAutospacing="0" w:after="0" w:afterAutospacing="0"/>
        <w:jc w:val="both"/>
        <w:textAlignment w:val="baseline"/>
        <w:rPr>
          <w:noProof/>
        </w:rPr>
      </w:pPr>
      <w:r>
        <w:rPr>
          <w:noProof/>
        </w:rPr>
        <w:t xml:space="preserve">La mesure consiste en </w:t>
      </w:r>
      <w:r>
        <w:rPr>
          <w:rFonts w:eastAsia="Calibri"/>
          <w:noProof/>
        </w:rPr>
        <w:t>un système d'autoconsommation</w:t>
      </w:r>
      <w:r>
        <w:rPr>
          <w:noProof/>
        </w:rPr>
        <w:t xml:space="preserve"> pour les installations de production d'énergie en auto-approvisionnemen</w:t>
      </w:r>
      <w:r>
        <w:rPr>
          <w:noProof/>
        </w:rPr>
        <w:t>t.</w:t>
      </w:r>
    </w:p>
    <w:p w14:paraId="6AB9F488" w14:textId="77777777" w:rsidR="00553430" w:rsidRDefault="00553430">
      <w:pPr>
        <w:pStyle w:val="paragraph"/>
        <w:spacing w:before="0" w:beforeAutospacing="0" w:after="0" w:afterAutospacing="0"/>
        <w:jc w:val="both"/>
        <w:textAlignment w:val="baseline"/>
        <w:rPr>
          <w:bCs/>
          <w:noProof/>
          <w:color w:val="000000" w:themeColor="text1"/>
          <w:u w:val="single"/>
        </w:rPr>
      </w:pPr>
    </w:p>
    <w:p w14:paraId="7AE6FD23" w14:textId="77777777" w:rsidR="00553430" w:rsidRDefault="00212577">
      <w:pPr>
        <w:pStyle w:val="P68B1DB1-paragraph57"/>
        <w:spacing w:before="0" w:beforeAutospacing="0" w:after="0" w:afterAutospacing="0"/>
        <w:ind w:left="720"/>
        <w:jc w:val="both"/>
        <w:textAlignment w:val="baseline"/>
        <w:rPr>
          <w:bCs/>
          <w:noProof/>
          <w:color w:val="000000" w:themeColor="text1"/>
        </w:rPr>
      </w:pPr>
      <w:r>
        <w:rPr>
          <w:noProof/>
          <w:color w:val="000000" w:themeColor="text1"/>
        </w:rPr>
        <w:t>Investissement C7.1 R1-I1 - Utilisation de l'hydrogène et nouvelles technologies (investissement</w:t>
      </w:r>
      <w:r>
        <w:rPr>
          <w:noProof/>
        </w:rPr>
        <w:t xml:space="preserve"> C1.2.R1-I3 transféré de la décision d'exécution du Conseil déjà adoptée)</w:t>
      </w:r>
    </w:p>
    <w:p w14:paraId="0A8A31F6" w14:textId="77777777" w:rsidR="00553430" w:rsidRDefault="00553430">
      <w:pPr>
        <w:pStyle w:val="paragraph"/>
        <w:spacing w:before="0" w:beforeAutospacing="0" w:after="0" w:afterAutospacing="0"/>
        <w:jc w:val="both"/>
        <w:textAlignment w:val="baseline"/>
        <w:rPr>
          <w:bCs/>
          <w:noProof/>
          <w:color w:val="000000" w:themeColor="text1"/>
        </w:rPr>
      </w:pPr>
    </w:p>
    <w:p w14:paraId="72AB62C9" w14:textId="77777777" w:rsidR="00553430" w:rsidRDefault="00212577">
      <w:pPr>
        <w:pStyle w:val="P68B1DB1-Normal33"/>
        <w:spacing w:line="240" w:lineRule="auto"/>
        <w:jc w:val="both"/>
        <w:rPr>
          <w:noProof/>
        </w:rPr>
      </w:pPr>
      <w:r>
        <w:rPr>
          <w:noProof/>
        </w:rPr>
        <w:t xml:space="preserve">L’objectif de cet investissement est d’accroître l’utilisation de l’hydrogène en Croatie. </w:t>
      </w:r>
    </w:p>
    <w:p w14:paraId="33F9B09B" w14:textId="0FE7DE94" w:rsidR="00553430" w:rsidRDefault="00212577">
      <w:pPr>
        <w:pStyle w:val="P68B1DB1-Normal34"/>
        <w:spacing w:line="240" w:lineRule="auto"/>
        <w:jc w:val="both"/>
        <w:rPr>
          <w:rFonts w:ascii="Times New Roman" w:eastAsia="Calibri" w:hAnsi="Times New Roman" w:cs="Times New Roman"/>
          <w:noProof/>
        </w:rPr>
      </w:pPr>
      <w:r>
        <w:rPr>
          <w:rFonts w:ascii="Times New Roman" w:eastAsia="Calibri" w:hAnsi="Times New Roman" w:cs="Times New Roman"/>
          <w:noProof/>
        </w:rPr>
        <w:t xml:space="preserve">L'investissement consiste à financer un projet d'hydrogène </w:t>
      </w:r>
      <w:r>
        <w:rPr>
          <w:rFonts w:ascii="Times New Roman" w:hAnsi="Times New Roman" w:cs="Times New Roman"/>
          <w:noProof/>
          <w:color w:val="000000" w:themeColor="text1"/>
        </w:rPr>
        <w:t xml:space="preserve">renouvelable </w:t>
      </w:r>
      <w:r>
        <w:rPr>
          <w:rFonts w:ascii="Times New Roman" w:eastAsia="Calibri" w:hAnsi="Times New Roman" w:cs="Times New Roman"/>
          <w:noProof/>
        </w:rPr>
        <w:t xml:space="preserve">et des études sur le stockage géologique du carbone. </w:t>
      </w:r>
    </w:p>
    <w:p w14:paraId="478B7E34" w14:textId="77777777" w:rsidR="00553430" w:rsidRDefault="00212577">
      <w:pPr>
        <w:pStyle w:val="P68B1DB1-paragraph59"/>
        <w:spacing w:before="0" w:beforeAutospacing="0" w:after="0" w:afterAutospacing="0"/>
        <w:ind w:left="720"/>
        <w:jc w:val="both"/>
        <w:textAlignment w:val="baseline"/>
        <w:rPr>
          <w:bCs/>
          <w:noProof/>
        </w:rPr>
      </w:pPr>
      <w:r>
        <w:rPr>
          <w:noProof/>
        </w:rPr>
        <w:t>Investissement C7.1 R1-I2 - Mise en pla</w:t>
      </w:r>
      <w:r>
        <w:rPr>
          <w:noProof/>
        </w:rPr>
        <w:t xml:space="preserve">ce d’une économie fondée sur l’hydrogène </w:t>
      </w:r>
    </w:p>
    <w:p w14:paraId="4D755A65" w14:textId="77777777" w:rsidR="00553430" w:rsidRDefault="00553430">
      <w:pPr>
        <w:pStyle w:val="paragraph"/>
        <w:spacing w:before="0" w:beforeAutospacing="0" w:after="0" w:afterAutospacing="0"/>
        <w:jc w:val="both"/>
        <w:textAlignment w:val="baseline"/>
        <w:rPr>
          <w:bCs/>
          <w:noProof/>
          <w:color w:val="000000" w:themeColor="text1"/>
        </w:rPr>
      </w:pPr>
    </w:p>
    <w:p w14:paraId="2A19B5CD" w14:textId="77777777" w:rsidR="00553430" w:rsidRDefault="00212577">
      <w:pPr>
        <w:pStyle w:val="P68B1DB1-paragraph58"/>
        <w:spacing w:before="0" w:beforeAutospacing="0" w:after="0" w:afterAutospacing="0"/>
        <w:jc w:val="both"/>
        <w:textAlignment w:val="baseline"/>
        <w:rPr>
          <w:bCs/>
          <w:noProof/>
        </w:rPr>
      </w:pPr>
      <w:r>
        <w:rPr>
          <w:noProof/>
        </w:rPr>
        <w:t>L’objectif de l’investissement est d’accroître l’adoption de la production et de l’utilisation de l’hydrogène renouvelable.</w:t>
      </w:r>
    </w:p>
    <w:p w14:paraId="37603C89" w14:textId="77777777" w:rsidR="00553430" w:rsidRDefault="00212577">
      <w:pPr>
        <w:pStyle w:val="paragraph"/>
        <w:spacing w:before="0" w:beforeAutospacing="0" w:after="0" w:afterAutospacing="0"/>
        <w:jc w:val="both"/>
        <w:textAlignment w:val="baseline"/>
        <w:rPr>
          <w:bCs/>
          <w:noProof/>
          <w:color w:val="000000" w:themeColor="text1"/>
        </w:rPr>
      </w:pPr>
      <w:r>
        <w:rPr>
          <w:noProof/>
          <w:color w:val="000000" w:themeColor="text1"/>
        </w:rPr>
        <w:t xml:space="preserve">L’investissement consiste à </w:t>
      </w:r>
      <w:r>
        <w:rPr>
          <w:noProof/>
        </w:rPr>
        <w:t>désigner l’Agence croate des hydrocarbures en tant qu’organis</w:t>
      </w:r>
      <w:r>
        <w:rPr>
          <w:noProof/>
        </w:rPr>
        <w:t>me de coordination de l’hydrogène en Croatie et à accepter l’étude du plan d’élaboration et de mise en œuvre de la stratégie croate de l’hydrogène jusqu’en 2050 par l’Agence croate des hydrocarbures.</w:t>
      </w:r>
      <w:r>
        <w:rPr>
          <w:rFonts w:eastAsia="Calibri"/>
          <w:noProof/>
        </w:rPr>
        <w:t xml:space="preserve"> </w:t>
      </w:r>
    </w:p>
    <w:p w14:paraId="01FF1D0E" w14:textId="77777777" w:rsidR="00553430" w:rsidRDefault="00553430">
      <w:pPr>
        <w:pStyle w:val="paragraph"/>
        <w:spacing w:before="0" w:beforeAutospacing="0" w:after="0" w:afterAutospacing="0"/>
        <w:jc w:val="both"/>
        <w:textAlignment w:val="baseline"/>
        <w:rPr>
          <w:noProof/>
          <w:color w:val="000000" w:themeColor="text1"/>
        </w:rPr>
      </w:pPr>
    </w:p>
    <w:p w14:paraId="330A47ED" w14:textId="77777777" w:rsidR="00553430" w:rsidRDefault="00212577">
      <w:pPr>
        <w:pStyle w:val="P68B1DB1-paragraph57"/>
        <w:spacing w:before="0" w:beforeAutospacing="0" w:after="0" w:afterAutospacing="0"/>
        <w:ind w:left="720"/>
        <w:jc w:val="both"/>
        <w:textAlignment w:val="baseline"/>
        <w:rPr>
          <w:rStyle w:val="eop"/>
          <w:bCs/>
          <w:noProof/>
        </w:rPr>
      </w:pPr>
      <w:r>
        <w:rPr>
          <w:noProof/>
          <w:color w:val="000000" w:themeColor="text1"/>
        </w:rPr>
        <w:t>Investissement C7.1 R1-I3</w:t>
      </w:r>
      <w:r>
        <w:rPr>
          <w:noProof/>
        </w:rPr>
        <w:t xml:space="preserve"> - </w:t>
      </w:r>
      <w:r>
        <w:rPr>
          <w:noProof/>
          <w:color w:val="000000" w:themeColor="text1"/>
        </w:rPr>
        <w:t>Renforcer l'utilisation de</w:t>
      </w:r>
      <w:r>
        <w:rPr>
          <w:noProof/>
          <w:color w:val="000000" w:themeColor="text1"/>
        </w:rPr>
        <w:t>s sources d'énergie renouvelables dans les transports et le chauffage</w:t>
      </w:r>
    </w:p>
    <w:p w14:paraId="2C761E87" w14:textId="77777777" w:rsidR="00553430" w:rsidRDefault="00553430">
      <w:pPr>
        <w:pStyle w:val="paragraph"/>
        <w:spacing w:before="0" w:beforeAutospacing="0" w:after="0" w:afterAutospacing="0"/>
        <w:jc w:val="both"/>
        <w:textAlignment w:val="baseline"/>
        <w:rPr>
          <w:rStyle w:val="eop"/>
          <w:bCs/>
          <w:noProof/>
        </w:rPr>
      </w:pPr>
    </w:p>
    <w:p w14:paraId="4A7DD9D7" w14:textId="77777777" w:rsidR="00553430" w:rsidRDefault="00212577">
      <w:pPr>
        <w:pStyle w:val="paragraph"/>
        <w:spacing w:before="0" w:beforeAutospacing="0" w:after="0" w:afterAutospacing="0"/>
        <w:jc w:val="both"/>
        <w:textAlignment w:val="baseline"/>
        <w:rPr>
          <w:noProof/>
        </w:rPr>
      </w:pPr>
      <w:r>
        <w:rPr>
          <w:rStyle w:val="eop"/>
          <w:noProof/>
        </w:rPr>
        <w:t>L’objectif de l’investissement est d’accroître l’utilisation des</w:t>
      </w:r>
      <w:r>
        <w:rPr>
          <w:noProof/>
        </w:rPr>
        <w:t xml:space="preserve"> </w:t>
      </w:r>
      <w:r>
        <w:rPr>
          <w:noProof/>
          <w:color w:val="000000" w:themeColor="text1"/>
        </w:rPr>
        <w:t>sources d’énergie renouvelables.</w:t>
      </w:r>
    </w:p>
    <w:p w14:paraId="591ADACE" w14:textId="77777777" w:rsidR="00553430" w:rsidRDefault="00553430">
      <w:pPr>
        <w:pStyle w:val="paragraph"/>
        <w:spacing w:before="0" w:beforeAutospacing="0" w:after="0" w:afterAutospacing="0"/>
        <w:jc w:val="both"/>
        <w:textAlignment w:val="baseline"/>
        <w:rPr>
          <w:noProof/>
        </w:rPr>
      </w:pPr>
    </w:p>
    <w:p w14:paraId="7648F889" w14:textId="77777777" w:rsidR="00553430" w:rsidRDefault="00212577">
      <w:pPr>
        <w:pStyle w:val="paragraph"/>
        <w:spacing w:before="0" w:beforeAutospacing="0" w:after="0" w:afterAutospacing="0"/>
        <w:jc w:val="both"/>
        <w:textAlignment w:val="baseline"/>
        <w:rPr>
          <w:rStyle w:val="eop"/>
          <w:bCs/>
          <w:noProof/>
        </w:rPr>
      </w:pPr>
      <w:r>
        <w:rPr>
          <w:noProof/>
        </w:rPr>
        <w:t>Les investissements comprennent des travaux de forage géothermique et l'adoption du pl</w:t>
      </w:r>
      <w:r>
        <w:rPr>
          <w:noProof/>
        </w:rPr>
        <w:t xml:space="preserve">an de développement du potentiel géothermique. </w:t>
      </w:r>
    </w:p>
    <w:p w14:paraId="68738898" w14:textId="77777777" w:rsidR="00553430" w:rsidRDefault="00553430">
      <w:pPr>
        <w:pStyle w:val="paragraph"/>
        <w:spacing w:before="0" w:beforeAutospacing="0" w:after="0" w:afterAutospacing="0"/>
        <w:jc w:val="both"/>
        <w:textAlignment w:val="baseline"/>
        <w:rPr>
          <w:noProof/>
          <w:color w:val="000000" w:themeColor="text1"/>
        </w:rPr>
      </w:pPr>
    </w:p>
    <w:p w14:paraId="334C0D8E" w14:textId="77777777" w:rsidR="00553430" w:rsidRDefault="00212577">
      <w:pPr>
        <w:pStyle w:val="P68B1DB1-paragraph137"/>
        <w:spacing w:before="0" w:beforeAutospacing="0" w:after="0" w:afterAutospacing="0"/>
        <w:ind w:left="720"/>
        <w:jc w:val="both"/>
        <w:textAlignment w:val="baseline"/>
        <w:rPr>
          <w:bCs/>
          <w:noProof/>
          <w:color w:val="000000" w:themeColor="text1"/>
        </w:rPr>
      </w:pPr>
      <w:r>
        <w:rPr>
          <w:noProof/>
        </w:rPr>
        <w:t>Investissement C7.1 I4 – Acquisition de véhicules fonctionnant aux carburants de substitution pour les transports publics urbains et suburbains réguliers</w:t>
      </w:r>
    </w:p>
    <w:p w14:paraId="07B0CE5E" w14:textId="77777777" w:rsidR="00553430" w:rsidRDefault="00553430">
      <w:pPr>
        <w:keepNext/>
        <w:tabs>
          <w:tab w:val="num" w:pos="850"/>
        </w:tabs>
        <w:spacing w:after="200" w:line="240" w:lineRule="auto"/>
        <w:jc w:val="both"/>
        <w:outlineLvl w:val="2"/>
        <w:rPr>
          <w:rFonts w:ascii="Times New Roman" w:eastAsia="Calibri" w:hAnsi="Times New Roman" w:cs="Times New Roman"/>
          <w:noProof/>
          <w:sz w:val="24"/>
          <w:szCs w:val="24"/>
        </w:rPr>
      </w:pPr>
    </w:p>
    <w:p w14:paraId="24E98E18" w14:textId="77777777" w:rsidR="00553430" w:rsidRDefault="00212577">
      <w:pPr>
        <w:pStyle w:val="P68B1DB1-Normal83"/>
        <w:spacing w:line="240" w:lineRule="auto"/>
        <w:jc w:val="both"/>
        <w:rPr>
          <w:noProof/>
        </w:rPr>
      </w:pPr>
      <w:r>
        <w:rPr>
          <w:noProof/>
        </w:rPr>
        <w:t xml:space="preserve">L’objectif de l’investissement est de moderniser le transport public régulier de passagers en milieu urbain et suburbain et d’accroître l’utilisation de véhicules «zéro». </w:t>
      </w:r>
    </w:p>
    <w:p w14:paraId="2EFCED0F" w14:textId="77777777" w:rsidR="00553430" w:rsidRDefault="00212577">
      <w:pPr>
        <w:pStyle w:val="P68B1DB1-paragraph138"/>
        <w:spacing w:before="0" w:beforeAutospacing="0" w:after="0" w:afterAutospacing="0"/>
        <w:jc w:val="both"/>
        <w:textAlignment w:val="baseline"/>
        <w:rPr>
          <w:noProof/>
        </w:rPr>
      </w:pPr>
      <w:r>
        <w:rPr>
          <w:noProof/>
        </w:rPr>
        <w:t>L’investissement consiste en l’achat d’autobus à carburant de substitution (électriq</w:t>
      </w:r>
      <w:r>
        <w:rPr>
          <w:noProof/>
        </w:rPr>
        <w:t>ues et/ou à hydrogène).</w:t>
      </w:r>
    </w:p>
    <w:p w14:paraId="381F3716" w14:textId="77777777" w:rsidR="00553430" w:rsidRDefault="00553430">
      <w:pPr>
        <w:pStyle w:val="paragraph"/>
        <w:spacing w:before="0" w:beforeAutospacing="0" w:after="0" w:afterAutospacing="0"/>
        <w:jc w:val="both"/>
        <w:textAlignment w:val="baseline"/>
        <w:rPr>
          <w:noProof/>
          <w:color w:val="000000" w:themeColor="text1"/>
        </w:rPr>
      </w:pPr>
    </w:p>
    <w:p w14:paraId="20910A48" w14:textId="77777777" w:rsidR="00553430" w:rsidRDefault="00212577">
      <w:pPr>
        <w:pStyle w:val="P68B1DB1-paragraph57"/>
        <w:spacing w:before="0" w:beforeAutospacing="0" w:after="0" w:afterAutospacing="0"/>
        <w:ind w:left="720"/>
        <w:jc w:val="both"/>
        <w:textAlignment w:val="baseline"/>
        <w:rPr>
          <w:bCs/>
          <w:noProof/>
          <w:color w:val="000000" w:themeColor="text1"/>
        </w:rPr>
      </w:pPr>
      <w:r>
        <w:rPr>
          <w:noProof/>
          <w:color w:val="000000" w:themeColor="text1"/>
        </w:rPr>
        <w:t xml:space="preserve">Investissement C7.1 I1 - </w:t>
      </w:r>
      <w:r>
        <w:rPr>
          <w:noProof/>
        </w:rPr>
        <w:t>Mesure renforcée:</w:t>
      </w:r>
      <w:r>
        <w:rPr>
          <w:noProof/>
          <w:color w:val="000000" w:themeColor="text1"/>
        </w:rPr>
        <w:t xml:space="preserve"> Achat de véhicules fonctionnant aux carburants de substitution pour les transports publics urbains et suburbains réguliers</w:t>
      </w:r>
    </w:p>
    <w:p w14:paraId="774423FA" w14:textId="77777777" w:rsidR="00553430" w:rsidRDefault="00553430">
      <w:pPr>
        <w:pStyle w:val="paragraph"/>
        <w:spacing w:before="0" w:beforeAutospacing="0" w:after="0" w:afterAutospacing="0"/>
        <w:jc w:val="both"/>
        <w:textAlignment w:val="baseline"/>
        <w:rPr>
          <w:bCs/>
          <w:noProof/>
          <w:color w:val="000000" w:themeColor="text1"/>
        </w:rPr>
      </w:pPr>
    </w:p>
    <w:p w14:paraId="0C251407" w14:textId="7FA70145" w:rsidR="00553430" w:rsidRDefault="00212577">
      <w:pPr>
        <w:pStyle w:val="P68B1DB1-Normal46"/>
        <w:spacing w:line="240" w:lineRule="auto"/>
        <w:jc w:val="both"/>
        <w:rPr>
          <w:rFonts w:eastAsia="Times New Roman"/>
          <w:noProof/>
        </w:rPr>
      </w:pPr>
      <w:r>
        <w:rPr>
          <w:noProof/>
        </w:rPr>
        <w:t>L’objectif de cette mesure est de renforcer l’investissement C7.</w:t>
      </w:r>
      <w:r>
        <w:rPr>
          <w:noProof/>
        </w:rPr>
        <w:t xml:space="preserve">1 I4: Acquisition de véhicules fonctionnant aux carburants de substitution pour les transports publics réguliers urbains et suburbains au titre du volet 7.1 [Énergie et transports durables (volet REPowerEU)]. </w:t>
      </w:r>
    </w:p>
    <w:p w14:paraId="057DFABB" w14:textId="77777777" w:rsidR="00553430" w:rsidRDefault="00212577">
      <w:pPr>
        <w:pStyle w:val="P68B1DB1-Normal83"/>
        <w:rPr>
          <w:bCs/>
          <w:noProof/>
          <w:color w:val="000000" w:themeColor="text1"/>
        </w:rPr>
      </w:pPr>
      <w:r>
        <w:rPr>
          <w:noProof/>
        </w:rPr>
        <w:t>L’investissement consiste en l’acquisition d’a</w:t>
      </w:r>
      <w:r>
        <w:rPr>
          <w:noProof/>
        </w:rPr>
        <w:t xml:space="preserve">utobus à carburant de substitution (électriques et/ou à hydrogène) et d’une unité d’énergie à hydrogène pour l’alimentation des locomotives électriques. </w:t>
      </w:r>
    </w:p>
    <w:p w14:paraId="6CD6F13C" w14:textId="77777777" w:rsidR="00553430" w:rsidRDefault="00553430">
      <w:pPr>
        <w:pStyle w:val="paragraph"/>
        <w:spacing w:before="0" w:beforeAutospacing="0" w:after="0" w:afterAutospacing="0"/>
        <w:jc w:val="both"/>
        <w:textAlignment w:val="baseline"/>
        <w:rPr>
          <w:bCs/>
          <w:noProof/>
          <w:color w:val="000000" w:themeColor="text1"/>
          <w:szCs w:val="24"/>
        </w:rPr>
      </w:pPr>
    </w:p>
    <w:p w14:paraId="0CF16996" w14:textId="77777777" w:rsidR="00553430" w:rsidRDefault="00553430">
      <w:pPr>
        <w:pStyle w:val="paragraph"/>
        <w:spacing w:before="0" w:beforeAutospacing="0" w:after="0" w:afterAutospacing="0"/>
        <w:jc w:val="both"/>
        <w:textAlignment w:val="baseline"/>
        <w:rPr>
          <w:noProof/>
          <w:szCs w:val="24"/>
        </w:rPr>
      </w:pPr>
    </w:p>
    <w:p w14:paraId="246C4A6E" w14:textId="77777777" w:rsidR="00553430" w:rsidRDefault="00553430">
      <w:pPr>
        <w:pStyle w:val="paragraph"/>
        <w:spacing w:before="0" w:beforeAutospacing="0" w:after="0" w:afterAutospacing="0"/>
        <w:jc w:val="both"/>
        <w:textAlignment w:val="baseline"/>
        <w:rPr>
          <w:rStyle w:val="normaltextrun"/>
          <w:b/>
          <w:bCs/>
          <w:noProof/>
          <w:u w:val="single"/>
        </w:rPr>
        <w:sectPr w:rsidR="00553430" w:rsidSect="00FA29B2">
          <w:headerReference w:type="even" r:id="rId411"/>
          <w:headerReference w:type="default" r:id="rId412"/>
          <w:footerReference w:type="even" r:id="rId413"/>
          <w:footerReference w:type="default" r:id="rId414"/>
          <w:headerReference w:type="first" r:id="rId415"/>
          <w:footerReference w:type="first" r:id="rId416"/>
          <w:pgSz w:w="11906" w:h="16838"/>
          <w:pgMar w:top="1134" w:right="1134" w:bottom="1134" w:left="1134" w:header="567" w:footer="567" w:gutter="0"/>
          <w:cols w:space="708"/>
          <w:docGrid w:linePitch="360"/>
        </w:sectPr>
      </w:pPr>
    </w:p>
    <w:p w14:paraId="69701482" w14:textId="77777777" w:rsidR="00553430" w:rsidRDefault="00212577">
      <w:pPr>
        <w:pStyle w:val="P68B1DB1-Normal57"/>
        <w:keepNext/>
        <w:tabs>
          <w:tab w:val="num" w:pos="284"/>
        </w:tabs>
        <w:spacing w:before="40" w:after="0"/>
        <w:jc w:val="both"/>
        <w:outlineLvl w:val="1"/>
        <w:rPr>
          <w:noProof/>
        </w:rPr>
      </w:pPr>
      <w:r>
        <w:rPr>
          <w:noProof/>
        </w:rPr>
        <w:t xml:space="preserve">W.2. </w:t>
      </w:r>
      <w:r>
        <w:rPr>
          <w:noProof/>
        </w:rPr>
        <w:tab/>
        <w:t xml:space="preserve">Étapes, cibles, indicateurs et </w:t>
      </w:r>
      <w:r>
        <w:rPr>
          <w:noProof/>
        </w:rPr>
        <w:t>calendrier pour le suivi et la mise en œuvre du soutien financier non remboursable </w:t>
      </w:r>
    </w:p>
    <w:p w14:paraId="0BCFA20F" w14:textId="77777777" w:rsidR="00553430" w:rsidRDefault="00553430">
      <w:pPr>
        <w:keepNext/>
        <w:tabs>
          <w:tab w:val="num" w:pos="284"/>
        </w:tabs>
        <w:spacing w:before="40" w:after="0"/>
        <w:jc w:val="both"/>
        <w:outlineLvl w:val="1"/>
        <w:rPr>
          <w:rFonts w:ascii="Times New Roman" w:eastAsia="SimSun" w:hAnsi="Times New Roman" w:cs="Times New Roman"/>
          <w:b/>
          <w:noProof/>
          <w:sz w:val="24"/>
          <w:szCs w:val="24"/>
          <w:u w:val="single"/>
        </w:rPr>
      </w:pPr>
    </w:p>
    <w:tbl>
      <w:tblPr>
        <w:tblW w:w="15432" w:type="dxa"/>
        <w:jc w:val="center"/>
        <w:tblCellMar>
          <w:top w:w="28" w:type="dxa"/>
          <w:left w:w="28" w:type="dxa"/>
          <w:bottom w:w="28" w:type="dxa"/>
          <w:right w:w="28" w:type="dxa"/>
        </w:tblCellMar>
        <w:tblLook w:val="04A0" w:firstRow="1" w:lastRow="0" w:firstColumn="1" w:lastColumn="0" w:noHBand="0" w:noVBand="1"/>
      </w:tblPr>
      <w:tblGrid>
        <w:gridCol w:w="846"/>
        <w:gridCol w:w="1437"/>
        <w:gridCol w:w="1072"/>
        <w:gridCol w:w="2228"/>
        <w:gridCol w:w="2193"/>
        <w:gridCol w:w="917"/>
        <w:gridCol w:w="852"/>
        <w:gridCol w:w="756"/>
        <w:gridCol w:w="893"/>
        <w:gridCol w:w="850"/>
        <w:gridCol w:w="3754"/>
      </w:tblGrid>
      <w:tr w:rsidR="00553430" w14:paraId="2DE10307" w14:textId="77777777">
        <w:trPr>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788E354" w14:textId="77777777" w:rsidR="00553430" w:rsidRDefault="00212577">
            <w:pPr>
              <w:pStyle w:val="P68B1DB1-Normal58"/>
              <w:spacing w:after="0" w:line="276" w:lineRule="auto"/>
              <w:jc w:val="center"/>
              <w:rPr>
                <w:bCs/>
                <w:noProof/>
              </w:rPr>
            </w:pPr>
            <w:r>
              <w:rPr>
                <w:noProof/>
              </w:rPr>
              <w:t>Numéro</w:t>
            </w:r>
          </w:p>
        </w:tc>
        <w:tc>
          <w:tcPr>
            <w:tcW w:w="143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85EB1B" w14:textId="77777777" w:rsidR="00553430" w:rsidRDefault="00212577">
            <w:pPr>
              <w:pStyle w:val="P68B1DB1-Normal58"/>
              <w:spacing w:after="0" w:line="276" w:lineRule="auto"/>
              <w:jc w:val="center"/>
              <w:rPr>
                <w:bCs/>
                <w:noProof/>
              </w:rPr>
            </w:pPr>
            <w:r>
              <w:rPr>
                <w:noProof/>
              </w:rPr>
              <w:t>Mesure</w:t>
            </w:r>
          </w:p>
        </w:tc>
        <w:tc>
          <w:tcPr>
            <w:tcW w:w="10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1991944" w14:textId="77777777" w:rsidR="00553430" w:rsidRDefault="00212577">
            <w:pPr>
              <w:pStyle w:val="P68B1DB1-Normal58"/>
              <w:spacing w:after="0" w:line="276" w:lineRule="auto"/>
              <w:jc w:val="center"/>
              <w:rPr>
                <w:bCs/>
                <w:noProof/>
              </w:rPr>
            </w:pPr>
            <w:r>
              <w:rPr>
                <w:noProof/>
              </w:rPr>
              <w:t>Étape/cible</w:t>
            </w:r>
          </w:p>
        </w:tc>
        <w:tc>
          <w:tcPr>
            <w:tcW w:w="22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96B10DC" w14:textId="77777777" w:rsidR="00553430" w:rsidRDefault="00212577">
            <w:pPr>
              <w:pStyle w:val="P68B1DB1-Normal58"/>
              <w:spacing w:after="0" w:line="276" w:lineRule="auto"/>
              <w:jc w:val="center"/>
              <w:rPr>
                <w:bCs/>
                <w:noProof/>
              </w:rPr>
            </w:pPr>
            <w:r>
              <w:rPr>
                <w:noProof/>
              </w:rPr>
              <w:t>Nom</w:t>
            </w:r>
          </w:p>
        </w:tc>
        <w:tc>
          <w:tcPr>
            <w:tcW w:w="219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B728285"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qualitatifs</w:t>
            </w:r>
            <w:r>
              <w:rPr>
                <w:rFonts w:ascii="Times New Roman" w:eastAsia="Calibri" w:hAnsi="Times New Roman" w:cs="Times New Roman"/>
                <w:noProof/>
              </w:rPr>
              <w:br/>
            </w:r>
            <w:r>
              <w:rPr>
                <w:rFonts w:ascii="Times New Roman" w:eastAsia="Times New Roman" w:hAnsi="Times New Roman" w:cs="Times New Roman"/>
                <w:b/>
                <w:noProof/>
              </w:rPr>
              <w:t>(pour les jalons)</w:t>
            </w:r>
          </w:p>
        </w:tc>
        <w:tc>
          <w:tcPr>
            <w:tcW w:w="247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305DD71"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eastAsia="Calibri" w:hAnsi="Times New Roman" w:cs="Times New Roman"/>
                <w:noProof/>
              </w:rPr>
              <w:br/>
            </w:r>
            <w:r>
              <w:rPr>
                <w:rFonts w:ascii="Times New Roman" w:eastAsia="Times New Roman" w:hAnsi="Times New Roman" w:cs="Times New Roman"/>
                <w:b/>
                <w:noProof/>
              </w:rPr>
              <w:t>(pour les objectifs)</w:t>
            </w:r>
          </w:p>
        </w:tc>
        <w:tc>
          <w:tcPr>
            <w:tcW w:w="1425" w:type="dxa"/>
            <w:gridSpan w:val="2"/>
            <w:tcBorders>
              <w:top w:val="single" w:sz="4" w:space="0" w:color="auto"/>
              <w:left w:val="nil"/>
              <w:bottom w:val="single" w:sz="4" w:space="0" w:color="auto"/>
              <w:right w:val="single" w:sz="4" w:space="0" w:color="auto"/>
            </w:tcBorders>
            <w:shd w:val="clear" w:color="auto" w:fill="BDD7EE"/>
            <w:vAlign w:val="center"/>
            <w:hideMark/>
          </w:tcPr>
          <w:p w14:paraId="530D0992" w14:textId="77777777" w:rsidR="00553430" w:rsidRDefault="00212577">
            <w:pPr>
              <w:pStyle w:val="P68B1DB1-Normal58"/>
              <w:spacing w:after="0" w:line="276" w:lineRule="auto"/>
              <w:jc w:val="center"/>
              <w:rPr>
                <w:bCs/>
                <w:noProof/>
              </w:rPr>
            </w:pPr>
            <w:r>
              <w:rPr>
                <w:noProof/>
              </w:rPr>
              <w:t>Temps</w:t>
            </w:r>
          </w:p>
        </w:tc>
        <w:tc>
          <w:tcPr>
            <w:tcW w:w="375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3517DB" w14:textId="77777777" w:rsidR="00553430" w:rsidRDefault="00212577">
            <w:pPr>
              <w:pStyle w:val="P68B1DB1-Normal58"/>
              <w:spacing w:after="0" w:line="276" w:lineRule="auto"/>
              <w:jc w:val="center"/>
              <w:rPr>
                <w:bCs/>
                <w:noProof/>
              </w:rPr>
            </w:pPr>
            <w:r>
              <w:rPr>
                <w:noProof/>
              </w:rPr>
              <w:t>Description de chaque jalon et cible</w:t>
            </w:r>
          </w:p>
        </w:tc>
      </w:tr>
      <w:tr w:rsidR="00553430" w14:paraId="02AC1684" w14:textId="77777777">
        <w:trPr>
          <w:tblHeader/>
          <w:jc w:val="center"/>
        </w:trPr>
        <w:tc>
          <w:tcPr>
            <w:tcW w:w="846" w:type="dxa"/>
            <w:vMerge/>
            <w:tcBorders>
              <w:top w:val="single" w:sz="4" w:space="0" w:color="auto"/>
              <w:left w:val="single" w:sz="4" w:space="0" w:color="auto"/>
              <w:bottom w:val="single" w:sz="4" w:space="0" w:color="auto"/>
              <w:right w:val="single" w:sz="4" w:space="0" w:color="auto"/>
            </w:tcBorders>
            <w:hideMark/>
          </w:tcPr>
          <w:p w14:paraId="2C3DEE8C"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437" w:type="dxa"/>
            <w:vMerge/>
            <w:tcBorders>
              <w:top w:val="single" w:sz="4" w:space="0" w:color="auto"/>
              <w:left w:val="single" w:sz="4" w:space="0" w:color="auto"/>
              <w:bottom w:val="single" w:sz="4" w:space="0" w:color="auto"/>
              <w:right w:val="single" w:sz="4" w:space="0" w:color="auto"/>
            </w:tcBorders>
            <w:hideMark/>
          </w:tcPr>
          <w:p w14:paraId="5EF543E1"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72" w:type="dxa"/>
            <w:vMerge/>
            <w:tcBorders>
              <w:top w:val="single" w:sz="4" w:space="0" w:color="auto"/>
              <w:left w:val="single" w:sz="4" w:space="0" w:color="auto"/>
              <w:bottom w:val="single" w:sz="4" w:space="0" w:color="auto"/>
              <w:right w:val="single" w:sz="4" w:space="0" w:color="auto"/>
            </w:tcBorders>
            <w:hideMark/>
          </w:tcPr>
          <w:p w14:paraId="0239F279"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2228" w:type="dxa"/>
            <w:vMerge/>
            <w:tcBorders>
              <w:top w:val="single" w:sz="4" w:space="0" w:color="auto"/>
              <w:left w:val="single" w:sz="4" w:space="0" w:color="auto"/>
              <w:bottom w:val="single" w:sz="4" w:space="0" w:color="auto"/>
              <w:right w:val="single" w:sz="4" w:space="0" w:color="auto"/>
            </w:tcBorders>
            <w:hideMark/>
          </w:tcPr>
          <w:p w14:paraId="0417B65F" w14:textId="77777777" w:rsidR="00553430" w:rsidRDefault="00553430">
            <w:pPr>
              <w:spacing w:after="0" w:line="276" w:lineRule="auto"/>
              <w:rPr>
                <w:rFonts w:ascii="Times New Roman" w:eastAsia="Times New Roman" w:hAnsi="Times New Roman" w:cs="Times New Roman"/>
                <w:b/>
                <w:noProof/>
                <w:sz w:val="20"/>
                <w:szCs w:val="20"/>
              </w:rPr>
            </w:pPr>
          </w:p>
        </w:tc>
        <w:tc>
          <w:tcPr>
            <w:tcW w:w="2193" w:type="dxa"/>
            <w:vMerge/>
            <w:tcBorders>
              <w:top w:val="single" w:sz="4" w:space="0" w:color="auto"/>
              <w:left w:val="single" w:sz="4" w:space="0" w:color="auto"/>
              <w:bottom w:val="single" w:sz="4" w:space="0" w:color="auto"/>
              <w:right w:val="single" w:sz="4" w:space="0" w:color="auto"/>
            </w:tcBorders>
            <w:hideMark/>
          </w:tcPr>
          <w:p w14:paraId="1CBC06A6" w14:textId="77777777" w:rsidR="00553430" w:rsidRDefault="00553430">
            <w:pPr>
              <w:spacing w:after="0" w:line="276" w:lineRule="auto"/>
              <w:rPr>
                <w:rFonts w:ascii="Times New Roman" w:eastAsia="Times New Roman" w:hAnsi="Times New Roman" w:cs="Times New Roman"/>
                <w:b/>
                <w:noProof/>
                <w:sz w:val="20"/>
                <w:szCs w:val="20"/>
              </w:rPr>
            </w:pPr>
          </w:p>
        </w:tc>
        <w:tc>
          <w:tcPr>
            <w:tcW w:w="917" w:type="dxa"/>
            <w:tcBorders>
              <w:top w:val="single" w:sz="4" w:space="0" w:color="auto"/>
              <w:left w:val="single" w:sz="4" w:space="0" w:color="auto"/>
              <w:bottom w:val="single" w:sz="4" w:space="0" w:color="auto"/>
              <w:right w:val="single" w:sz="4" w:space="0" w:color="auto"/>
            </w:tcBorders>
            <w:shd w:val="clear" w:color="auto" w:fill="BDD7EE"/>
            <w:hideMark/>
          </w:tcPr>
          <w:p w14:paraId="7457D83F" w14:textId="77777777" w:rsidR="00553430" w:rsidRDefault="00212577">
            <w:pPr>
              <w:pStyle w:val="P68B1DB1-Normal58"/>
              <w:spacing w:after="0" w:line="276" w:lineRule="auto"/>
              <w:jc w:val="center"/>
              <w:rPr>
                <w:bCs/>
                <w:noProof/>
              </w:rPr>
            </w:pPr>
            <w:r>
              <w:rPr>
                <w:noProof/>
              </w:rPr>
              <w:t>Unité</w:t>
            </w:r>
          </w:p>
        </w:tc>
        <w:tc>
          <w:tcPr>
            <w:tcW w:w="851" w:type="dxa"/>
            <w:tcBorders>
              <w:top w:val="single" w:sz="4" w:space="0" w:color="auto"/>
              <w:left w:val="single" w:sz="4" w:space="0" w:color="auto"/>
              <w:bottom w:val="single" w:sz="4" w:space="0" w:color="auto"/>
              <w:right w:val="single" w:sz="4" w:space="0" w:color="auto"/>
            </w:tcBorders>
            <w:shd w:val="clear" w:color="auto" w:fill="BDD7EE"/>
            <w:hideMark/>
          </w:tcPr>
          <w:p w14:paraId="690FE48E" w14:textId="77777777" w:rsidR="00553430" w:rsidRDefault="00212577">
            <w:pPr>
              <w:pStyle w:val="P68B1DB1-Normal58"/>
              <w:spacing w:after="0" w:line="276" w:lineRule="auto"/>
              <w:jc w:val="center"/>
              <w:rPr>
                <w:bCs/>
                <w:noProof/>
              </w:rPr>
            </w:pPr>
            <w:r>
              <w:rPr>
                <w:noProof/>
              </w:rPr>
              <w:t>Données de référence</w:t>
            </w:r>
          </w:p>
        </w:tc>
        <w:tc>
          <w:tcPr>
            <w:tcW w:w="709" w:type="dxa"/>
            <w:tcBorders>
              <w:top w:val="single" w:sz="4" w:space="0" w:color="auto"/>
              <w:left w:val="single" w:sz="4" w:space="0" w:color="auto"/>
              <w:bottom w:val="single" w:sz="4" w:space="0" w:color="auto"/>
              <w:right w:val="single" w:sz="4" w:space="0" w:color="auto"/>
            </w:tcBorders>
            <w:shd w:val="clear" w:color="auto" w:fill="BDD7EE"/>
            <w:hideMark/>
          </w:tcPr>
          <w:p w14:paraId="21C000F7" w14:textId="77777777" w:rsidR="00553430" w:rsidRDefault="00212577">
            <w:pPr>
              <w:pStyle w:val="P68B1DB1-Normal58"/>
              <w:spacing w:after="0" w:line="276" w:lineRule="auto"/>
              <w:jc w:val="center"/>
              <w:rPr>
                <w:bCs/>
                <w:noProof/>
              </w:rPr>
            </w:pPr>
            <w:r>
              <w:rPr>
                <w:noProof/>
              </w:rPr>
              <w:t>Objectif</w:t>
            </w:r>
          </w:p>
        </w:tc>
        <w:tc>
          <w:tcPr>
            <w:tcW w:w="575" w:type="dxa"/>
            <w:tcBorders>
              <w:top w:val="single" w:sz="4" w:space="0" w:color="auto"/>
              <w:left w:val="single" w:sz="4" w:space="0" w:color="auto"/>
              <w:bottom w:val="single" w:sz="4" w:space="0" w:color="auto"/>
              <w:right w:val="single" w:sz="4" w:space="0" w:color="auto"/>
            </w:tcBorders>
            <w:shd w:val="clear" w:color="auto" w:fill="BDD7EE"/>
            <w:hideMark/>
          </w:tcPr>
          <w:p w14:paraId="5DF1D45A" w14:textId="77777777" w:rsidR="00553430" w:rsidRDefault="00212577">
            <w:pPr>
              <w:pStyle w:val="P68B1DB1-Normal58"/>
              <w:spacing w:after="0" w:line="276" w:lineRule="auto"/>
              <w:jc w:val="center"/>
              <w:rPr>
                <w:bCs/>
                <w:noProof/>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DD7EE"/>
            <w:hideMark/>
          </w:tcPr>
          <w:p w14:paraId="216C6B9F" w14:textId="77777777" w:rsidR="00553430" w:rsidRDefault="00212577">
            <w:pPr>
              <w:pStyle w:val="P68B1DB1-Normal58"/>
              <w:spacing w:after="0" w:line="276" w:lineRule="auto"/>
              <w:jc w:val="center"/>
              <w:rPr>
                <w:bCs/>
                <w:noProof/>
              </w:rPr>
            </w:pPr>
            <w:r>
              <w:rPr>
                <w:noProof/>
              </w:rPr>
              <w:t>Année</w:t>
            </w:r>
          </w:p>
        </w:tc>
        <w:tc>
          <w:tcPr>
            <w:tcW w:w="3754" w:type="dxa"/>
            <w:vMerge/>
            <w:tcBorders>
              <w:top w:val="single" w:sz="4" w:space="0" w:color="auto"/>
              <w:left w:val="single" w:sz="4" w:space="0" w:color="auto"/>
              <w:bottom w:val="single" w:sz="4" w:space="0" w:color="auto"/>
              <w:right w:val="single" w:sz="4" w:space="0" w:color="auto"/>
            </w:tcBorders>
            <w:hideMark/>
          </w:tcPr>
          <w:p w14:paraId="57696DF4"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4DD77C91"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EE87682" w14:textId="77777777" w:rsidR="00553430" w:rsidRDefault="00212577">
            <w:pPr>
              <w:pStyle w:val="P68B1DB1-Normal89"/>
              <w:spacing w:after="0" w:line="276" w:lineRule="auto"/>
              <w:jc w:val="center"/>
              <w:rPr>
                <w:rFonts w:eastAsia="Calibri"/>
                <w:noProof/>
              </w:rPr>
            </w:pPr>
            <w:r>
              <w:rPr>
                <w:noProof/>
              </w:rPr>
              <w:t>406</w:t>
            </w:r>
          </w:p>
        </w:tc>
        <w:tc>
          <w:tcPr>
            <w:tcW w:w="1437" w:type="dxa"/>
            <w:tcBorders>
              <w:top w:val="single" w:sz="4" w:space="0" w:color="auto"/>
              <w:left w:val="nil"/>
              <w:bottom w:val="single" w:sz="4" w:space="0" w:color="auto"/>
              <w:right w:val="single" w:sz="4" w:space="0" w:color="auto"/>
            </w:tcBorders>
            <w:shd w:val="clear" w:color="auto" w:fill="C6EFCE"/>
            <w:noWrap/>
          </w:tcPr>
          <w:p w14:paraId="571727AE" w14:textId="77777777" w:rsidR="00553430" w:rsidRDefault="00212577">
            <w:pPr>
              <w:pStyle w:val="P68B1DB1-Normal102"/>
              <w:spacing w:after="200" w:line="276" w:lineRule="auto"/>
              <w:jc w:val="center"/>
              <w:rPr>
                <w:rFonts w:eastAsia="Calibri"/>
                <w:noProof/>
              </w:rPr>
            </w:pPr>
            <w:r>
              <w:rPr>
                <w:noProof/>
              </w:rPr>
              <w:t>C7.1. R1</w:t>
            </w:r>
          </w:p>
        </w:tc>
        <w:tc>
          <w:tcPr>
            <w:tcW w:w="1072" w:type="dxa"/>
            <w:tcBorders>
              <w:top w:val="single" w:sz="4" w:space="0" w:color="auto"/>
              <w:left w:val="nil"/>
              <w:bottom w:val="single" w:sz="4" w:space="0" w:color="auto"/>
              <w:right w:val="single" w:sz="4" w:space="0" w:color="auto"/>
            </w:tcBorders>
            <w:shd w:val="clear" w:color="auto" w:fill="C6EFCE"/>
            <w:noWrap/>
          </w:tcPr>
          <w:p w14:paraId="2E5A0F82" w14:textId="77777777" w:rsidR="00553430" w:rsidRDefault="00212577">
            <w:pPr>
              <w:pStyle w:val="P68B1DB1-Normal70"/>
              <w:spacing w:after="200" w:line="276" w:lineRule="auto"/>
              <w:jc w:val="center"/>
              <w:rPr>
                <w:noProof/>
              </w:rPr>
            </w:pPr>
            <w:r>
              <w:rPr>
                <w:noProof/>
              </w:rPr>
              <w:t>M</w:t>
            </w:r>
          </w:p>
        </w:tc>
        <w:tc>
          <w:tcPr>
            <w:tcW w:w="2228" w:type="dxa"/>
            <w:tcBorders>
              <w:top w:val="single" w:sz="4" w:space="0" w:color="auto"/>
              <w:left w:val="nil"/>
              <w:bottom w:val="single" w:sz="4" w:space="0" w:color="auto"/>
              <w:right w:val="single" w:sz="4" w:space="0" w:color="auto"/>
            </w:tcBorders>
            <w:shd w:val="clear" w:color="auto" w:fill="C6EFCE"/>
            <w:noWrap/>
          </w:tcPr>
          <w:p w14:paraId="5011CB23" w14:textId="77777777" w:rsidR="00553430" w:rsidRDefault="00212577">
            <w:pPr>
              <w:pStyle w:val="P68B1DB1-Normal70"/>
              <w:spacing w:after="200" w:line="276" w:lineRule="auto"/>
              <w:rPr>
                <w:noProof/>
              </w:rPr>
            </w:pPr>
            <w:r>
              <w:rPr>
                <w:noProof/>
              </w:rPr>
              <w:t>Entrée en vigueur de la législation établissant le nouveau système d'autoconsommation</w:t>
            </w:r>
          </w:p>
        </w:tc>
        <w:tc>
          <w:tcPr>
            <w:tcW w:w="2193" w:type="dxa"/>
            <w:tcBorders>
              <w:top w:val="single" w:sz="4" w:space="0" w:color="auto"/>
              <w:left w:val="nil"/>
              <w:bottom w:val="single" w:sz="4" w:space="0" w:color="auto"/>
              <w:right w:val="single" w:sz="4" w:space="0" w:color="auto"/>
            </w:tcBorders>
            <w:shd w:val="clear" w:color="auto" w:fill="C6EFCE"/>
            <w:noWrap/>
          </w:tcPr>
          <w:p w14:paraId="55AAE08B" w14:textId="77777777" w:rsidR="00553430" w:rsidRDefault="00212577">
            <w:pPr>
              <w:pStyle w:val="P68B1DB1-Normal66"/>
              <w:rPr>
                <w:noProof/>
              </w:rPr>
            </w:pPr>
            <w:r>
              <w:rPr>
                <w:noProof/>
              </w:rPr>
              <w:t xml:space="preserve">Disposition d’un acte juridique établissant le nouveau système d’autoconsommation, indiquant son </w:t>
            </w:r>
            <w:r>
              <w:rPr>
                <w:noProof/>
              </w:rPr>
              <w:t>entrée en vigueur</w:t>
            </w:r>
          </w:p>
        </w:tc>
        <w:tc>
          <w:tcPr>
            <w:tcW w:w="917" w:type="dxa"/>
            <w:tcBorders>
              <w:top w:val="single" w:sz="4" w:space="0" w:color="auto"/>
              <w:left w:val="nil"/>
              <w:bottom w:val="single" w:sz="4" w:space="0" w:color="auto"/>
              <w:right w:val="single" w:sz="4" w:space="0" w:color="auto"/>
            </w:tcBorders>
            <w:shd w:val="clear" w:color="auto" w:fill="C6EFCE"/>
            <w:noWrap/>
          </w:tcPr>
          <w:p w14:paraId="177524BE" w14:textId="77777777" w:rsidR="00553430" w:rsidRDefault="00553430">
            <w:pPr>
              <w:spacing w:after="200" w:line="276" w:lineRule="auto"/>
              <w:jc w:val="center"/>
              <w:rPr>
                <w:rFonts w:ascii="Times New Roman" w:eastAsia="Calibri" w:hAnsi="Times New Roman" w:cs="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040F4440" w14:textId="77777777" w:rsidR="00553430" w:rsidRDefault="00553430">
            <w:pPr>
              <w:spacing w:after="200" w:line="276" w:lineRule="auto"/>
              <w:jc w:val="center"/>
              <w:rPr>
                <w:rFonts w:ascii="Times New Roman" w:eastAsia="Calibri" w:hAnsi="Times New Roman" w:cs="Times New Roman"/>
                <w:noProof/>
                <w:sz w:val="20"/>
                <w:szCs w:val="20"/>
              </w:rPr>
            </w:pPr>
          </w:p>
        </w:tc>
        <w:tc>
          <w:tcPr>
            <w:tcW w:w="709" w:type="dxa"/>
            <w:tcBorders>
              <w:top w:val="single" w:sz="4" w:space="0" w:color="auto"/>
              <w:left w:val="nil"/>
              <w:bottom w:val="single" w:sz="4" w:space="0" w:color="auto"/>
              <w:right w:val="single" w:sz="4" w:space="0" w:color="auto"/>
            </w:tcBorders>
            <w:shd w:val="clear" w:color="auto" w:fill="C6EFCE"/>
            <w:noWrap/>
          </w:tcPr>
          <w:p w14:paraId="58B9F9B4" w14:textId="77777777" w:rsidR="00553430" w:rsidRDefault="00553430">
            <w:pPr>
              <w:spacing w:after="200" w:line="276" w:lineRule="auto"/>
              <w:jc w:val="center"/>
              <w:rPr>
                <w:rFonts w:ascii="Times New Roman" w:eastAsia="Calibri" w:hAnsi="Times New Roman" w:cs="Times New Roman"/>
                <w:noProof/>
                <w:sz w:val="20"/>
                <w:szCs w:val="20"/>
              </w:rPr>
            </w:pPr>
          </w:p>
        </w:tc>
        <w:tc>
          <w:tcPr>
            <w:tcW w:w="575" w:type="dxa"/>
            <w:tcBorders>
              <w:top w:val="single" w:sz="4" w:space="0" w:color="auto"/>
              <w:left w:val="nil"/>
              <w:bottom w:val="single" w:sz="4" w:space="0" w:color="auto"/>
              <w:right w:val="single" w:sz="4" w:space="0" w:color="auto"/>
            </w:tcBorders>
            <w:shd w:val="clear" w:color="auto" w:fill="C6EFCE"/>
            <w:noWrap/>
          </w:tcPr>
          <w:p w14:paraId="71AD5FE7" w14:textId="77777777" w:rsidR="00553430" w:rsidRDefault="00212577">
            <w:pPr>
              <w:pStyle w:val="P68B1DB1-Normal70"/>
              <w:spacing w:after="200" w:line="276" w:lineRule="auto"/>
              <w:jc w:val="center"/>
              <w:rPr>
                <w:noProof/>
              </w:rPr>
            </w:pPr>
            <w:r>
              <w:rPr>
                <w:noProof/>
              </w:rPr>
              <w:t>T1</w:t>
            </w:r>
          </w:p>
        </w:tc>
        <w:tc>
          <w:tcPr>
            <w:tcW w:w="850" w:type="dxa"/>
            <w:tcBorders>
              <w:top w:val="single" w:sz="4" w:space="0" w:color="auto"/>
              <w:left w:val="nil"/>
              <w:bottom w:val="single" w:sz="4" w:space="0" w:color="auto"/>
              <w:right w:val="single" w:sz="4" w:space="0" w:color="auto"/>
            </w:tcBorders>
            <w:shd w:val="clear" w:color="auto" w:fill="C6EFCE"/>
            <w:noWrap/>
          </w:tcPr>
          <w:p w14:paraId="2345283E" w14:textId="77777777" w:rsidR="00553430" w:rsidRDefault="00212577">
            <w:pPr>
              <w:pStyle w:val="P68B1DB1-Normal70"/>
              <w:spacing w:after="200" w:line="276" w:lineRule="auto"/>
              <w:jc w:val="center"/>
              <w:rPr>
                <w:noProof/>
              </w:rPr>
            </w:pPr>
            <w:r>
              <w:rPr>
                <w:noProof/>
              </w:rPr>
              <w:t>2025</w:t>
            </w:r>
          </w:p>
        </w:tc>
        <w:tc>
          <w:tcPr>
            <w:tcW w:w="3754" w:type="dxa"/>
            <w:tcBorders>
              <w:top w:val="single" w:sz="4" w:space="0" w:color="auto"/>
              <w:left w:val="nil"/>
              <w:bottom w:val="single" w:sz="4" w:space="0" w:color="auto"/>
              <w:right w:val="single" w:sz="4" w:space="0" w:color="auto"/>
            </w:tcBorders>
            <w:shd w:val="clear" w:color="auto" w:fill="C6EFCE"/>
            <w:noWrap/>
          </w:tcPr>
          <w:p w14:paraId="2F2587CC" w14:textId="77777777" w:rsidR="00553430" w:rsidRDefault="00212577">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rPr>
              <w:t xml:space="preserve">Le nouveau système d’autoconsommation pour les </w:t>
            </w:r>
            <w:r>
              <w:rPr>
                <w:rFonts w:ascii="Times New Roman" w:hAnsi="Times New Roman" w:cs="Times New Roman"/>
                <w:noProof/>
                <w:color w:val="000000" w:themeColor="text1"/>
              </w:rPr>
              <w:t>installations de production d’énergie en auto-approvisionnement est</w:t>
            </w:r>
            <w:r>
              <w:rPr>
                <w:rFonts w:ascii="Times New Roman" w:eastAsia="Calibri" w:hAnsi="Times New Roman" w:cs="Times New Roman"/>
                <w:noProof/>
              </w:rPr>
              <w:t xml:space="preserve"> mis en place et est applicable à partir du 1er </w:t>
            </w:r>
            <w:r>
              <w:rPr>
                <w:rFonts w:ascii="Times New Roman" w:eastAsia="Calibri" w:hAnsi="Times New Roman" w:cs="Times New Roman"/>
                <w:noProof/>
              </w:rPr>
              <w:t xml:space="preserve">janvier 2026. Le nouveau système d'autoconsommation garantit l'égalité de traitement entre tous les clients en ce qui concerne l'accès au réseau de distribution et les redevances de réseau. Le nouveau système redéfinit le mode de calcul de la rémunération </w:t>
            </w:r>
            <w:r>
              <w:rPr>
                <w:rFonts w:ascii="Times New Roman" w:eastAsia="Calibri" w:hAnsi="Times New Roman" w:cs="Times New Roman"/>
                <w:noProof/>
              </w:rPr>
              <w:t>de l’électricité autoproduite injectée dans le réseau; tous les frais et redevances, y compris les tarifs de réseau, doivent refléter les coûts, être proportionnés et non discriminatoires. Dans le même temps, le nouveau système incitera les consommateurs à</w:t>
            </w:r>
            <w:r>
              <w:rPr>
                <w:rFonts w:ascii="Times New Roman" w:eastAsia="Calibri" w:hAnsi="Times New Roman" w:cs="Times New Roman"/>
                <w:noProof/>
              </w:rPr>
              <w:t xml:space="preserve"> devenir autoconsommateurs, ainsi qu'à l'autoconsommation. Les frais et redevances ne sont pas imposés à l'électricité autoproduite qui reste dans les locaux de l'autoconsommateur.</w:t>
            </w:r>
          </w:p>
        </w:tc>
      </w:tr>
      <w:tr w:rsidR="00553430" w14:paraId="50D789DB"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ED2B040" w14:textId="77777777" w:rsidR="00553430" w:rsidRDefault="00212577">
            <w:pPr>
              <w:pStyle w:val="P68B1DB1-Normal89"/>
              <w:spacing w:after="0" w:line="276" w:lineRule="auto"/>
              <w:jc w:val="center"/>
              <w:rPr>
                <w:rFonts w:eastAsia="Calibri"/>
                <w:noProof/>
              </w:rPr>
            </w:pPr>
            <w:r>
              <w:rPr>
                <w:noProof/>
              </w:rPr>
              <w:t>51</w:t>
            </w:r>
          </w:p>
        </w:tc>
        <w:tc>
          <w:tcPr>
            <w:tcW w:w="1437" w:type="dxa"/>
            <w:tcBorders>
              <w:top w:val="single" w:sz="4" w:space="0" w:color="auto"/>
              <w:left w:val="nil"/>
              <w:bottom w:val="single" w:sz="4" w:space="0" w:color="auto"/>
              <w:right w:val="single" w:sz="4" w:space="0" w:color="auto"/>
            </w:tcBorders>
            <w:shd w:val="clear" w:color="auto" w:fill="C6EFCE"/>
            <w:noWrap/>
          </w:tcPr>
          <w:p w14:paraId="53C05E77" w14:textId="77777777" w:rsidR="00553430" w:rsidRDefault="00212577">
            <w:pPr>
              <w:pStyle w:val="P68B1DB1-Normal102"/>
              <w:spacing w:after="200" w:line="276" w:lineRule="auto"/>
              <w:jc w:val="center"/>
              <w:rPr>
                <w:rFonts w:eastAsia="Calibri"/>
                <w:noProof/>
              </w:rPr>
            </w:pPr>
            <w:r>
              <w:rPr>
                <w:noProof/>
              </w:rPr>
              <w:t>C7.1. R1-I1</w:t>
            </w:r>
          </w:p>
        </w:tc>
        <w:tc>
          <w:tcPr>
            <w:tcW w:w="1072" w:type="dxa"/>
            <w:tcBorders>
              <w:top w:val="single" w:sz="4" w:space="0" w:color="auto"/>
              <w:left w:val="nil"/>
              <w:bottom w:val="single" w:sz="4" w:space="0" w:color="auto"/>
              <w:right w:val="single" w:sz="4" w:space="0" w:color="auto"/>
            </w:tcBorders>
            <w:shd w:val="clear" w:color="auto" w:fill="C6EFCE"/>
            <w:noWrap/>
          </w:tcPr>
          <w:p w14:paraId="15F4E58E" w14:textId="77777777" w:rsidR="00553430" w:rsidRDefault="00212577">
            <w:pPr>
              <w:pStyle w:val="P68B1DB1-Normal66"/>
              <w:spacing w:after="200" w:line="276" w:lineRule="auto"/>
              <w:jc w:val="center"/>
              <w:rPr>
                <w:noProof/>
              </w:rPr>
            </w:pPr>
            <w:r>
              <w:rPr>
                <w:noProof/>
              </w:rPr>
              <w:t>M</w:t>
            </w:r>
          </w:p>
        </w:tc>
        <w:tc>
          <w:tcPr>
            <w:tcW w:w="2228" w:type="dxa"/>
            <w:tcBorders>
              <w:top w:val="single" w:sz="4" w:space="0" w:color="auto"/>
              <w:left w:val="nil"/>
              <w:bottom w:val="single" w:sz="4" w:space="0" w:color="auto"/>
              <w:right w:val="single" w:sz="4" w:space="0" w:color="auto"/>
            </w:tcBorders>
            <w:shd w:val="clear" w:color="auto" w:fill="C6EFCE"/>
            <w:noWrap/>
          </w:tcPr>
          <w:p w14:paraId="6F1748C2" w14:textId="77777777" w:rsidR="00553430" w:rsidRDefault="00212577">
            <w:pPr>
              <w:pStyle w:val="P68B1DB1-Normal66"/>
              <w:spacing w:after="200" w:line="276" w:lineRule="auto"/>
              <w:rPr>
                <w:noProof/>
              </w:rPr>
            </w:pPr>
            <w:r>
              <w:rPr>
                <w:noProof/>
              </w:rPr>
              <w:t xml:space="preserve">Financement d’un projet relatif à l’hydrogène renouvelable </w:t>
            </w:r>
          </w:p>
        </w:tc>
        <w:tc>
          <w:tcPr>
            <w:tcW w:w="2193" w:type="dxa"/>
            <w:tcBorders>
              <w:top w:val="single" w:sz="4" w:space="0" w:color="auto"/>
              <w:left w:val="nil"/>
              <w:bottom w:val="single" w:sz="4" w:space="0" w:color="auto"/>
              <w:right w:val="single" w:sz="4" w:space="0" w:color="auto"/>
            </w:tcBorders>
            <w:shd w:val="clear" w:color="auto" w:fill="C6EFCE"/>
            <w:noWrap/>
          </w:tcPr>
          <w:p w14:paraId="6B4F21F3" w14:textId="50754C7B" w:rsidR="00553430" w:rsidRDefault="00212577">
            <w:pPr>
              <w:pStyle w:val="P68B1DB1-Normal66"/>
              <w:spacing w:after="200" w:line="276" w:lineRule="auto"/>
              <w:rPr>
                <w:noProof/>
              </w:rPr>
            </w:pPr>
            <w:r>
              <w:rPr>
                <w:noProof/>
              </w:rPr>
              <w:t>Octroi d'une subvention pour un projet d'hydrogène renouvelable, livraison de l'électrolyseur, installation d'un plan d'énergie photovoltaïque et signature d'un contrat pour l'installation de l'él</w:t>
            </w:r>
            <w:r>
              <w:rPr>
                <w:noProof/>
              </w:rPr>
              <w:t xml:space="preserve">ectrolyseur </w:t>
            </w:r>
          </w:p>
        </w:tc>
        <w:tc>
          <w:tcPr>
            <w:tcW w:w="917" w:type="dxa"/>
            <w:tcBorders>
              <w:top w:val="single" w:sz="4" w:space="0" w:color="auto"/>
              <w:left w:val="nil"/>
              <w:bottom w:val="single" w:sz="4" w:space="0" w:color="auto"/>
              <w:right w:val="single" w:sz="4" w:space="0" w:color="auto"/>
            </w:tcBorders>
            <w:shd w:val="clear" w:color="auto" w:fill="C6EFCE"/>
            <w:noWrap/>
          </w:tcPr>
          <w:p w14:paraId="55D661A2" w14:textId="77777777" w:rsidR="00553430" w:rsidRDefault="00553430">
            <w:pPr>
              <w:spacing w:after="200" w:line="276" w:lineRule="auto"/>
              <w:jc w:val="center"/>
              <w:rPr>
                <w:rFonts w:ascii="Times New Roman" w:eastAsia="Calibri" w:hAnsi="Times New Roman" w:cs="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1C6C7585" w14:textId="77777777" w:rsidR="00553430" w:rsidRDefault="00553430">
            <w:pPr>
              <w:spacing w:after="200" w:line="276" w:lineRule="auto"/>
              <w:jc w:val="center"/>
              <w:rPr>
                <w:rFonts w:ascii="Times New Roman" w:eastAsia="Calibri" w:hAnsi="Times New Roman" w:cs="Times New Roman"/>
                <w:noProof/>
                <w:sz w:val="20"/>
                <w:szCs w:val="20"/>
              </w:rPr>
            </w:pPr>
          </w:p>
        </w:tc>
        <w:tc>
          <w:tcPr>
            <w:tcW w:w="709" w:type="dxa"/>
            <w:tcBorders>
              <w:top w:val="single" w:sz="4" w:space="0" w:color="auto"/>
              <w:left w:val="nil"/>
              <w:bottom w:val="single" w:sz="4" w:space="0" w:color="auto"/>
              <w:right w:val="single" w:sz="4" w:space="0" w:color="auto"/>
            </w:tcBorders>
            <w:shd w:val="clear" w:color="auto" w:fill="C6EFCE"/>
            <w:noWrap/>
          </w:tcPr>
          <w:p w14:paraId="07E537DA" w14:textId="77777777" w:rsidR="00553430" w:rsidRDefault="00553430">
            <w:pPr>
              <w:spacing w:after="200" w:line="276" w:lineRule="auto"/>
              <w:jc w:val="center"/>
              <w:rPr>
                <w:rFonts w:ascii="Times New Roman" w:eastAsia="Calibri" w:hAnsi="Times New Roman" w:cs="Times New Roman"/>
                <w:noProof/>
                <w:sz w:val="20"/>
                <w:szCs w:val="20"/>
              </w:rPr>
            </w:pPr>
          </w:p>
        </w:tc>
        <w:tc>
          <w:tcPr>
            <w:tcW w:w="575" w:type="dxa"/>
            <w:tcBorders>
              <w:top w:val="single" w:sz="4" w:space="0" w:color="auto"/>
              <w:left w:val="nil"/>
              <w:bottom w:val="single" w:sz="4" w:space="0" w:color="auto"/>
              <w:right w:val="single" w:sz="4" w:space="0" w:color="auto"/>
            </w:tcBorders>
            <w:shd w:val="clear" w:color="auto" w:fill="C6EFCE"/>
            <w:noWrap/>
          </w:tcPr>
          <w:p w14:paraId="7F9C5313" w14:textId="77777777" w:rsidR="00553430" w:rsidRDefault="00212577">
            <w:pPr>
              <w:pStyle w:val="P68B1DB1-Normal66"/>
              <w:spacing w:after="200" w:line="276" w:lineRule="auto"/>
              <w:jc w:val="center"/>
              <w:rPr>
                <w:noProof/>
              </w:rPr>
            </w:pPr>
            <w:r>
              <w:rPr>
                <w:noProof/>
              </w:rPr>
              <w:t>T4</w:t>
            </w:r>
          </w:p>
        </w:tc>
        <w:tc>
          <w:tcPr>
            <w:tcW w:w="850" w:type="dxa"/>
            <w:tcBorders>
              <w:top w:val="single" w:sz="4" w:space="0" w:color="auto"/>
              <w:left w:val="nil"/>
              <w:bottom w:val="single" w:sz="4" w:space="0" w:color="auto"/>
              <w:right w:val="single" w:sz="4" w:space="0" w:color="auto"/>
            </w:tcBorders>
            <w:shd w:val="clear" w:color="auto" w:fill="C6EFCE"/>
            <w:noWrap/>
          </w:tcPr>
          <w:p w14:paraId="2B2BF88A" w14:textId="77777777" w:rsidR="00553430" w:rsidRDefault="00212577">
            <w:pPr>
              <w:pStyle w:val="P68B1DB1-Normal66"/>
              <w:spacing w:after="200" w:line="276" w:lineRule="auto"/>
              <w:jc w:val="center"/>
              <w:rPr>
                <w:noProof/>
              </w:rPr>
            </w:pPr>
            <w:r>
              <w:rPr>
                <w:noProof/>
              </w:rPr>
              <w:t>2025</w:t>
            </w:r>
          </w:p>
        </w:tc>
        <w:tc>
          <w:tcPr>
            <w:tcW w:w="3754" w:type="dxa"/>
            <w:tcBorders>
              <w:top w:val="single" w:sz="4" w:space="0" w:color="auto"/>
              <w:left w:val="nil"/>
              <w:bottom w:val="single" w:sz="4" w:space="0" w:color="auto"/>
              <w:right w:val="single" w:sz="4" w:space="0" w:color="auto"/>
            </w:tcBorders>
            <w:shd w:val="clear" w:color="auto" w:fill="C6EFCE"/>
            <w:noWrap/>
          </w:tcPr>
          <w:p w14:paraId="50EA8AB1" w14:textId="14F52840" w:rsidR="00553430" w:rsidRDefault="00212577">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 xml:space="preserve">Subvention octroyée d’un montant de 15 millions d’EUR pour le financement d’un projet intégré d’hydrogène renouvelable, qui comprend la livraison sur site de l’électrolyseur d’une capacité d’au moins 10 MW d’hydrogène renouvelable, </w:t>
            </w:r>
            <w:r>
              <w:rPr>
                <w:rFonts w:ascii="Times New Roman" w:eastAsia="Calibri" w:hAnsi="Times New Roman" w:cs="Times New Roman"/>
                <w:noProof/>
                <w:color w:val="000000" w:themeColor="text1"/>
              </w:rPr>
              <w:t>l’installation d’une centrale photovoltaïque et la signature d’un contrat pour l’installation de l’électrolyseur.</w:t>
            </w:r>
            <w:r>
              <w:rPr>
                <w:rFonts w:ascii="Times New Roman" w:hAnsi="Times New Roman" w:cs="Times New Roman"/>
                <w:noProof/>
              </w:rPr>
              <w:br/>
            </w:r>
            <w:r>
              <w:rPr>
                <w:rFonts w:ascii="Times New Roman" w:eastAsia="Calibri" w:hAnsi="Times New Roman" w:cs="Times New Roman"/>
                <w:noProof/>
                <w:color w:val="000000" w:themeColor="text1"/>
              </w:rPr>
              <w:t xml:space="preserve">Le projet respecte les conditions prévues par la directive (UE) 2018/2001 sur les énergies renouvelables et les actes délégués (UE) 2023/1185 </w:t>
            </w:r>
            <w:r>
              <w:rPr>
                <w:rFonts w:ascii="Times New Roman" w:eastAsia="Calibri" w:hAnsi="Times New Roman" w:cs="Times New Roman"/>
                <w:noProof/>
                <w:color w:val="000000" w:themeColor="text1"/>
              </w:rPr>
              <w:t>et (UE) 2023/1184 pertinents.</w:t>
            </w:r>
          </w:p>
        </w:tc>
      </w:tr>
      <w:tr w:rsidR="00553430" w14:paraId="3AC1C258"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7D0836D" w14:textId="77777777" w:rsidR="00553430" w:rsidRDefault="00212577">
            <w:pPr>
              <w:pStyle w:val="P68B1DB1-Normal89"/>
              <w:spacing w:after="0" w:line="276" w:lineRule="auto"/>
              <w:jc w:val="center"/>
              <w:rPr>
                <w:noProof/>
              </w:rPr>
            </w:pPr>
            <w:r>
              <w:rPr>
                <w:noProof/>
              </w:rPr>
              <w:t>52</w:t>
            </w:r>
          </w:p>
        </w:tc>
        <w:tc>
          <w:tcPr>
            <w:tcW w:w="1437" w:type="dxa"/>
            <w:tcBorders>
              <w:top w:val="single" w:sz="4" w:space="0" w:color="auto"/>
              <w:left w:val="nil"/>
              <w:bottom w:val="single" w:sz="4" w:space="0" w:color="auto"/>
              <w:right w:val="single" w:sz="4" w:space="0" w:color="auto"/>
            </w:tcBorders>
            <w:shd w:val="clear" w:color="auto" w:fill="C6EFCE"/>
            <w:noWrap/>
          </w:tcPr>
          <w:p w14:paraId="154EE9E1" w14:textId="77777777" w:rsidR="00553430" w:rsidRDefault="00212577">
            <w:pPr>
              <w:pStyle w:val="P68B1DB1-Normal102"/>
              <w:spacing w:after="200" w:line="276" w:lineRule="auto"/>
              <w:jc w:val="center"/>
              <w:rPr>
                <w:rFonts w:eastAsia="Calibri"/>
                <w:noProof/>
              </w:rPr>
            </w:pPr>
            <w:r>
              <w:rPr>
                <w:noProof/>
              </w:rPr>
              <w:t>C7.1. R1-I1</w:t>
            </w:r>
          </w:p>
        </w:tc>
        <w:tc>
          <w:tcPr>
            <w:tcW w:w="1072" w:type="dxa"/>
            <w:tcBorders>
              <w:top w:val="single" w:sz="4" w:space="0" w:color="auto"/>
              <w:left w:val="nil"/>
              <w:bottom w:val="single" w:sz="4" w:space="0" w:color="auto"/>
              <w:right w:val="single" w:sz="4" w:space="0" w:color="auto"/>
            </w:tcBorders>
            <w:shd w:val="clear" w:color="auto" w:fill="C6EFCE"/>
            <w:noWrap/>
          </w:tcPr>
          <w:p w14:paraId="0F6F2B31" w14:textId="77777777" w:rsidR="00553430" w:rsidRDefault="00212577">
            <w:pPr>
              <w:pStyle w:val="P68B1DB1-Normal66"/>
              <w:spacing w:after="200" w:line="276" w:lineRule="auto"/>
              <w:jc w:val="center"/>
              <w:rPr>
                <w:noProof/>
              </w:rPr>
            </w:pPr>
            <w:r>
              <w:rPr>
                <w:noProof/>
              </w:rPr>
              <w:t>M</w:t>
            </w:r>
          </w:p>
        </w:tc>
        <w:tc>
          <w:tcPr>
            <w:tcW w:w="2228" w:type="dxa"/>
            <w:tcBorders>
              <w:top w:val="single" w:sz="4" w:space="0" w:color="auto"/>
              <w:left w:val="nil"/>
              <w:bottom w:val="single" w:sz="4" w:space="0" w:color="auto"/>
              <w:right w:val="single" w:sz="4" w:space="0" w:color="auto"/>
            </w:tcBorders>
            <w:shd w:val="clear" w:color="auto" w:fill="C6EFCE"/>
            <w:noWrap/>
          </w:tcPr>
          <w:p w14:paraId="36D8B119" w14:textId="77777777" w:rsidR="00553430" w:rsidRDefault="00212577">
            <w:pPr>
              <w:pStyle w:val="P68B1DB1-Normal66"/>
              <w:spacing w:after="200" w:line="276" w:lineRule="auto"/>
              <w:rPr>
                <w:noProof/>
              </w:rPr>
            </w:pPr>
            <w:r>
              <w:rPr>
                <w:noProof/>
              </w:rPr>
              <w:t xml:space="preserve">Appel d’offres public lancé pour une capacité d’hydrogène supplémentaire </w:t>
            </w:r>
          </w:p>
        </w:tc>
        <w:tc>
          <w:tcPr>
            <w:tcW w:w="2193" w:type="dxa"/>
            <w:tcBorders>
              <w:top w:val="single" w:sz="4" w:space="0" w:color="auto"/>
              <w:left w:val="nil"/>
              <w:bottom w:val="single" w:sz="4" w:space="0" w:color="auto"/>
              <w:right w:val="single" w:sz="4" w:space="0" w:color="auto"/>
            </w:tcBorders>
            <w:shd w:val="clear" w:color="auto" w:fill="C6EFCE"/>
            <w:noWrap/>
          </w:tcPr>
          <w:p w14:paraId="320ECBB3" w14:textId="77777777" w:rsidR="00553430" w:rsidRDefault="00212577">
            <w:pPr>
              <w:pStyle w:val="P68B1DB1-Normal66"/>
              <w:spacing w:after="200" w:line="276" w:lineRule="auto"/>
              <w:rPr>
                <w:noProof/>
              </w:rPr>
            </w:pPr>
            <w:r>
              <w:rPr>
                <w:noProof/>
              </w:rPr>
              <w:t>Appel d’offres public lancé pour une capacité d’hydrogène supplémentaire</w:t>
            </w:r>
          </w:p>
        </w:tc>
        <w:tc>
          <w:tcPr>
            <w:tcW w:w="917" w:type="dxa"/>
            <w:tcBorders>
              <w:top w:val="single" w:sz="4" w:space="0" w:color="auto"/>
              <w:left w:val="nil"/>
              <w:bottom w:val="single" w:sz="4" w:space="0" w:color="auto"/>
              <w:right w:val="single" w:sz="4" w:space="0" w:color="auto"/>
            </w:tcBorders>
            <w:shd w:val="clear" w:color="auto" w:fill="C6EFCE"/>
            <w:noWrap/>
          </w:tcPr>
          <w:p w14:paraId="7CA94DAB" w14:textId="77777777" w:rsidR="00553430" w:rsidRDefault="00212577">
            <w:pPr>
              <w:pStyle w:val="P68B1DB1-Normal66"/>
              <w:spacing w:after="200" w:line="276" w:lineRule="auto"/>
              <w:jc w:val="center"/>
              <w:rPr>
                <w:noProof/>
              </w:rPr>
            </w:pPr>
            <w:r>
              <w:rPr>
                <w:noProof/>
              </w:rPr>
              <w:t> </w:t>
            </w:r>
          </w:p>
        </w:tc>
        <w:tc>
          <w:tcPr>
            <w:tcW w:w="851" w:type="dxa"/>
            <w:tcBorders>
              <w:top w:val="single" w:sz="4" w:space="0" w:color="auto"/>
              <w:left w:val="nil"/>
              <w:bottom w:val="single" w:sz="4" w:space="0" w:color="auto"/>
              <w:right w:val="single" w:sz="4" w:space="0" w:color="auto"/>
            </w:tcBorders>
            <w:shd w:val="clear" w:color="auto" w:fill="C6EFCE"/>
            <w:noWrap/>
          </w:tcPr>
          <w:p w14:paraId="06158971" w14:textId="77777777" w:rsidR="00553430" w:rsidRDefault="00212577">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03467252" w14:textId="77777777" w:rsidR="00553430" w:rsidRDefault="00553430">
            <w:pPr>
              <w:spacing w:after="200" w:line="276" w:lineRule="auto"/>
              <w:jc w:val="center"/>
              <w:rPr>
                <w:rFonts w:ascii="Times New Roman" w:eastAsia="Calibri" w:hAnsi="Times New Roman" w:cs="Times New Roman"/>
                <w:noProof/>
                <w:sz w:val="20"/>
                <w:szCs w:val="20"/>
              </w:rPr>
            </w:pPr>
          </w:p>
        </w:tc>
        <w:tc>
          <w:tcPr>
            <w:tcW w:w="575" w:type="dxa"/>
            <w:tcBorders>
              <w:top w:val="single" w:sz="4" w:space="0" w:color="auto"/>
              <w:left w:val="nil"/>
              <w:bottom w:val="single" w:sz="4" w:space="0" w:color="auto"/>
              <w:right w:val="single" w:sz="4" w:space="0" w:color="auto"/>
            </w:tcBorders>
            <w:shd w:val="clear" w:color="auto" w:fill="C6EFCE"/>
            <w:noWrap/>
          </w:tcPr>
          <w:p w14:paraId="409C6518" w14:textId="77777777" w:rsidR="00553430" w:rsidRDefault="00212577">
            <w:pPr>
              <w:pStyle w:val="P68B1DB1-Normal66"/>
              <w:spacing w:after="200" w:line="276" w:lineRule="auto"/>
              <w:jc w:val="center"/>
              <w:rPr>
                <w:noProof/>
              </w:rPr>
            </w:pPr>
            <w:r>
              <w:rPr>
                <w:noProof/>
              </w:rPr>
              <w:t>T2</w:t>
            </w:r>
          </w:p>
        </w:tc>
        <w:tc>
          <w:tcPr>
            <w:tcW w:w="850" w:type="dxa"/>
            <w:tcBorders>
              <w:top w:val="single" w:sz="4" w:space="0" w:color="auto"/>
              <w:left w:val="nil"/>
              <w:bottom w:val="single" w:sz="4" w:space="0" w:color="auto"/>
              <w:right w:val="single" w:sz="4" w:space="0" w:color="auto"/>
            </w:tcBorders>
            <w:shd w:val="clear" w:color="auto" w:fill="C6EFCE"/>
            <w:noWrap/>
          </w:tcPr>
          <w:p w14:paraId="4ADF1121" w14:textId="77777777" w:rsidR="00553430" w:rsidRDefault="00212577">
            <w:pPr>
              <w:pStyle w:val="P68B1DB1-Normal66"/>
              <w:spacing w:after="200" w:line="276" w:lineRule="auto"/>
              <w:jc w:val="center"/>
              <w:rPr>
                <w:noProof/>
              </w:rPr>
            </w:pPr>
            <w:r>
              <w:rPr>
                <w:noProof/>
              </w:rPr>
              <w:t>2026</w:t>
            </w:r>
          </w:p>
        </w:tc>
        <w:tc>
          <w:tcPr>
            <w:tcW w:w="3754" w:type="dxa"/>
            <w:tcBorders>
              <w:top w:val="single" w:sz="4" w:space="0" w:color="auto"/>
              <w:left w:val="nil"/>
              <w:bottom w:val="single" w:sz="4" w:space="0" w:color="auto"/>
              <w:right w:val="single" w:sz="4" w:space="0" w:color="auto"/>
            </w:tcBorders>
            <w:shd w:val="clear" w:color="auto" w:fill="C6EFCE"/>
            <w:noWrap/>
          </w:tcPr>
          <w:p w14:paraId="6AA0ED70" w14:textId="77777777" w:rsidR="00553430" w:rsidRDefault="00212577">
            <w:pPr>
              <w:pStyle w:val="P68B1DB1-Normal66"/>
              <w:spacing w:after="200" w:line="276" w:lineRule="auto"/>
              <w:rPr>
                <w:noProof/>
              </w:rPr>
            </w:pPr>
            <w:r>
              <w:rPr>
                <w:noProof/>
              </w:rPr>
              <w:t xml:space="preserve">Lancement d’un appel d’offres public pour la </w:t>
            </w:r>
            <w:r>
              <w:rPr>
                <w:noProof/>
              </w:rPr>
              <w:t>construction d’une installation qui installera 20 MW de capacité de production d’hydrogène renouvelable par électrolyse.</w:t>
            </w:r>
          </w:p>
        </w:tc>
      </w:tr>
      <w:tr w:rsidR="00553430" w14:paraId="6F775ED7"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49A4B05" w14:textId="77777777" w:rsidR="00553430" w:rsidRDefault="00212577">
            <w:pPr>
              <w:pStyle w:val="P68B1DB1-Normal89"/>
              <w:spacing w:after="0" w:line="276" w:lineRule="auto"/>
              <w:jc w:val="center"/>
              <w:rPr>
                <w:noProof/>
              </w:rPr>
            </w:pPr>
            <w:r>
              <w:rPr>
                <w:noProof/>
              </w:rPr>
              <w:t>54</w:t>
            </w:r>
          </w:p>
        </w:tc>
        <w:tc>
          <w:tcPr>
            <w:tcW w:w="1437" w:type="dxa"/>
            <w:tcBorders>
              <w:top w:val="single" w:sz="4" w:space="0" w:color="auto"/>
              <w:left w:val="nil"/>
              <w:bottom w:val="single" w:sz="4" w:space="0" w:color="auto"/>
              <w:right w:val="single" w:sz="4" w:space="0" w:color="auto"/>
            </w:tcBorders>
            <w:shd w:val="clear" w:color="auto" w:fill="C6EFCE"/>
            <w:noWrap/>
          </w:tcPr>
          <w:p w14:paraId="3E3CE4F2" w14:textId="77777777" w:rsidR="00553430" w:rsidRDefault="00212577">
            <w:pPr>
              <w:pStyle w:val="P68B1DB1-Normal102"/>
              <w:spacing w:after="200" w:line="276" w:lineRule="auto"/>
              <w:jc w:val="center"/>
              <w:rPr>
                <w:noProof/>
                <w:color w:val="000000" w:themeColor="text1"/>
              </w:rPr>
            </w:pPr>
            <w:r>
              <w:rPr>
                <w:noProof/>
              </w:rPr>
              <w:t>C7.1. R1-I1</w:t>
            </w:r>
          </w:p>
        </w:tc>
        <w:tc>
          <w:tcPr>
            <w:tcW w:w="1072" w:type="dxa"/>
            <w:tcBorders>
              <w:top w:val="single" w:sz="4" w:space="0" w:color="auto"/>
              <w:left w:val="nil"/>
              <w:bottom w:val="single" w:sz="4" w:space="0" w:color="auto"/>
              <w:right w:val="single" w:sz="4" w:space="0" w:color="auto"/>
            </w:tcBorders>
            <w:shd w:val="clear" w:color="auto" w:fill="C6EFCE"/>
            <w:noWrap/>
          </w:tcPr>
          <w:p w14:paraId="4127E17E" w14:textId="77777777" w:rsidR="00553430" w:rsidRDefault="00212577">
            <w:pPr>
              <w:pStyle w:val="P68B1DB1-Normal66"/>
              <w:spacing w:after="200" w:line="276" w:lineRule="auto"/>
              <w:jc w:val="center"/>
              <w:rPr>
                <w:noProof/>
              </w:rPr>
            </w:pPr>
            <w:r>
              <w:rPr>
                <w:noProof/>
              </w:rPr>
              <w:t>M</w:t>
            </w:r>
          </w:p>
        </w:tc>
        <w:tc>
          <w:tcPr>
            <w:tcW w:w="2228" w:type="dxa"/>
            <w:tcBorders>
              <w:top w:val="single" w:sz="4" w:space="0" w:color="auto"/>
              <w:left w:val="nil"/>
              <w:bottom w:val="single" w:sz="4" w:space="0" w:color="auto"/>
              <w:right w:val="single" w:sz="4" w:space="0" w:color="auto"/>
            </w:tcBorders>
            <w:shd w:val="clear" w:color="auto" w:fill="C6EFCE"/>
            <w:noWrap/>
          </w:tcPr>
          <w:p w14:paraId="320286DA" w14:textId="77777777" w:rsidR="00553430" w:rsidRDefault="00212577">
            <w:pPr>
              <w:pStyle w:val="P68B1DB1-Normal66"/>
              <w:spacing w:after="200" w:line="276" w:lineRule="auto"/>
              <w:rPr>
                <w:noProof/>
              </w:rPr>
            </w:pPr>
            <w:r>
              <w:rPr>
                <w:noProof/>
              </w:rPr>
              <w:t>Études sur le stockage géologique du carbone</w:t>
            </w:r>
          </w:p>
        </w:tc>
        <w:tc>
          <w:tcPr>
            <w:tcW w:w="2193" w:type="dxa"/>
            <w:tcBorders>
              <w:top w:val="single" w:sz="4" w:space="0" w:color="auto"/>
              <w:left w:val="nil"/>
              <w:bottom w:val="single" w:sz="4" w:space="0" w:color="auto"/>
              <w:right w:val="single" w:sz="4" w:space="0" w:color="auto"/>
            </w:tcBorders>
            <w:shd w:val="clear" w:color="auto" w:fill="C6EFCE"/>
            <w:noWrap/>
          </w:tcPr>
          <w:p w14:paraId="25FC1823" w14:textId="77777777" w:rsidR="00553430" w:rsidRDefault="00212577">
            <w:pPr>
              <w:pStyle w:val="P68B1DB1-Normal66"/>
              <w:spacing w:after="200" w:line="276" w:lineRule="auto"/>
              <w:rPr>
                <w:noProof/>
              </w:rPr>
            </w:pPr>
            <w:r>
              <w:rPr>
                <w:noProof/>
              </w:rPr>
              <w:t xml:space="preserve">Publication des résumés techniques des études sur le stockage géologique du carbone </w:t>
            </w:r>
          </w:p>
        </w:tc>
        <w:tc>
          <w:tcPr>
            <w:tcW w:w="917" w:type="dxa"/>
            <w:tcBorders>
              <w:top w:val="single" w:sz="4" w:space="0" w:color="auto"/>
              <w:left w:val="nil"/>
              <w:bottom w:val="single" w:sz="4" w:space="0" w:color="auto"/>
              <w:right w:val="single" w:sz="4" w:space="0" w:color="auto"/>
            </w:tcBorders>
            <w:shd w:val="clear" w:color="auto" w:fill="C6EFCE"/>
            <w:noWrap/>
          </w:tcPr>
          <w:p w14:paraId="5336C05E"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767EC530"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709" w:type="dxa"/>
            <w:tcBorders>
              <w:top w:val="single" w:sz="4" w:space="0" w:color="auto"/>
              <w:left w:val="nil"/>
              <w:bottom w:val="single" w:sz="4" w:space="0" w:color="auto"/>
              <w:right w:val="single" w:sz="4" w:space="0" w:color="auto"/>
            </w:tcBorders>
            <w:shd w:val="clear" w:color="auto" w:fill="C6EFCE"/>
            <w:noWrap/>
          </w:tcPr>
          <w:p w14:paraId="785FC9FB"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575" w:type="dxa"/>
            <w:tcBorders>
              <w:top w:val="single" w:sz="4" w:space="0" w:color="auto"/>
              <w:left w:val="nil"/>
              <w:bottom w:val="single" w:sz="4" w:space="0" w:color="auto"/>
              <w:right w:val="single" w:sz="4" w:space="0" w:color="auto"/>
            </w:tcBorders>
            <w:shd w:val="clear" w:color="auto" w:fill="C6EFCE"/>
            <w:noWrap/>
          </w:tcPr>
          <w:p w14:paraId="0DD492A8" w14:textId="77777777" w:rsidR="00553430" w:rsidRDefault="00212577">
            <w:pPr>
              <w:pStyle w:val="P68B1DB1-Normal66"/>
              <w:spacing w:after="200" w:line="276" w:lineRule="auto"/>
              <w:jc w:val="center"/>
              <w:rPr>
                <w:noProof/>
              </w:rPr>
            </w:pPr>
            <w:r>
              <w:rPr>
                <w:noProof/>
              </w:rPr>
              <w:t>T2</w:t>
            </w:r>
          </w:p>
        </w:tc>
        <w:tc>
          <w:tcPr>
            <w:tcW w:w="850" w:type="dxa"/>
            <w:tcBorders>
              <w:top w:val="single" w:sz="4" w:space="0" w:color="auto"/>
              <w:left w:val="nil"/>
              <w:bottom w:val="single" w:sz="4" w:space="0" w:color="auto"/>
              <w:right w:val="single" w:sz="4" w:space="0" w:color="auto"/>
            </w:tcBorders>
            <w:shd w:val="clear" w:color="auto" w:fill="C6EFCE"/>
            <w:noWrap/>
          </w:tcPr>
          <w:p w14:paraId="2F0ADCDF" w14:textId="77777777" w:rsidR="00553430" w:rsidRDefault="00212577">
            <w:pPr>
              <w:pStyle w:val="P68B1DB1-Normal66"/>
              <w:spacing w:after="200" w:line="276" w:lineRule="auto"/>
              <w:jc w:val="center"/>
              <w:rPr>
                <w:noProof/>
              </w:rPr>
            </w:pPr>
            <w:r>
              <w:rPr>
                <w:noProof/>
              </w:rPr>
              <w:t>2026</w:t>
            </w:r>
          </w:p>
        </w:tc>
        <w:tc>
          <w:tcPr>
            <w:tcW w:w="3754" w:type="dxa"/>
            <w:tcBorders>
              <w:top w:val="single" w:sz="4" w:space="0" w:color="auto"/>
              <w:left w:val="nil"/>
              <w:bottom w:val="single" w:sz="4" w:space="0" w:color="auto"/>
              <w:right w:val="single" w:sz="4" w:space="0" w:color="auto"/>
            </w:tcBorders>
            <w:shd w:val="clear" w:color="auto" w:fill="C6EFCE"/>
            <w:noWrap/>
          </w:tcPr>
          <w:p w14:paraId="4EC8266F" w14:textId="1C15D0C8" w:rsidR="00553430" w:rsidRDefault="00212577">
            <w:pPr>
              <w:pStyle w:val="P68B1DB1-Normal59"/>
              <w:spacing w:after="200" w:line="276" w:lineRule="auto"/>
              <w:rPr>
                <w:rFonts w:ascii="Times New Roman" w:eastAsia="Calibri" w:hAnsi="Times New Roman" w:cs="Times New Roman"/>
                <w:noProof/>
                <w:color w:val="000000"/>
              </w:rPr>
            </w:pPr>
            <w:r>
              <w:rPr>
                <w:rFonts w:ascii="Times New Roman" w:eastAsia="Calibri" w:hAnsi="Times New Roman" w:cs="Times New Roman"/>
                <w:noProof/>
                <w:color w:val="000000"/>
              </w:rPr>
              <w:t>Publication d’un ensemble de résumés techniques des études portant sur le potentiel de stockage géologique souterrain du CO2 en Croatie (à terre et en mer). Les</w:t>
            </w:r>
            <w:r>
              <w:rPr>
                <w:rFonts w:ascii="Times New Roman" w:eastAsia="Calibri" w:hAnsi="Times New Roman" w:cs="Times New Roman"/>
                <w:noProof/>
                <w:color w:val="000000"/>
              </w:rPr>
              <w:t xml:space="preserve"> études comprennent une cartographie des structures géologiques acceptables pour l’élimination permanente du dioxyde de carbone et une étude de faisabilité intégrée sur l’élimination permanente du dioxyde de carbone sur le site de Bockovac. </w:t>
            </w:r>
          </w:p>
        </w:tc>
      </w:tr>
      <w:tr w:rsidR="00553430" w14:paraId="6497F98C"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17E5B3C" w14:textId="77777777" w:rsidR="00553430" w:rsidRDefault="00212577">
            <w:pPr>
              <w:pStyle w:val="P68B1DB1-Normal89"/>
              <w:spacing w:after="0" w:line="276" w:lineRule="auto"/>
              <w:jc w:val="center"/>
              <w:rPr>
                <w:noProof/>
              </w:rPr>
            </w:pPr>
            <w:r>
              <w:rPr>
                <w:noProof/>
              </w:rPr>
              <w:t>407</w:t>
            </w:r>
          </w:p>
        </w:tc>
        <w:tc>
          <w:tcPr>
            <w:tcW w:w="1437" w:type="dxa"/>
            <w:tcBorders>
              <w:top w:val="single" w:sz="4" w:space="0" w:color="auto"/>
              <w:left w:val="nil"/>
              <w:bottom w:val="single" w:sz="4" w:space="0" w:color="auto"/>
              <w:right w:val="single" w:sz="4" w:space="0" w:color="auto"/>
            </w:tcBorders>
            <w:shd w:val="clear" w:color="auto" w:fill="C6EFCE"/>
            <w:noWrap/>
          </w:tcPr>
          <w:p w14:paraId="777EF3D2" w14:textId="77777777" w:rsidR="00553430" w:rsidRDefault="00212577">
            <w:pPr>
              <w:pStyle w:val="P68B1DB1-Normal102"/>
              <w:spacing w:after="200" w:line="276" w:lineRule="auto"/>
              <w:jc w:val="center"/>
              <w:rPr>
                <w:noProof/>
                <w:color w:val="000000" w:themeColor="text1"/>
              </w:rPr>
            </w:pPr>
            <w:r>
              <w:rPr>
                <w:noProof/>
              </w:rPr>
              <w:t xml:space="preserve">C7.1. </w:t>
            </w:r>
            <w:r>
              <w:rPr>
                <w:noProof/>
              </w:rPr>
              <w:t>R1-I2</w:t>
            </w:r>
          </w:p>
        </w:tc>
        <w:tc>
          <w:tcPr>
            <w:tcW w:w="1072" w:type="dxa"/>
            <w:tcBorders>
              <w:top w:val="single" w:sz="4" w:space="0" w:color="auto"/>
              <w:left w:val="nil"/>
              <w:bottom w:val="single" w:sz="4" w:space="0" w:color="auto"/>
              <w:right w:val="single" w:sz="4" w:space="0" w:color="auto"/>
            </w:tcBorders>
            <w:shd w:val="clear" w:color="auto" w:fill="C6EFCE"/>
            <w:noWrap/>
          </w:tcPr>
          <w:p w14:paraId="5C5CB620" w14:textId="77777777" w:rsidR="00553430" w:rsidRDefault="00212577">
            <w:pPr>
              <w:pStyle w:val="P68B1DB1-Normal70"/>
              <w:spacing w:after="200" w:line="276" w:lineRule="auto"/>
              <w:jc w:val="center"/>
              <w:rPr>
                <w:noProof/>
              </w:rPr>
            </w:pPr>
            <w:r>
              <w:rPr>
                <w:noProof/>
              </w:rPr>
              <w:t>M</w:t>
            </w:r>
          </w:p>
        </w:tc>
        <w:tc>
          <w:tcPr>
            <w:tcW w:w="2228" w:type="dxa"/>
            <w:tcBorders>
              <w:top w:val="single" w:sz="4" w:space="0" w:color="auto"/>
              <w:left w:val="nil"/>
              <w:bottom w:val="single" w:sz="4" w:space="0" w:color="auto"/>
              <w:right w:val="single" w:sz="4" w:space="0" w:color="auto"/>
            </w:tcBorders>
            <w:shd w:val="clear" w:color="auto" w:fill="C6EFCE"/>
            <w:noWrap/>
          </w:tcPr>
          <w:p w14:paraId="6BC3C6C2" w14:textId="77777777" w:rsidR="00553430" w:rsidRDefault="00212577">
            <w:pPr>
              <w:pStyle w:val="P68B1DB1-Normal70"/>
              <w:spacing w:after="200" w:line="276" w:lineRule="auto"/>
              <w:rPr>
                <w:noProof/>
              </w:rPr>
            </w:pPr>
            <w:r>
              <w:rPr>
                <w:noProof/>
              </w:rPr>
              <w:t>Organisme de coordination de l'hydrogène</w:t>
            </w:r>
          </w:p>
        </w:tc>
        <w:tc>
          <w:tcPr>
            <w:tcW w:w="2193" w:type="dxa"/>
            <w:tcBorders>
              <w:top w:val="single" w:sz="4" w:space="0" w:color="auto"/>
              <w:left w:val="nil"/>
              <w:bottom w:val="single" w:sz="4" w:space="0" w:color="auto"/>
              <w:right w:val="single" w:sz="4" w:space="0" w:color="auto"/>
            </w:tcBorders>
            <w:shd w:val="clear" w:color="auto" w:fill="C6EFCE"/>
            <w:noWrap/>
          </w:tcPr>
          <w:p w14:paraId="50ACF836" w14:textId="77777777" w:rsidR="00553430" w:rsidRDefault="00212577">
            <w:pPr>
              <w:pStyle w:val="P68B1DB1-Normal70"/>
              <w:spacing w:after="200" w:line="276" w:lineRule="auto"/>
              <w:rPr>
                <w:noProof/>
              </w:rPr>
            </w:pPr>
            <w:r>
              <w:rPr>
                <w:noProof/>
              </w:rPr>
              <w:t>Disposition d'un acte juridique indiquant son entrée en vigueur</w:t>
            </w:r>
          </w:p>
        </w:tc>
        <w:tc>
          <w:tcPr>
            <w:tcW w:w="917" w:type="dxa"/>
            <w:tcBorders>
              <w:top w:val="single" w:sz="4" w:space="0" w:color="auto"/>
              <w:left w:val="nil"/>
              <w:bottom w:val="single" w:sz="4" w:space="0" w:color="auto"/>
              <w:right w:val="single" w:sz="4" w:space="0" w:color="auto"/>
            </w:tcBorders>
            <w:shd w:val="clear" w:color="auto" w:fill="C6EFCE"/>
            <w:noWrap/>
          </w:tcPr>
          <w:p w14:paraId="16BB13A6"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21ED8D97"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709" w:type="dxa"/>
            <w:tcBorders>
              <w:top w:val="single" w:sz="4" w:space="0" w:color="auto"/>
              <w:left w:val="nil"/>
              <w:bottom w:val="single" w:sz="4" w:space="0" w:color="auto"/>
              <w:right w:val="single" w:sz="4" w:space="0" w:color="auto"/>
            </w:tcBorders>
            <w:shd w:val="clear" w:color="auto" w:fill="C6EFCE"/>
            <w:noWrap/>
          </w:tcPr>
          <w:p w14:paraId="315D9BDE"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575" w:type="dxa"/>
            <w:tcBorders>
              <w:top w:val="single" w:sz="4" w:space="0" w:color="auto"/>
              <w:left w:val="nil"/>
              <w:bottom w:val="single" w:sz="4" w:space="0" w:color="auto"/>
              <w:right w:val="single" w:sz="4" w:space="0" w:color="auto"/>
            </w:tcBorders>
            <w:shd w:val="clear" w:color="auto" w:fill="C6EFCE"/>
            <w:noWrap/>
          </w:tcPr>
          <w:p w14:paraId="6F316E75" w14:textId="77777777" w:rsidR="00553430" w:rsidRDefault="00212577">
            <w:pPr>
              <w:pStyle w:val="P68B1DB1-Normal70"/>
              <w:spacing w:after="200" w:line="276" w:lineRule="auto"/>
              <w:jc w:val="center"/>
              <w:rPr>
                <w:noProof/>
              </w:rPr>
            </w:pPr>
            <w:r>
              <w:rPr>
                <w:noProof/>
              </w:rPr>
              <w:t>T1</w:t>
            </w:r>
          </w:p>
        </w:tc>
        <w:tc>
          <w:tcPr>
            <w:tcW w:w="850" w:type="dxa"/>
            <w:tcBorders>
              <w:top w:val="single" w:sz="4" w:space="0" w:color="auto"/>
              <w:left w:val="nil"/>
              <w:bottom w:val="single" w:sz="4" w:space="0" w:color="auto"/>
              <w:right w:val="single" w:sz="4" w:space="0" w:color="auto"/>
            </w:tcBorders>
            <w:shd w:val="clear" w:color="auto" w:fill="C6EFCE"/>
            <w:noWrap/>
          </w:tcPr>
          <w:p w14:paraId="56678466" w14:textId="77777777" w:rsidR="00553430" w:rsidRDefault="00212577">
            <w:pPr>
              <w:pStyle w:val="P68B1DB1-Normal70"/>
              <w:spacing w:after="200" w:line="276" w:lineRule="auto"/>
              <w:jc w:val="center"/>
              <w:rPr>
                <w:noProof/>
              </w:rPr>
            </w:pPr>
            <w:r>
              <w:rPr>
                <w:noProof/>
              </w:rPr>
              <w:t>2024</w:t>
            </w:r>
          </w:p>
        </w:tc>
        <w:tc>
          <w:tcPr>
            <w:tcW w:w="3754" w:type="dxa"/>
            <w:tcBorders>
              <w:top w:val="single" w:sz="4" w:space="0" w:color="auto"/>
              <w:left w:val="nil"/>
              <w:bottom w:val="single" w:sz="4" w:space="0" w:color="auto"/>
              <w:right w:val="single" w:sz="4" w:space="0" w:color="auto"/>
            </w:tcBorders>
            <w:shd w:val="clear" w:color="auto" w:fill="C6EFCE"/>
            <w:noWrap/>
          </w:tcPr>
          <w:p w14:paraId="5C4F2DAC" w14:textId="77777777" w:rsidR="00553430" w:rsidRDefault="00212577">
            <w:pPr>
              <w:pStyle w:val="P68B1DB1-Normal70"/>
              <w:spacing w:after="200" w:line="276" w:lineRule="auto"/>
              <w:rPr>
                <w:noProof/>
              </w:rPr>
            </w:pPr>
            <w:r>
              <w:rPr>
                <w:noProof/>
              </w:rPr>
              <w:t xml:space="preserve">Un acte juridique désignant l’Agence croate des hydrocarbures comme organisme de coordination de l’hydrogène en Croatie entre en </w:t>
            </w:r>
            <w:r>
              <w:rPr>
                <w:noProof/>
              </w:rPr>
              <w:t>vigueur.</w:t>
            </w:r>
          </w:p>
        </w:tc>
      </w:tr>
      <w:tr w:rsidR="00553430" w14:paraId="399B9595"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354D5670" w14:textId="77777777" w:rsidR="00553430" w:rsidRDefault="00212577">
            <w:pPr>
              <w:pStyle w:val="P68B1DB1-Normal89"/>
              <w:spacing w:after="0" w:line="276" w:lineRule="auto"/>
              <w:jc w:val="center"/>
              <w:rPr>
                <w:noProof/>
                <w:color w:val="000000"/>
                <w:shd w:val="clear" w:color="auto" w:fill="FFFF00"/>
              </w:rPr>
            </w:pPr>
            <w:r>
              <w:rPr>
                <w:noProof/>
              </w:rPr>
              <w:t>408</w:t>
            </w:r>
          </w:p>
        </w:tc>
        <w:tc>
          <w:tcPr>
            <w:tcW w:w="1437" w:type="dxa"/>
            <w:tcBorders>
              <w:top w:val="single" w:sz="4" w:space="0" w:color="auto"/>
              <w:left w:val="nil"/>
              <w:bottom w:val="single" w:sz="4" w:space="0" w:color="auto"/>
              <w:right w:val="single" w:sz="4" w:space="0" w:color="auto"/>
            </w:tcBorders>
            <w:shd w:val="clear" w:color="auto" w:fill="C6EFCE"/>
            <w:noWrap/>
          </w:tcPr>
          <w:p w14:paraId="72F9D3B6" w14:textId="77777777" w:rsidR="00553430" w:rsidRDefault="00212577">
            <w:pPr>
              <w:pStyle w:val="P68B1DB1-Normal102"/>
              <w:spacing w:after="200" w:line="276" w:lineRule="auto"/>
              <w:jc w:val="center"/>
              <w:rPr>
                <w:noProof/>
                <w:color w:val="000000" w:themeColor="text1"/>
              </w:rPr>
            </w:pPr>
            <w:r>
              <w:rPr>
                <w:noProof/>
              </w:rPr>
              <w:t>C7.1. R1-I2</w:t>
            </w:r>
          </w:p>
        </w:tc>
        <w:tc>
          <w:tcPr>
            <w:tcW w:w="1072" w:type="dxa"/>
            <w:tcBorders>
              <w:top w:val="single" w:sz="4" w:space="0" w:color="auto"/>
              <w:left w:val="nil"/>
              <w:bottom w:val="single" w:sz="4" w:space="0" w:color="auto"/>
              <w:right w:val="single" w:sz="4" w:space="0" w:color="auto"/>
            </w:tcBorders>
            <w:shd w:val="clear" w:color="auto" w:fill="C6EFCE"/>
            <w:noWrap/>
          </w:tcPr>
          <w:p w14:paraId="753BE2D4" w14:textId="77777777" w:rsidR="00553430" w:rsidRDefault="00212577">
            <w:pPr>
              <w:pStyle w:val="P68B1DB1-Normal102"/>
              <w:spacing w:after="200" w:line="276" w:lineRule="auto"/>
              <w:jc w:val="center"/>
              <w:rPr>
                <w:rFonts w:eastAsia="Calibri"/>
                <w:noProof/>
              </w:rPr>
            </w:pPr>
            <w:r>
              <w:rPr>
                <w:noProof/>
              </w:rPr>
              <w:t>M</w:t>
            </w:r>
          </w:p>
        </w:tc>
        <w:tc>
          <w:tcPr>
            <w:tcW w:w="2228" w:type="dxa"/>
            <w:tcBorders>
              <w:top w:val="single" w:sz="4" w:space="0" w:color="auto"/>
              <w:left w:val="nil"/>
              <w:bottom w:val="single" w:sz="4" w:space="0" w:color="auto"/>
              <w:right w:val="single" w:sz="4" w:space="0" w:color="auto"/>
            </w:tcBorders>
            <w:shd w:val="clear" w:color="auto" w:fill="C6EFCE"/>
            <w:noWrap/>
          </w:tcPr>
          <w:p w14:paraId="1579C6A5" w14:textId="77777777" w:rsidR="00553430" w:rsidRDefault="00212577">
            <w:pPr>
              <w:pStyle w:val="P68B1DB1-Normal102"/>
              <w:spacing w:after="200" w:line="276" w:lineRule="auto"/>
              <w:rPr>
                <w:rFonts w:eastAsia="Calibri"/>
                <w:noProof/>
              </w:rPr>
            </w:pPr>
            <w:r>
              <w:rPr>
                <w:noProof/>
              </w:rPr>
              <w:t>Étude du plan pour l’élaboration et la mise en œuvre de la stratégie croate de l’hydrogène jusqu’en 2050</w:t>
            </w:r>
          </w:p>
        </w:tc>
        <w:tc>
          <w:tcPr>
            <w:tcW w:w="2193" w:type="dxa"/>
            <w:tcBorders>
              <w:top w:val="single" w:sz="4" w:space="0" w:color="auto"/>
              <w:left w:val="nil"/>
              <w:bottom w:val="single" w:sz="4" w:space="0" w:color="auto"/>
              <w:right w:val="single" w:sz="4" w:space="0" w:color="auto"/>
            </w:tcBorders>
            <w:shd w:val="clear" w:color="auto" w:fill="C6EFCE"/>
            <w:noWrap/>
          </w:tcPr>
          <w:p w14:paraId="7BC66382" w14:textId="77777777" w:rsidR="00553430" w:rsidRDefault="00212577">
            <w:pPr>
              <w:pStyle w:val="P68B1DB1-Normal102"/>
              <w:spacing w:after="200" w:line="276" w:lineRule="auto"/>
              <w:rPr>
                <w:rFonts w:eastAsia="Calibri"/>
                <w:noProof/>
              </w:rPr>
            </w:pPr>
            <w:r>
              <w:rPr>
                <w:noProof/>
              </w:rPr>
              <w:t xml:space="preserve">Étude du plan pour l’élaboration et la mise en œuvre de la stratégie croate de l’hydrogène jusqu’en 2050, accepté par </w:t>
            </w:r>
            <w:r>
              <w:rPr>
                <w:noProof/>
              </w:rPr>
              <w:t>l’Agence croate des hydrocarbures</w:t>
            </w:r>
          </w:p>
        </w:tc>
        <w:tc>
          <w:tcPr>
            <w:tcW w:w="917" w:type="dxa"/>
            <w:tcBorders>
              <w:top w:val="single" w:sz="4" w:space="0" w:color="auto"/>
              <w:left w:val="nil"/>
              <w:bottom w:val="single" w:sz="4" w:space="0" w:color="auto"/>
              <w:right w:val="single" w:sz="4" w:space="0" w:color="auto"/>
            </w:tcBorders>
            <w:shd w:val="clear" w:color="auto" w:fill="C6EFCE"/>
            <w:noWrap/>
          </w:tcPr>
          <w:p w14:paraId="04E45B94" w14:textId="77777777" w:rsidR="00553430" w:rsidRDefault="00212577">
            <w:pPr>
              <w:pStyle w:val="P68B1DB1-Normal102"/>
              <w:spacing w:after="200" w:line="276" w:lineRule="auto"/>
              <w:jc w:val="center"/>
              <w:rPr>
                <w:rFonts w:eastAsia="Calibri"/>
                <w:noProof/>
              </w:rPr>
            </w:pPr>
            <w:r>
              <w:rPr>
                <w:noProof/>
              </w:rPr>
              <w:t> </w:t>
            </w:r>
          </w:p>
        </w:tc>
        <w:tc>
          <w:tcPr>
            <w:tcW w:w="851" w:type="dxa"/>
            <w:tcBorders>
              <w:top w:val="single" w:sz="4" w:space="0" w:color="auto"/>
              <w:left w:val="nil"/>
              <w:bottom w:val="single" w:sz="4" w:space="0" w:color="auto"/>
              <w:right w:val="single" w:sz="4" w:space="0" w:color="auto"/>
            </w:tcBorders>
            <w:shd w:val="clear" w:color="auto" w:fill="C6EFCE"/>
            <w:noWrap/>
          </w:tcPr>
          <w:p w14:paraId="4799FF3A" w14:textId="77777777" w:rsidR="00553430" w:rsidRDefault="00212577">
            <w:pPr>
              <w:pStyle w:val="P68B1DB1-Normal102"/>
              <w:spacing w:after="200" w:line="276" w:lineRule="auto"/>
              <w:jc w:val="center"/>
              <w:rPr>
                <w:rFonts w:eastAsia="Calibri"/>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79E13254" w14:textId="77777777" w:rsidR="00553430" w:rsidRDefault="00212577">
            <w:pPr>
              <w:pStyle w:val="P68B1DB1-Normal102"/>
              <w:spacing w:after="200" w:line="276" w:lineRule="auto"/>
              <w:jc w:val="center"/>
              <w:rPr>
                <w:rFonts w:eastAsia="Calibri"/>
                <w:noProof/>
              </w:rPr>
            </w:pPr>
            <w:r>
              <w:rPr>
                <w:noProof/>
              </w:rPr>
              <w:t> </w:t>
            </w:r>
          </w:p>
        </w:tc>
        <w:tc>
          <w:tcPr>
            <w:tcW w:w="575" w:type="dxa"/>
            <w:tcBorders>
              <w:top w:val="single" w:sz="4" w:space="0" w:color="auto"/>
              <w:left w:val="nil"/>
              <w:bottom w:val="single" w:sz="4" w:space="0" w:color="auto"/>
              <w:right w:val="single" w:sz="4" w:space="0" w:color="auto"/>
            </w:tcBorders>
            <w:shd w:val="clear" w:color="auto" w:fill="C6EFCE"/>
            <w:noWrap/>
          </w:tcPr>
          <w:p w14:paraId="4F54ADAF" w14:textId="77777777" w:rsidR="00553430" w:rsidRDefault="00212577">
            <w:pPr>
              <w:pStyle w:val="P68B1DB1-Normal102"/>
              <w:spacing w:after="200" w:line="276" w:lineRule="auto"/>
              <w:jc w:val="center"/>
              <w:rPr>
                <w:rFonts w:eastAsia="Calibri"/>
                <w:noProof/>
              </w:rPr>
            </w:pPr>
            <w:r>
              <w:rPr>
                <w:noProof/>
              </w:rPr>
              <w:t>T1</w:t>
            </w:r>
          </w:p>
        </w:tc>
        <w:tc>
          <w:tcPr>
            <w:tcW w:w="850" w:type="dxa"/>
            <w:tcBorders>
              <w:top w:val="single" w:sz="4" w:space="0" w:color="auto"/>
              <w:left w:val="nil"/>
              <w:bottom w:val="single" w:sz="4" w:space="0" w:color="auto"/>
              <w:right w:val="single" w:sz="4" w:space="0" w:color="auto"/>
            </w:tcBorders>
            <w:shd w:val="clear" w:color="auto" w:fill="C6EFCE"/>
            <w:noWrap/>
          </w:tcPr>
          <w:p w14:paraId="7E980570" w14:textId="77777777" w:rsidR="00553430" w:rsidRDefault="00212577">
            <w:pPr>
              <w:pStyle w:val="P68B1DB1-Normal102"/>
              <w:spacing w:after="200" w:line="276" w:lineRule="auto"/>
              <w:jc w:val="center"/>
              <w:rPr>
                <w:rFonts w:eastAsia="Calibri"/>
                <w:noProof/>
              </w:rPr>
            </w:pPr>
            <w:r>
              <w:rPr>
                <w:noProof/>
              </w:rPr>
              <w:t>2025</w:t>
            </w:r>
          </w:p>
        </w:tc>
        <w:tc>
          <w:tcPr>
            <w:tcW w:w="3754" w:type="dxa"/>
            <w:tcBorders>
              <w:top w:val="single" w:sz="4" w:space="0" w:color="auto"/>
              <w:left w:val="nil"/>
              <w:bottom w:val="single" w:sz="4" w:space="0" w:color="auto"/>
              <w:right w:val="single" w:sz="4" w:space="0" w:color="auto"/>
            </w:tcBorders>
            <w:shd w:val="clear" w:color="auto" w:fill="C6EFCE"/>
            <w:noWrap/>
          </w:tcPr>
          <w:p w14:paraId="291584FD" w14:textId="77777777" w:rsidR="00553430" w:rsidRDefault="00212577">
            <w:pPr>
              <w:pStyle w:val="P68B1DB1-Normal102"/>
              <w:spacing w:after="200" w:line="276" w:lineRule="auto"/>
              <w:rPr>
                <w:rFonts w:eastAsia="Calibri"/>
                <w:noProof/>
              </w:rPr>
            </w:pPr>
            <w:r>
              <w:rPr>
                <w:noProof/>
              </w:rPr>
              <w:t>L’étude du plan pour l’élaboration et la mise en œuvre de la stratégie croate de l’hydrogène jusqu’en 2050 analysera l’utilisation la plus appropriée de l’hydrogène dans la décarbonation de l’économie croate,</w:t>
            </w:r>
            <w:r>
              <w:rPr>
                <w:noProof/>
              </w:rPr>
              <w:t xml:space="preserve"> en mettant l’accent sur l’utilisation de l’hydrogène pour la décarbonation de secteurs difficiles à électrifier, tels que l’industrie (processus à haute température), les véhicules utilitaires lourds, le transport maritime et ferroviaire, avant d’envisage</w:t>
            </w:r>
            <w:r>
              <w:rPr>
                <w:noProof/>
              </w:rPr>
              <w:t xml:space="preserve">r d’autres secteurs. </w:t>
            </w:r>
          </w:p>
        </w:tc>
      </w:tr>
      <w:tr w:rsidR="00553430" w14:paraId="29543989"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20C64D66" w14:textId="77777777" w:rsidR="00553430" w:rsidRDefault="00212577">
            <w:pPr>
              <w:pStyle w:val="P68B1DB1-Normal89"/>
              <w:spacing w:after="0" w:line="276" w:lineRule="auto"/>
              <w:jc w:val="center"/>
              <w:rPr>
                <w:noProof/>
              </w:rPr>
            </w:pPr>
            <w:r>
              <w:rPr>
                <w:noProof/>
              </w:rPr>
              <w:t>412</w:t>
            </w:r>
          </w:p>
        </w:tc>
        <w:tc>
          <w:tcPr>
            <w:tcW w:w="1437" w:type="dxa"/>
            <w:tcBorders>
              <w:top w:val="single" w:sz="4" w:space="0" w:color="auto"/>
              <w:left w:val="nil"/>
              <w:bottom w:val="single" w:sz="4" w:space="0" w:color="auto"/>
              <w:right w:val="single" w:sz="4" w:space="0" w:color="auto"/>
            </w:tcBorders>
            <w:shd w:val="clear" w:color="auto" w:fill="C6EFCE"/>
            <w:noWrap/>
          </w:tcPr>
          <w:p w14:paraId="7293F47B" w14:textId="77777777" w:rsidR="00553430" w:rsidRDefault="00212577">
            <w:pPr>
              <w:pStyle w:val="P68B1DB1-Normal102"/>
              <w:spacing w:after="200" w:line="276" w:lineRule="auto"/>
              <w:jc w:val="center"/>
              <w:rPr>
                <w:noProof/>
                <w:color w:val="000000" w:themeColor="text1"/>
              </w:rPr>
            </w:pPr>
            <w:r>
              <w:rPr>
                <w:noProof/>
              </w:rPr>
              <w:t>C7.1. R1-I3</w:t>
            </w:r>
          </w:p>
        </w:tc>
        <w:tc>
          <w:tcPr>
            <w:tcW w:w="1072" w:type="dxa"/>
            <w:tcBorders>
              <w:top w:val="single" w:sz="4" w:space="0" w:color="auto"/>
              <w:left w:val="nil"/>
              <w:bottom w:val="single" w:sz="4" w:space="0" w:color="auto"/>
              <w:right w:val="single" w:sz="4" w:space="0" w:color="auto"/>
            </w:tcBorders>
            <w:shd w:val="clear" w:color="auto" w:fill="C6EFCE"/>
            <w:noWrap/>
          </w:tcPr>
          <w:p w14:paraId="3116F5E4" w14:textId="77777777" w:rsidR="00553430" w:rsidRDefault="00212577">
            <w:pPr>
              <w:pStyle w:val="P68B1DB1-Normal70"/>
              <w:spacing w:after="200" w:line="276" w:lineRule="auto"/>
              <w:jc w:val="center"/>
              <w:rPr>
                <w:noProof/>
              </w:rPr>
            </w:pPr>
            <w:r>
              <w:rPr>
                <w:noProof/>
              </w:rPr>
              <w:t>M</w:t>
            </w:r>
          </w:p>
        </w:tc>
        <w:tc>
          <w:tcPr>
            <w:tcW w:w="2228" w:type="dxa"/>
            <w:tcBorders>
              <w:top w:val="single" w:sz="4" w:space="0" w:color="auto"/>
              <w:left w:val="nil"/>
              <w:bottom w:val="single" w:sz="4" w:space="0" w:color="auto"/>
              <w:right w:val="single" w:sz="4" w:space="0" w:color="auto"/>
            </w:tcBorders>
            <w:shd w:val="clear" w:color="auto" w:fill="C6EFCE"/>
            <w:noWrap/>
          </w:tcPr>
          <w:p w14:paraId="58E3F22F" w14:textId="77777777" w:rsidR="00553430" w:rsidRDefault="00212577">
            <w:pPr>
              <w:pStyle w:val="P68B1DB1-Normal70"/>
              <w:spacing w:after="200" w:line="276" w:lineRule="auto"/>
              <w:rPr>
                <w:noProof/>
                <w:color w:val="000000"/>
              </w:rPr>
            </w:pPr>
            <w:r>
              <w:rPr>
                <w:noProof/>
              </w:rPr>
              <w:t>Plan de développement du potentiel géothermique</w:t>
            </w:r>
          </w:p>
        </w:tc>
        <w:tc>
          <w:tcPr>
            <w:tcW w:w="2193" w:type="dxa"/>
            <w:tcBorders>
              <w:top w:val="single" w:sz="4" w:space="0" w:color="auto"/>
              <w:left w:val="nil"/>
              <w:bottom w:val="single" w:sz="4" w:space="0" w:color="auto"/>
              <w:right w:val="single" w:sz="4" w:space="0" w:color="auto"/>
            </w:tcBorders>
            <w:shd w:val="clear" w:color="auto" w:fill="C6EFCE"/>
            <w:noWrap/>
          </w:tcPr>
          <w:p w14:paraId="3BCEE46B" w14:textId="77777777" w:rsidR="00553430" w:rsidRDefault="00212577">
            <w:pPr>
              <w:pStyle w:val="P68B1DB1-Normal70"/>
              <w:spacing w:after="200" w:line="276" w:lineRule="auto"/>
              <w:rPr>
                <w:noProof/>
                <w:color w:val="000000"/>
              </w:rPr>
            </w:pPr>
            <w:r>
              <w:rPr>
                <w:noProof/>
              </w:rPr>
              <w:t>Adoption et publication du Plan de Développement du Potentiel Géothermique par le Ministère de l'Economie et du Développement Durable</w:t>
            </w:r>
          </w:p>
        </w:tc>
        <w:tc>
          <w:tcPr>
            <w:tcW w:w="917" w:type="dxa"/>
            <w:tcBorders>
              <w:top w:val="single" w:sz="4" w:space="0" w:color="auto"/>
              <w:left w:val="nil"/>
              <w:bottom w:val="single" w:sz="4" w:space="0" w:color="auto"/>
              <w:right w:val="single" w:sz="4" w:space="0" w:color="auto"/>
            </w:tcBorders>
            <w:shd w:val="clear" w:color="auto" w:fill="C6EFCE"/>
            <w:noWrap/>
          </w:tcPr>
          <w:p w14:paraId="0B1DB391"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0D7E7B39"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709" w:type="dxa"/>
            <w:tcBorders>
              <w:top w:val="single" w:sz="4" w:space="0" w:color="auto"/>
              <w:left w:val="nil"/>
              <w:bottom w:val="single" w:sz="4" w:space="0" w:color="auto"/>
              <w:right w:val="single" w:sz="4" w:space="0" w:color="auto"/>
            </w:tcBorders>
            <w:shd w:val="clear" w:color="auto" w:fill="C6EFCE"/>
            <w:noWrap/>
          </w:tcPr>
          <w:p w14:paraId="484A005D"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575" w:type="dxa"/>
            <w:tcBorders>
              <w:top w:val="single" w:sz="4" w:space="0" w:color="auto"/>
              <w:left w:val="nil"/>
              <w:bottom w:val="single" w:sz="4" w:space="0" w:color="auto"/>
              <w:right w:val="single" w:sz="4" w:space="0" w:color="auto"/>
            </w:tcBorders>
            <w:shd w:val="clear" w:color="auto" w:fill="C6EFCE"/>
            <w:noWrap/>
          </w:tcPr>
          <w:p w14:paraId="59FCD4A3" w14:textId="77777777" w:rsidR="00553430" w:rsidRDefault="00212577">
            <w:pPr>
              <w:pStyle w:val="P68B1DB1-Normal70"/>
              <w:spacing w:after="200" w:line="276" w:lineRule="auto"/>
              <w:jc w:val="center"/>
              <w:rPr>
                <w:noProof/>
                <w:color w:val="000000"/>
              </w:rPr>
            </w:pPr>
            <w:r>
              <w:rPr>
                <w:noProof/>
              </w:rPr>
              <w:t>T1</w:t>
            </w:r>
          </w:p>
        </w:tc>
        <w:tc>
          <w:tcPr>
            <w:tcW w:w="850" w:type="dxa"/>
            <w:tcBorders>
              <w:top w:val="single" w:sz="4" w:space="0" w:color="auto"/>
              <w:left w:val="nil"/>
              <w:bottom w:val="single" w:sz="4" w:space="0" w:color="auto"/>
              <w:right w:val="single" w:sz="4" w:space="0" w:color="auto"/>
            </w:tcBorders>
            <w:shd w:val="clear" w:color="auto" w:fill="C6EFCE"/>
            <w:noWrap/>
          </w:tcPr>
          <w:p w14:paraId="53765DC9" w14:textId="77777777" w:rsidR="00553430" w:rsidRDefault="00212577">
            <w:pPr>
              <w:pStyle w:val="P68B1DB1-Normal70"/>
              <w:spacing w:after="200" w:line="276" w:lineRule="auto"/>
              <w:jc w:val="center"/>
              <w:rPr>
                <w:noProof/>
                <w:color w:val="000000"/>
              </w:rPr>
            </w:pPr>
            <w:r>
              <w:rPr>
                <w:noProof/>
              </w:rPr>
              <w:t>2024</w:t>
            </w:r>
          </w:p>
        </w:tc>
        <w:tc>
          <w:tcPr>
            <w:tcW w:w="3754" w:type="dxa"/>
            <w:tcBorders>
              <w:top w:val="single" w:sz="4" w:space="0" w:color="auto"/>
              <w:left w:val="nil"/>
              <w:bottom w:val="single" w:sz="4" w:space="0" w:color="auto"/>
              <w:right w:val="single" w:sz="4" w:space="0" w:color="auto"/>
            </w:tcBorders>
            <w:shd w:val="clear" w:color="auto" w:fill="C6EFCE"/>
            <w:noWrap/>
          </w:tcPr>
          <w:p w14:paraId="7EF8C96C" w14:textId="77777777" w:rsidR="00553430" w:rsidRDefault="00212577">
            <w:pPr>
              <w:pStyle w:val="P68B1DB1-Normal70"/>
              <w:spacing w:after="200" w:line="276" w:lineRule="auto"/>
              <w:rPr>
                <w:noProof/>
                <w:color w:val="000000"/>
              </w:rPr>
            </w:pPr>
            <w:r>
              <w:rPr>
                <w:noProof/>
              </w:rPr>
              <w:t xml:space="preserve">Le plan de </w:t>
            </w:r>
            <w:r>
              <w:rPr>
                <w:noProof/>
              </w:rPr>
              <w:t>développement du potentiel géothermique est adopté et publié. Le plan détermine les zones de la République de Croatie où il est prévu d'explorer, de développer et d'exploiter le potentiel géothermique.</w:t>
            </w:r>
          </w:p>
        </w:tc>
      </w:tr>
      <w:tr w:rsidR="00553430" w14:paraId="0E9E9294"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F2FF5A4" w14:textId="77777777" w:rsidR="00553430" w:rsidRDefault="00212577">
            <w:pPr>
              <w:pStyle w:val="P68B1DB1-Normal89"/>
              <w:spacing w:after="0" w:line="276" w:lineRule="auto"/>
              <w:jc w:val="center"/>
              <w:rPr>
                <w:noProof/>
              </w:rPr>
            </w:pPr>
            <w:r>
              <w:rPr>
                <w:noProof/>
              </w:rPr>
              <w:t>413</w:t>
            </w:r>
          </w:p>
        </w:tc>
        <w:tc>
          <w:tcPr>
            <w:tcW w:w="1437" w:type="dxa"/>
            <w:tcBorders>
              <w:top w:val="single" w:sz="4" w:space="0" w:color="auto"/>
              <w:left w:val="nil"/>
              <w:bottom w:val="single" w:sz="4" w:space="0" w:color="auto"/>
              <w:right w:val="single" w:sz="4" w:space="0" w:color="auto"/>
            </w:tcBorders>
            <w:shd w:val="clear" w:color="auto" w:fill="C6EFCE"/>
            <w:noWrap/>
          </w:tcPr>
          <w:p w14:paraId="0DEF6940" w14:textId="77777777" w:rsidR="00553430" w:rsidRDefault="00212577">
            <w:pPr>
              <w:pStyle w:val="P68B1DB1-Normal102"/>
              <w:spacing w:after="200" w:line="276" w:lineRule="auto"/>
              <w:jc w:val="center"/>
              <w:rPr>
                <w:noProof/>
                <w:color w:val="000000" w:themeColor="text1"/>
              </w:rPr>
            </w:pPr>
            <w:r>
              <w:rPr>
                <w:noProof/>
              </w:rPr>
              <w:t>C7.1. R1-I3</w:t>
            </w:r>
          </w:p>
        </w:tc>
        <w:tc>
          <w:tcPr>
            <w:tcW w:w="1072" w:type="dxa"/>
            <w:tcBorders>
              <w:top w:val="single" w:sz="4" w:space="0" w:color="auto"/>
              <w:left w:val="nil"/>
              <w:bottom w:val="single" w:sz="4" w:space="0" w:color="auto"/>
              <w:right w:val="single" w:sz="4" w:space="0" w:color="auto"/>
            </w:tcBorders>
            <w:shd w:val="clear" w:color="auto" w:fill="C6EFCE"/>
            <w:noWrap/>
          </w:tcPr>
          <w:p w14:paraId="34A57978" w14:textId="77777777" w:rsidR="00553430" w:rsidRDefault="00212577">
            <w:pPr>
              <w:pStyle w:val="P68B1DB1-Normal70"/>
              <w:spacing w:after="200" w:line="276" w:lineRule="auto"/>
              <w:jc w:val="center"/>
              <w:rPr>
                <w:noProof/>
              </w:rPr>
            </w:pPr>
            <w:r>
              <w:rPr>
                <w:noProof/>
              </w:rPr>
              <w:t>T</w:t>
            </w:r>
          </w:p>
        </w:tc>
        <w:tc>
          <w:tcPr>
            <w:tcW w:w="2228" w:type="dxa"/>
            <w:tcBorders>
              <w:top w:val="single" w:sz="4" w:space="0" w:color="auto"/>
              <w:left w:val="nil"/>
              <w:bottom w:val="single" w:sz="4" w:space="0" w:color="auto"/>
              <w:right w:val="single" w:sz="4" w:space="0" w:color="auto"/>
            </w:tcBorders>
            <w:shd w:val="clear" w:color="auto" w:fill="C6EFCE"/>
            <w:noWrap/>
          </w:tcPr>
          <w:p w14:paraId="4B31B36E" w14:textId="77777777" w:rsidR="00553430" w:rsidRDefault="00212577">
            <w:pPr>
              <w:pStyle w:val="P68B1DB1-Normal66"/>
              <w:spacing w:after="200" w:line="276" w:lineRule="auto"/>
              <w:rPr>
                <w:noProof/>
              </w:rPr>
            </w:pPr>
            <w:r>
              <w:rPr>
                <w:noProof/>
              </w:rPr>
              <w:t xml:space="preserve">Travaux de forage géothermique </w:t>
            </w:r>
            <w:r>
              <w:rPr>
                <w:noProof/>
              </w:rPr>
              <w:t>réalisés</w:t>
            </w:r>
          </w:p>
        </w:tc>
        <w:tc>
          <w:tcPr>
            <w:tcW w:w="2193" w:type="dxa"/>
            <w:tcBorders>
              <w:top w:val="single" w:sz="4" w:space="0" w:color="auto"/>
              <w:left w:val="nil"/>
              <w:bottom w:val="single" w:sz="4" w:space="0" w:color="auto"/>
              <w:right w:val="single" w:sz="4" w:space="0" w:color="auto"/>
            </w:tcBorders>
            <w:shd w:val="clear" w:color="auto" w:fill="C6EFCE"/>
            <w:noWrap/>
          </w:tcPr>
          <w:p w14:paraId="4CBD5DB3" w14:textId="77777777" w:rsidR="00553430" w:rsidRDefault="00553430">
            <w:pPr>
              <w:spacing w:after="200" w:line="276" w:lineRule="auto"/>
              <w:rPr>
                <w:rFonts w:ascii="Times New Roman" w:eastAsia="Calibri" w:hAnsi="Times New Roman" w:cs="Times New Roman"/>
                <w:noProof/>
                <w:color w:val="000000"/>
                <w:sz w:val="20"/>
                <w:szCs w:val="20"/>
              </w:rPr>
            </w:pPr>
          </w:p>
        </w:tc>
        <w:tc>
          <w:tcPr>
            <w:tcW w:w="917" w:type="dxa"/>
            <w:tcBorders>
              <w:top w:val="single" w:sz="4" w:space="0" w:color="auto"/>
              <w:left w:val="nil"/>
              <w:bottom w:val="single" w:sz="4" w:space="0" w:color="auto"/>
              <w:right w:val="single" w:sz="4" w:space="0" w:color="auto"/>
            </w:tcBorders>
            <w:shd w:val="clear" w:color="auto" w:fill="C6EFCE"/>
            <w:noWrap/>
          </w:tcPr>
          <w:p w14:paraId="17C07498" w14:textId="77777777" w:rsidR="00553430" w:rsidRDefault="00212577">
            <w:pPr>
              <w:pStyle w:val="P68B1DB1-Normal66"/>
              <w:spacing w:after="200" w:line="276" w:lineRule="auto"/>
              <w:jc w:val="center"/>
              <w:rPr>
                <w:noProof/>
              </w:rPr>
            </w:pPr>
            <w:r>
              <w:rPr>
                <w:noProof/>
              </w:rPr>
              <w:t>Numéro</w:t>
            </w:r>
          </w:p>
        </w:tc>
        <w:tc>
          <w:tcPr>
            <w:tcW w:w="851" w:type="dxa"/>
            <w:tcBorders>
              <w:top w:val="single" w:sz="4" w:space="0" w:color="auto"/>
              <w:left w:val="nil"/>
              <w:bottom w:val="single" w:sz="4" w:space="0" w:color="auto"/>
              <w:right w:val="single" w:sz="4" w:space="0" w:color="auto"/>
            </w:tcBorders>
            <w:shd w:val="clear" w:color="auto" w:fill="C6EFCE"/>
            <w:noWrap/>
          </w:tcPr>
          <w:p w14:paraId="4D45B985" w14:textId="77777777" w:rsidR="00553430" w:rsidRDefault="00212577">
            <w:pPr>
              <w:pStyle w:val="P68B1DB1-Normal70"/>
              <w:spacing w:after="200" w:line="276" w:lineRule="auto"/>
              <w:jc w:val="center"/>
              <w:rPr>
                <w:noProof/>
                <w:color w:val="000000"/>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06EAF60B" w14:textId="77777777" w:rsidR="00553430" w:rsidRDefault="00212577">
            <w:pPr>
              <w:pStyle w:val="P68B1DB1-Normal70"/>
              <w:spacing w:after="200" w:line="276" w:lineRule="auto"/>
              <w:jc w:val="center"/>
              <w:rPr>
                <w:noProof/>
                <w:color w:val="000000"/>
              </w:rPr>
            </w:pPr>
            <w:r>
              <w:rPr>
                <w:noProof/>
              </w:rPr>
              <w:t>2</w:t>
            </w:r>
          </w:p>
        </w:tc>
        <w:tc>
          <w:tcPr>
            <w:tcW w:w="575" w:type="dxa"/>
            <w:tcBorders>
              <w:top w:val="single" w:sz="4" w:space="0" w:color="auto"/>
              <w:left w:val="nil"/>
              <w:bottom w:val="single" w:sz="4" w:space="0" w:color="auto"/>
              <w:right w:val="single" w:sz="4" w:space="0" w:color="auto"/>
            </w:tcBorders>
            <w:shd w:val="clear" w:color="auto" w:fill="C6EFCE"/>
            <w:noWrap/>
          </w:tcPr>
          <w:p w14:paraId="7EEDA57C" w14:textId="77777777" w:rsidR="00553430" w:rsidRDefault="00212577">
            <w:pPr>
              <w:pStyle w:val="P68B1DB1-Normal70"/>
              <w:spacing w:after="200" w:line="276" w:lineRule="auto"/>
              <w:jc w:val="center"/>
              <w:rPr>
                <w:noProof/>
                <w:color w:val="000000"/>
              </w:rPr>
            </w:pPr>
            <w:r>
              <w:rPr>
                <w:noProof/>
              </w:rPr>
              <w:t>T2</w:t>
            </w:r>
          </w:p>
        </w:tc>
        <w:tc>
          <w:tcPr>
            <w:tcW w:w="850" w:type="dxa"/>
            <w:tcBorders>
              <w:top w:val="single" w:sz="4" w:space="0" w:color="auto"/>
              <w:left w:val="nil"/>
              <w:bottom w:val="single" w:sz="4" w:space="0" w:color="auto"/>
              <w:right w:val="single" w:sz="4" w:space="0" w:color="auto"/>
            </w:tcBorders>
            <w:shd w:val="clear" w:color="auto" w:fill="C6EFCE"/>
            <w:noWrap/>
          </w:tcPr>
          <w:p w14:paraId="7DF28DAA" w14:textId="77777777" w:rsidR="00553430" w:rsidRDefault="00212577">
            <w:pPr>
              <w:pStyle w:val="P68B1DB1-Normal70"/>
              <w:spacing w:after="200" w:line="276" w:lineRule="auto"/>
              <w:jc w:val="center"/>
              <w:rPr>
                <w:noProof/>
                <w:color w:val="000000"/>
              </w:rPr>
            </w:pPr>
            <w:r>
              <w:rPr>
                <w:noProof/>
              </w:rPr>
              <w:t>2026</w:t>
            </w:r>
          </w:p>
        </w:tc>
        <w:tc>
          <w:tcPr>
            <w:tcW w:w="3754" w:type="dxa"/>
            <w:tcBorders>
              <w:top w:val="single" w:sz="4" w:space="0" w:color="auto"/>
              <w:left w:val="nil"/>
              <w:bottom w:val="single" w:sz="4" w:space="0" w:color="auto"/>
              <w:right w:val="single" w:sz="4" w:space="0" w:color="auto"/>
            </w:tcBorders>
            <w:shd w:val="clear" w:color="auto" w:fill="C6EFCE"/>
            <w:noWrap/>
          </w:tcPr>
          <w:p w14:paraId="5D31AA44" w14:textId="77777777" w:rsidR="00553430" w:rsidRDefault="00212577">
            <w:pPr>
              <w:pStyle w:val="P68B1DB1-Normal66"/>
              <w:spacing w:after="200" w:line="276" w:lineRule="auto"/>
              <w:rPr>
                <w:noProof/>
              </w:rPr>
            </w:pPr>
            <w:r>
              <w:rPr>
                <w:noProof/>
              </w:rPr>
              <w:t xml:space="preserve">Le forage de deux puits géothermiques d'exploration à un endroit donné doit être effectué. </w:t>
            </w:r>
          </w:p>
          <w:p w14:paraId="555DE81D" w14:textId="77777777" w:rsidR="00553430" w:rsidRDefault="00212577">
            <w:pPr>
              <w:pStyle w:val="P68B1DB1-Normal66"/>
              <w:spacing w:after="200" w:line="276" w:lineRule="auto"/>
              <w:rPr>
                <w:noProof/>
              </w:rPr>
            </w:pPr>
            <w:r>
              <w:rPr>
                <w:noProof/>
              </w:rPr>
              <w:t>Le forage n'inclut pas l'exploration ou l'extraction de pétrole ou de gaz. Aucun équipement n'est acheté ou utilisé à de telles fins.</w:t>
            </w:r>
            <w:r>
              <w:rPr>
                <w:noProof/>
              </w:rPr>
              <w:br/>
              <w:t>I</w:t>
            </w:r>
            <w:r>
              <w:rPr>
                <w:noProof/>
              </w:rPr>
              <w:t>l convient de veiller à ce que les rejets de méthane soient réduits au minimum et restent bien en deçà du seuil de 20 000 tonnes équivalent CO2/an. Il convient également de veiller à ce que le forage géothermique n’ait pas d’incidence néfaste sur la rareté</w:t>
            </w:r>
            <w:r>
              <w:rPr>
                <w:noProof/>
              </w:rPr>
              <w:t xml:space="preserve"> et la qualité de l’eau. </w:t>
            </w:r>
            <w:r>
              <w:rPr>
                <w:noProof/>
              </w:rPr>
              <w:br/>
              <w:t>Cette mesure ne soutient pas les systèmes de chauffage urbain utilisant des sources d’énergie fossiles ni les investissements dans des installations relevant du champ d’application du système d’échange de quotas d’émission de l’UE</w:t>
            </w:r>
            <w:r>
              <w:rPr>
                <w:noProof/>
              </w:rPr>
              <w:t xml:space="preserve"> (SEQE).</w:t>
            </w:r>
          </w:p>
        </w:tc>
      </w:tr>
      <w:tr w:rsidR="00553430" w14:paraId="4E4DBB66"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469FCC6" w14:textId="77777777" w:rsidR="00553430" w:rsidRDefault="00212577">
            <w:pPr>
              <w:pStyle w:val="P68B1DB1-Normal66"/>
              <w:spacing w:after="0" w:line="276" w:lineRule="auto"/>
              <w:jc w:val="center"/>
              <w:rPr>
                <w:noProof/>
              </w:rPr>
            </w:pPr>
            <w:r>
              <w:rPr>
                <w:noProof/>
              </w:rPr>
              <w:t>116</w:t>
            </w:r>
          </w:p>
        </w:tc>
        <w:tc>
          <w:tcPr>
            <w:tcW w:w="1437" w:type="dxa"/>
            <w:tcBorders>
              <w:top w:val="single" w:sz="4" w:space="0" w:color="auto"/>
              <w:left w:val="nil"/>
              <w:bottom w:val="single" w:sz="4" w:space="0" w:color="auto"/>
              <w:right w:val="single" w:sz="4" w:space="0" w:color="auto"/>
            </w:tcBorders>
            <w:shd w:val="clear" w:color="auto" w:fill="C6EFCE"/>
            <w:noWrap/>
          </w:tcPr>
          <w:p w14:paraId="21131CEF" w14:textId="77777777" w:rsidR="00553430" w:rsidRDefault="00212577">
            <w:pPr>
              <w:pStyle w:val="P68B1DB1-Normal66"/>
              <w:spacing w:after="200" w:line="276" w:lineRule="auto"/>
              <w:jc w:val="center"/>
              <w:rPr>
                <w:noProof/>
                <w:color w:val="000000" w:themeColor="text1"/>
              </w:rPr>
            </w:pPr>
            <w:r>
              <w:rPr>
                <w:noProof/>
              </w:rPr>
              <w:t>C1.4. R4-I1</w:t>
            </w:r>
          </w:p>
        </w:tc>
        <w:tc>
          <w:tcPr>
            <w:tcW w:w="1072" w:type="dxa"/>
            <w:tcBorders>
              <w:top w:val="single" w:sz="4" w:space="0" w:color="auto"/>
              <w:left w:val="nil"/>
              <w:bottom w:val="single" w:sz="4" w:space="0" w:color="auto"/>
              <w:right w:val="single" w:sz="4" w:space="0" w:color="auto"/>
            </w:tcBorders>
            <w:shd w:val="clear" w:color="auto" w:fill="C6EFCE"/>
            <w:noWrap/>
          </w:tcPr>
          <w:p w14:paraId="7549D0F7" w14:textId="77777777" w:rsidR="00553430" w:rsidRDefault="00212577">
            <w:pPr>
              <w:pStyle w:val="P68B1DB1-Normal66"/>
              <w:spacing w:after="200" w:line="276" w:lineRule="auto"/>
              <w:jc w:val="center"/>
              <w:rPr>
                <w:noProof/>
              </w:rPr>
            </w:pPr>
            <w:r>
              <w:rPr>
                <w:noProof/>
              </w:rPr>
              <w:t>M</w:t>
            </w:r>
          </w:p>
        </w:tc>
        <w:tc>
          <w:tcPr>
            <w:tcW w:w="2228" w:type="dxa"/>
            <w:tcBorders>
              <w:top w:val="single" w:sz="4" w:space="0" w:color="auto"/>
              <w:left w:val="nil"/>
              <w:bottom w:val="single" w:sz="4" w:space="0" w:color="auto"/>
              <w:right w:val="single" w:sz="4" w:space="0" w:color="auto"/>
            </w:tcBorders>
            <w:shd w:val="clear" w:color="auto" w:fill="C6EFCE"/>
            <w:noWrap/>
          </w:tcPr>
          <w:p w14:paraId="2BE29343" w14:textId="77777777" w:rsidR="00553430" w:rsidRDefault="00212577">
            <w:pPr>
              <w:pStyle w:val="P68B1DB1-Normal66"/>
              <w:spacing w:after="200" w:line="276" w:lineRule="auto"/>
              <w:rPr>
                <w:noProof/>
              </w:rPr>
            </w:pPr>
            <w:r>
              <w:rPr>
                <w:noProof/>
              </w:rPr>
              <w:t xml:space="preserve">70 autobus à carburant de substitution (électriques et/ou à hydrogène) </w:t>
            </w:r>
          </w:p>
        </w:tc>
        <w:tc>
          <w:tcPr>
            <w:tcW w:w="2193" w:type="dxa"/>
            <w:tcBorders>
              <w:top w:val="single" w:sz="4" w:space="0" w:color="auto"/>
              <w:left w:val="nil"/>
              <w:bottom w:val="single" w:sz="4" w:space="0" w:color="auto"/>
              <w:right w:val="single" w:sz="4" w:space="0" w:color="auto"/>
            </w:tcBorders>
            <w:shd w:val="clear" w:color="auto" w:fill="C6EFCE"/>
            <w:noWrap/>
          </w:tcPr>
          <w:p w14:paraId="2E382AD0" w14:textId="77777777" w:rsidR="00553430" w:rsidRDefault="00212577">
            <w:pPr>
              <w:pStyle w:val="P68B1DB1-Normal66"/>
              <w:spacing w:after="200" w:line="276" w:lineRule="auto"/>
              <w:rPr>
                <w:noProof/>
              </w:rPr>
            </w:pPr>
            <w:r>
              <w:rPr>
                <w:noProof/>
              </w:rPr>
              <w:t>70 autobus à carburant de substitution (électriques et/ou à hydrogène) provisoirement acceptés techniquement</w:t>
            </w:r>
          </w:p>
        </w:tc>
        <w:tc>
          <w:tcPr>
            <w:tcW w:w="917" w:type="dxa"/>
            <w:tcBorders>
              <w:top w:val="single" w:sz="4" w:space="0" w:color="auto"/>
              <w:left w:val="nil"/>
              <w:bottom w:val="single" w:sz="4" w:space="0" w:color="auto"/>
              <w:right w:val="single" w:sz="4" w:space="0" w:color="auto"/>
            </w:tcBorders>
            <w:shd w:val="clear" w:color="auto" w:fill="C6EFCE"/>
            <w:noWrap/>
          </w:tcPr>
          <w:p w14:paraId="3BCF2D41" w14:textId="77777777" w:rsidR="00553430" w:rsidRDefault="00553430">
            <w:pPr>
              <w:spacing w:after="200" w:line="276" w:lineRule="auto"/>
              <w:jc w:val="center"/>
              <w:rPr>
                <w:rFonts w:ascii="Times New Roman" w:eastAsia="Calibri" w:hAnsi="Times New Roman" w:cs="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1607D93A" w14:textId="77777777" w:rsidR="00553430" w:rsidRDefault="00212577">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46254BE7" w14:textId="77777777" w:rsidR="00553430" w:rsidRDefault="00553430">
            <w:pPr>
              <w:spacing w:after="200" w:line="276" w:lineRule="auto"/>
              <w:jc w:val="center"/>
              <w:rPr>
                <w:rFonts w:ascii="Times New Roman" w:eastAsia="Calibri" w:hAnsi="Times New Roman" w:cs="Times New Roman"/>
                <w:noProof/>
                <w:sz w:val="20"/>
                <w:szCs w:val="20"/>
              </w:rPr>
            </w:pPr>
          </w:p>
        </w:tc>
        <w:tc>
          <w:tcPr>
            <w:tcW w:w="575" w:type="dxa"/>
            <w:tcBorders>
              <w:top w:val="single" w:sz="4" w:space="0" w:color="auto"/>
              <w:left w:val="nil"/>
              <w:bottom w:val="single" w:sz="4" w:space="0" w:color="auto"/>
              <w:right w:val="single" w:sz="4" w:space="0" w:color="auto"/>
            </w:tcBorders>
            <w:shd w:val="clear" w:color="auto" w:fill="C6EFCE"/>
            <w:noWrap/>
          </w:tcPr>
          <w:p w14:paraId="1FDDC1D9" w14:textId="77777777" w:rsidR="00553430" w:rsidRDefault="00212577">
            <w:pPr>
              <w:pStyle w:val="P68B1DB1-Normal66"/>
              <w:spacing w:after="200" w:line="276" w:lineRule="auto"/>
              <w:jc w:val="center"/>
              <w:rPr>
                <w:noProof/>
              </w:rPr>
            </w:pPr>
            <w:r>
              <w:rPr>
                <w:noProof/>
              </w:rPr>
              <w:t>T2</w:t>
            </w:r>
          </w:p>
        </w:tc>
        <w:tc>
          <w:tcPr>
            <w:tcW w:w="850" w:type="dxa"/>
            <w:tcBorders>
              <w:top w:val="single" w:sz="4" w:space="0" w:color="auto"/>
              <w:left w:val="nil"/>
              <w:bottom w:val="single" w:sz="4" w:space="0" w:color="auto"/>
              <w:right w:val="single" w:sz="4" w:space="0" w:color="auto"/>
            </w:tcBorders>
            <w:shd w:val="clear" w:color="auto" w:fill="C6EFCE"/>
            <w:noWrap/>
          </w:tcPr>
          <w:p w14:paraId="19626F03" w14:textId="77777777" w:rsidR="00553430" w:rsidRDefault="00212577">
            <w:pPr>
              <w:pStyle w:val="P68B1DB1-Normal66"/>
              <w:spacing w:after="200" w:line="276" w:lineRule="auto"/>
              <w:jc w:val="center"/>
              <w:rPr>
                <w:noProof/>
              </w:rPr>
            </w:pPr>
            <w:r>
              <w:rPr>
                <w:noProof/>
              </w:rPr>
              <w:t>2026</w:t>
            </w:r>
          </w:p>
        </w:tc>
        <w:tc>
          <w:tcPr>
            <w:tcW w:w="3754" w:type="dxa"/>
            <w:tcBorders>
              <w:top w:val="single" w:sz="4" w:space="0" w:color="auto"/>
              <w:left w:val="nil"/>
              <w:bottom w:val="single" w:sz="4" w:space="0" w:color="auto"/>
              <w:right w:val="single" w:sz="4" w:space="0" w:color="auto"/>
            </w:tcBorders>
            <w:shd w:val="clear" w:color="auto" w:fill="C6EFCE"/>
            <w:noWrap/>
          </w:tcPr>
          <w:p w14:paraId="70497D02" w14:textId="77777777" w:rsidR="00553430" w:rsidRDefault="00212577">
            <w:pPr>
              <w:pStyle w:val="P68B1DB1-Normal66"/>
              <w:spacing w:after="200" w:line="276" w:lineRule="auto"/>
              <w:rPr>
                <w:noProof/>
              </w:rPr>
            </w:pPr>
            <w:r>
              <w:rPr>
                <w:noProof/>
              </w:rPr>
              <w:t>La preuve de la réception technique</w:t>
            </w:r>
            <w:r>
              <w:rPr>
                <w:noProof/>
              </w:rPr>
              <w:t xml:space="preserve"> provisoire après leur construction pour 70 nouveaux autobus à propulsion alternative (électrique et/ou à hydrogène) doit être fournie.</w:t>
            </w:r>
          </w:p>
        </w:tc>
      </w:tr>
      <w:tr w:rsidR="00553430" w14:paraId="0B99B811"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71B13B2" w14:textId="77777777" w:rsidR="00553430" w:rsidRDefault="00212577">
            <w:pPr>
              <w:pStyle w:val="P68B1DB1-Normal89"/>
              <w:spacing w:after="0" w:line="276" w:lineRule="auto"/>
              <w:jc w:val="center"/>
              <w:rPr>
                <w:noProof/>
              </w:rPr>
            </w:pPr>
            <w:r>
              <w:rPr>
                <w:noProof/>
              </w:rPr>
              <w:t>414</w:t>
            </w:r>
          </w:p>
        </w:tc>
        <w:tc>
          <w:tcPr>
            <w:tcW w:w="1437" w:type="dxa"/>
            <w:tcBorders>
              <w:top w:val="single" w:sz="4" w:space="0" w:color="auto"/>
              <w:left w:val="nil"/>
              <w:bottom w:val="single" w:sz="4" w:space="0" w:color="auto"/>
              <w:right w:val="single" w:sz="4" w:space="0" w:color="auto"/>
            </w:tcBorders>
            <w:shd w:val="clear" w:color="auto" w:fill="C6EFCE"/>
            <w:noWrap/>
          </w:tcPr>
          <w:p w14:paraId="04CF4CC3" w14:textId="77777777" w:rsidR="00553430" w:rsidRDefault="00212577">
            <w:pPr>
              <w:pStyle w:val="P68B1DB1-Normal102"/>
              <w:spacing w:after="200" w:line="276" w:lineRule="auto"/>
              <w:jc w:val="center"/>
              <w:rPr>
                <w:rFonts w:eastAsia="Calibri"/>
                <w:noProof/>
              </w:rPr>
            </w:pPr>
            <w:r>
              <w:rPr>
                <w:noProof/>
              </w:rPr>
              <w:t>C7.1. I1</w:t>
            </w:r>
          </w:p>
        </w:tc>
        <w:tc>
          <w:tcPr>
            <w:tcW w:w="1072" w:type="dxa"/>
            <w:tcBorders>
              <w:top w:val="single" w:sz="4" w:space="0" w:color="auto"/>
              <w:left w:val="nil"/>
              <w:bottom w:val="single" w:sz="4" w:space="0" w:color="auto"/>
              <w:right w:val="single" w:sz="4" w:space="0" w:color="auto"/>
            </w:tcBorders>
            <w:shd w:val="clear" w:color="auto" w:fill="C6EFCE"/>
            <w:noWrap/>
          </w:tcPr>
          <w:p w14:paraId="1FC0980E" w14:textId="77777777" w:rsidR="00553430" w:rsidRDefault="00212577">
            <w:pPr>
              <w:pStyle w:val="P68B1DB1-Normal70"/>
              <w:spacing w:after="200" w:line="276" w:lineRule="auto"/>
              <w:jc w:val="center"/>
              <w:rPr>
                <w:noProof/>
              </w:rPr>
            </w:pPr>
            <w:r>
              <w:rPr>
                <w:noProof/>
              </w:rPr>
              <w:t>M</w:t>
            </w:r>
          </w:p>
        </w:tc>
        <w:tc>
          <w:tcPr>
            <w:tcW w:w="2228" w:type="dxa"/>
            <w:tcBorders>
              <w:top w:val="single" w:sz="4" w:space="0" w:color="auto"/>
              <w:left w:val="nil"/>
              <w:bottom w:val="single" w:sz="4" w:space="0" w:color="auto"/>
              <w:right w:val="single" w:sz="4" w:space="0" w:color="auto"/>
            </w:tcBorders>
            <w:shd w:val="clear" w:color="auto" w:fill="C6EFCE"/>
            <w:noWrap/>
          </w:tcPr>
          <w:p w14:paraId="3A9601F1" w14:textId="77777777" w:rsidR="00553430" w:rsidRDefault="00212577">
            <w:pPr>
              <w:pStyle w:val="P68B1DB1-Normal66"/>
              <w:spacing w:after="200" w:line="276" w:lineRule="auto"/>
              <w:rPr>
                <w:noProof/>
              </w:rPr>
            </w:pPr>
            <w:r>
              <w:rPr>
                <w:noProof/>
              </w:rPr>
              <w:t xml:space="preserve">103 autobus à carburant de substitution (électriques et/ou à hydrogène) </w:t>
            </w:r>
          </w:p>
        </w:tc>
        <w:tc>
          <w:tcPr>
            <w:tcW w:w="2193" w:type="dxa"/>
            <w:tcBorders>
              <w:top w:val="single" w:sz="4" w:space="0" w:color="auto"/>
              <w:left w:val="nil"/>
              <w:bottom w:val="single" w:sz="4" w:space="0" w:color="auto"/>
              <w:right w:val="single" w:sz="4" w:space="0" w:color="auto"/>
            </w:tcBorders>
            <w:shd w:val="clear" w:color="auto" w:fill="C6EFCE"/>
            <w:noWrap/>
          </w:tcPr>
          <w:p w14:paraId="27D53E83" w14:textId="77777777" w:rsidR="00553430" w:rsidRDefault="00212577">
            <w:pPr>
              <w:pStyle w:val="P68B1DB1-Normal66"/>
              <w:spacing w:after="200" w:line="276" w:lineRule="auto"/>
              <w:rPr>
                <w:noProof/>
              </w:rPr>
            </w:pPr>
            <w:r>
              <w:rPr>
                <w:noProof/>
              </w:rPr>
              <w:t>103 autobus à carburant de substitution (électriques et/ou à hydrogène) provisoirement acceptés techniquement</w:t>
            </w:r>
          </w:p>
        </w:tc>
        <w:tc>
          <w:tcPr>
            <w:tcW w:w="917" w:type="dxa"/>
            <w:tcBorders>
              <w:top w:val="single" w:sz="4" w:space="0" w:color="auto"/>
              <w:left w:val="nil"/>
              <w:bottom w:val="single" w:sz="4" w:space="0" w:color="auto"/>
              <w:right w:val="single" w:sz="4" w:space="0" w:color="auto"/>
            </w:tcBorders>
            <w:shd w:val="clear" w:color="auto" w:fill="C6EFCE"/>
            <w:noWrap/>
          </w:tcPr>
          <w:p w14:paraId="3ACBF7C4" w14:textId="77777777" w:rsidR="00553430" w:rsidRDefault="00553430">
            <w:pPr>
              <w:spacing w:after="200" w:line="276" w:lineRule="auto"/>
              <w:jc w:val="center"/>
              <w:rPr>
                <w:rFonts w:ascii="Times New Roman" w:eastAsia="Calibri" w:hAnsi="Times New Roman" w:cs="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3DECDB51" w14:textId="77777777" w:rsidR="00553430" w:rsidRDefault="00553430">
            <w:pPr>
              <w:spacing w:after="200" w:line="276" w:lineRule="auto"/>
              <w:jc w:val="center"/>
              <w:rPr>
                <w:rFonts w:ascii="Times New Roman" w:eastAsia="Calibri" w:hAnsi="Times New Roman" w:cs="Times New Roman"/>
                <w:noProof/>
                <w:sz w:val="20"/>
                <w:szCs w:val="20"/>
              </w:rPr>
            </w:pPr>
          </w:p>
        </w:tc>
        <w:tc>
          <w:tcPr>
            <w:tcW w:w="709" w:type="dxa"/>
            <w:tcBorders>
              <w:top w:val="single" w:sz="4" w:space="0" w:color="auto"/>
              <w:left w:val="nil"/>
              <w:bottom w:val="single" w:sz="4" w:space="0" w:color="auto"/>
              <w:right w:val="single" w:sz="4" w:space="0" w:color="auto"/>
            </w:tcBorders>
            <w:shd w:val="clear" w:color="auto" w:fill="C6EFCE"/>
            <w:noWrap/>
          </w:tcPr>
          <w:p w14:paraId="42A68658" w14:textId="77777777" w:rsidR="00553430" w:rsidRDefault="00553430">
            <w:pPr>
              <w:spacing w:after="200" w:line="276" w:lineRule="auto"/>
              <w:jc w:val="center"/>
              <w:rPr>
                <w:rFonts w:ascii="Times New Roman" w:eastAsia="Calibri" w:hAnsi="Times New Roman" w:cs="Times New Roman"/>
                <w:noProof/>
                <w:sz w:val="20"/>
                <w:szCs w:val="20"/>
              </w:rPr>
            </w:pPr>
          </w:p>
        </w:tc>
        <w:tc>
          <w:tcPr>
            <w:tcW w:w="575" w:type="dxa"/>
            <w:tcBorders>
              <w:top w:val="single" w:sz="4" w:space="0" w:color="auto"/>
              <w:left w:val="nil"/>
              <w:bottom w:val="single" w:sz="4" w:space="0" w:color="auto"/>
              <w:right w:val="single" w:sz="4" w:space="0" w:color="auto"/>
            </w:tcBorders>
            <w:shd w:val="clear" w:color="auto" w:fill="C6EFCE"/>
            <w:noWrap/>
          </w:tcPr>
          <w:p w14:paraId="097CC898" w14:textId="77777777" w:rsidR="00553430" w:rsidRDefault="00212577">
            <w:pPr>
              <w:pStyle w:val="P68B1DB1-Normal66"/>
              <w:spacing w:after="200" w:line="276" w:lineRule="auto"/>
              <w:jc w:val="center"/>
              <w:rPr>
                <w:noProof/>
              </w:rPr>
            </w:pPr>
            <w:r>
              <w:rPr>
                <w:noProof/>
              </w:rPr>
              <w:t>T2</w:t>
            </w:r>
          </w:p>
        </w:tc>
        <w:tc>
          <w:tcPr>
            <w:tcW w:w="850" w:type="dxa"/>
            <w:tcBorders>
              <w:top w:val="single" w:sz="4" w:space="0" w:color="auto"/>
              <w:left w:val="nil"/>
              <w:bottom w:val="single" w:sz="4" w:space="0" w:color="auto"/>
              <w:right w:val="single" w:sz="4" w:space="0" w:color="auto"/>
            </w:tcBorders>
            <w:shd w:val="clear" w:color="auto" w:fill="C6EFCE"/>
            <w:noWrap/>
          </w:tcPr>
          <w:p w14:paraId="132834E8" w14:textId="77777777" w:rsidR="00553430" w:rsidRDefault="00212577">
            <w:pPr>
              <w:pStyle w:val="P68B1DB1-Normal66"/>
              <w:spacing w:after="200" w:line="276" w:lineRule="auto"/>
              <w:jc w:val="center"/>
              <w:rPr>
                <w:noProof/>
              </w:rPr>
            </w:pPr>
            <w:r>
              <w:rPr>
                <w:noProof/>
              </w:rPr>
              <w:t>2026</w:t>
            </w:r>
          </w:p>
        </w:tc>
        <w:tc>
          <w:tcPr>
            <w:tcW w:w="3754" w:type="dxa"/>
            <w:tcBorders>
              <w:top w:val="single" w:sz="4" w:space="0" w:color="auto"/>
              <w:left w:val="nil"/>
              <w:bottom w:val="single" w:sz="4" w:space="0" w:color="auto"/>
              <w:right w:val="single" w:sz="4" w:space="0" w:color="auto"/>
            </w:tcBorders>
            <w:shd w:val="clear" w:color="auto" w:fill="C6EFCE"/>
            <w:noWrap/>
          </w:tcPr>
          <w:p w14:paraId="088258EA" w14:textId="77777777" w:rsidR="00553430" w:rsidRDefault="00212577">
            <w:pPr>
              <w:pStyle w:val="P68B1DB1-Normal66"/>
              <w:spacing w:after="200" w:line="276" w:lineRule="auto"/>
              <w:rPr>
                <w:noProof/>
              </w:rPr>
            </w:pPr>
            <w:r>
              <w:rPr>
                <w:noProof/>
              </w:rPr>
              <w:t>La preuve de la réception technique provisoire après leur construction pour 103 nouveaux autobus à propulsion alternative (électrique e</w:t>
            </w:r>
            <w:r>
              <w:rPr>
                <w:noProof/>
              </w:rPr>
              <w:t xml:space="preserve">t/ou à hydrogène) doit être fournie. </w:t>
            </w:r>
          </w:p>
        </w:tc>
      </w:tr>
      <w:tr w:rsidR="00553430" w14:paraId="470462A6"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23371A5A" w14:textId="77777777" w:rsidR="00553430" w:rsidRDefault="00212577">
            <w:pPr>
              <w:pStyle w:val="P68B1DB1-Normal89"/>
              <w:spacing w:after="0" w:line="276" w:lineRule="auto"/>
              <w:jc w:val="center"/>
              <w:rPr>
                <w:noProof/>
              </w:rPr>
            </w:pPr>
            <w:r>
              <w:rPr>
                <w:noProof/>
              </w:rPr>
              <w:t>415</w:t>
            </w:r>
          </w:p>
        </w:tc>
        <w:tc>
          <w:tcPr>
            <w:tcW w:w="1437" w:type="dxa"/>
            <w:tcBorders>
              <w:top w:val="single" w:sz="4" w:space="0" w:color="auto"/>
              <w:left w:val="nil"/>
              <w:bottom w:val="single" w:sz="4" w:space="0" w:color="auto"/>
              <w:right w:val="single" w:sz="4" w:space="0" w:color="auto"/>
            </w:tcBorders>
            <w:shd w:val="clear" w:color="auto" w:fill="C6EFCE"/>
            <w:noWrap/>
          </w:tcPr>
          <w:p w14:paraId="13FAAEB0" w14:textId="77777777" w:rsidR="00553430" w:rsidRDefault="00212577">
            <w:pPr>
              <w:pStyle w:val="P68B1DB1-Normal102"/>
              <w:spacing w:after="200" w:line="276" w:lineRule="auto"/>
              <w:jc w:val="center"/>
              <w:rPr>
                <w:noProof/>
                <w:color w:val="000000" w:themeColor="text1"/>
              </w:rPr>
            </w:pPr>
            <w:r>
              <w:rPr>
                <w:noProof/>
              </w:rPr>
              <w:t>C7.1. I1</w:t>
            </w:r>
          </w:p>
        </w:tc>
        <w:tc>
          <w:tcPr>
            <w:tcW w:w="1072" w:type="dxa"/>
            <w:tcBorders>
              <w:top w:val="single" w:sz="4" w:space="0" w:color="auto"/>
              <w:left w:val="nil"/>
              <w:bottom w:val="single" w:sz="4" w:space="0" w:color="auto"/>
              <w:right w:val="single" w:sz="4" w:space="0" w:color="auto"/>
            </w:tcBorders>
            <w:shd w:val="clear" w:color="auto" w:fill="C6EFCE"/>
            <w:noWrap/>
          </w:tcPr>
          <w:p w14:paraId="130C4E10" w14:textId="77777777" w:rsidR="00553430" w:rsidRDefault="00212577">
            <w:pPr>
              <w:pStyle w:val="P68B1DB1-Normal70"/>
              <w:spacing w:after="200" w:line="276" w:lineRule="auto"/>
              <w:jc w:val="center"/>
              <w:rPr>
                <w:noProof/>
              </w:rPr>
            </w:pPr>
            <w:r>
              <w:rPr>
                <w:noProof/>
              </w:rPr>
              <w:t>T</w:t>
            </w:r>
          </w:p>
        </w:tc>
        <w:tc>
          <w:tcPr>
            <w:tcW w:w="2228" w:type="dxa"/>
            <w:tcBorders>
              <w:top w:val="single" w:sz="4" w:space="0" w:color="auto"/>
              <w:left w:val="nil"/>
              <w:bottom w:val="single" w:sz="4" w:space="0" w:color="auto"/>
              <w:right w:val="single" w:sz="4" w:space="0" w:color="auto"/>
            </w:tcBorders>
            <w:shd w:val="clear" w:color="auto" w:fill="C6EFCE"/>
            <w:noWrap/>
          </w:tcPr>
          <w:p w14:paraId="5A1B7129" w14:textId="77777777" w:rsidR="00553430" w:rsidRDefault="00212577">
            <w:pPr>
              <w:pStyle w:val="P68B1DB1-Normal70"/>
              <w:spacing w:after="200" w:line="276" w:lineRule="auto"/>
              <w:rPr>
                <w:noProof/>
              </w:rPr>
            </w:pPr>
            <w:r>
              <w:rPr>
                <w:noProof/>
              </w:rPr>
              <w:t>Une unité d’énergie hydrogène pour l’alimentation des locomotives électriques situées dans un wagon séparé (HERMES)</w:t>
            </w:r>
          </w:p>
        </w:tc>
        <w:tc>
          <w:tcPr>
            <w:tcW w:w="2193" w:type="dxa"/>
            <w:tcBorders>
              <w:top w:val="single" w:sz="4" w:space="0" w:color="auto"/>
              <w:left w:val="nil"/>
              <w:bottom w:val="single" w:sz="4" w:space="0" w:color="auto"/>
              <w:right w:val="single" w:sz="4" w:space="0" w:color="auto"/>
            </w:tcBorders>
            <w:shd w:val="clear" w:color="auto" w:fill="C6EFCE"/>
            <w:noWrap/>
          </w:tcPr>
          <w:p w14:paraId="69D11852" w14:textId="77777777" w:rsidR="00553430" w:rsidRDefault="00553430">
            <w:pPr>
              <w:spacing w:after="200" w:line="276" w:lineRule="auto"/>
              <w:rPr>
                <w:rFonts w:ascii="Times New Roman" w:eastAsia="Calibri" w:hAnsi="Times New Roman" w:cs="Times New Roman"/>
                <w:noProof/>
                <w:sz w:val="20"/>
                <w:szCs w:val="20"/>
              </w:rPr>
            </w:pPr>
          </w:p>
        </w:tc>
        <w:tc>
          <w:tcPr>
            <w:tcW w:w="917" w:type="dxa"/>
            <w:tcBorders>
              <w:top w:val="single" w:sz="4" w:space="0" w:color="auto"/>
              <w:left w:val="nil"/>
              <w:bottom w:val="single" w:sz="4" w:space="0" w:color="auto"/>
              <w:right w:val="single" w:sz="4" w:space="0" w:color="auto"/>
            </w:tcBorders>
            <w:shd w:val="clear" w:color="auto" w:fill="C6EFCE"/>
            <w:noWrap/>
          </w:tcPr>
          <w:p w14:paraId="159EE73F" w14:textId="77777777" w:rsidR="00553430" w:rsidRDefault="00212577">
            <w:pPr>
              <w:pStyle w:val="P68B1DB1-Normal66"/>
              <w:spacing w:after="200" w:line="276" w:lineRule="auto"/>
              <w:jc w:val="center"/>
              <w:rPr>
                <w:noProof/>
              </w:rPr>
            </w:pPr>
            <w:r>
              <w:rPr>
                <w:noProof/>
              </w:rPr>
              <w:t>Numéro</w:t>
            </w:r>
          </w:p>
        </w:tc>
        <w:tc>
          <w:tcPr>
            <w:tcW w:w="851" w:type="dxa"/>
            <w:tcBorders>
              <w:top w:val="single" w:sz="4" w:space="0" w:color="auto"/>
              <w:left w:val="nil"/>
              <w:bottom w:val="single" w:sz="4" w:space="0" w:color="auto"/>
              <w:right w:val="single" w:sz="4" w:space="0" w:color="auto"/>
            </w:tcBorders>
            <w:shd w:val="clear" w:color="auto" w:fill="C6EFCE"/>
            <w:noWrap/>
          </w:tcPr>
          <w:p w14:paraId="0C1A0D1E" w14:textId="77777777" w:rsidR="00553430" w:rsidRDefault="00212577">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5E75F856" w14:textId="77777777" w:rsidR="00553430" w:rsidRDefault="00212577">
            <w:pPr>
              <w:pStyle w:val="P68B1DB1-Normal66"/>
              <w:spacing w:after="200" w:line="276" w:lineRule="auto"/>
              <w:jc w:val="center"/>
              <w:rPr>
                <w:noProof/>
              </w:rPr>
            </w:pPr>
            <w:r>
              <w:rPr>
                <w:noProof/>
              </w:rPr>
              <w:t>1</w:t>
            </w:r>
          </w:p>
        </w:tc>
        <w:tc>
          <w:tcPr>
            <w:tcW w:w="575" w:type="dxa"/>
            <w:tcBorders>
              <w:top w:val="single" w:sz="4" w:space="0" w:color="auto"/>
              <w:left w:val="nil"/>
              <w:bottom w:val="single" w:sz="4" w:space="0" w:color="auto"/>
              <w:right w:val="single" w:sz="4" w:space="0" w:color="auto"/>
            </w:tcBorders>
            <w:shd w:val="clear" w:color="auto" w:fill="C6EFCE"/>
            <w:noWrap/>
          </w:tcPr>
          <w:p w14:paraId="6EC4DD2C" w14:textId="77777777" w:rsidR="00553430" w:rsidRDefault="00212577">
            <w:pPr>
              <w:pStyle w:val="P68B1DB1-Normal66"/>
              <w:spacing w:after="200" w:line="276" w:lineRule="auto"/>
              <w:jc w:val="center"/>
              <w:rPr>
                <w:noProof/>
              </w:rPr>
            </w:pPr>
            <w:r>
              <w:rPr>
                <w:noProof/>
              </w:rPr>
              <w:t>T2</w:t>
            </w:r>
          </w:p>
        </w:tc>
        <w:tc>
          <w:tcPr>
            <w:tcW w:w="850" w:type="dxa"/>
            <w:tcBorders>
              <w:top w:val="single" w:sz="4" w:space="0" w:color="auto"/>
              <w:left w:val="nil"/>
              <w:bottom w:val="single" w:sz="4" w:space="0" w:color="auto"/>
              <w:right w:val="single" w:sz="4" w:space="0" w:color="auto"/>
            </w:tcBorders>
            <w:shd w:val="clear" w:color="auto" w:fill="C6EFCE"/>
            <w:noWrap/>
          </w:tcPr>
          <w:p w14:paraId="1165CA56" w14:textId="77777777" w:rsidR="00553430" w:rsidRDefault="00212577">
            <w:pPr>
              <w:pStyle w:val="P68B1DB1-Normal66"/>
              <w:spacing w:after="200" w:line="276" w:lineRule="auto"/>
              <w:jc w:val="center"/>
              <w:rPr>
                <w:noProof/>
              </w:rPr>
            </w:pPr>
            <w:r>
              <w:rPr>
                <w:noProof/>
              </w:rPr>
              <w:t>2026</w:t>
            </w:r>
          </w:p>
        </w:tc>
        <w:tc>
          <w:tcPr>
            <w:tcW w:w="3754" w:type="dxa"/>
            <w:tcBorders>
              <w:top w:val="single" w:sz="4" w:space="0" w:color="auto"/>
              <w:left w:val="nil"/>
              <w:bottom w:val="single" w:sz="4" w:space="0" w:color="auto"/>
              <w:right w:val="single" w:sz="4" w:space="0" w:color="auto"/>
            </w:tcBorders>
            <w:shd w:val="clear" w:color="auto" w:fill="C6EFCE"/>
            <w:noWrap/>
          </w:tcPr>
          <w:p w14:paraId="091007B5" w14:textId="77777777" w:rsidR="00553430" w:rsidRDefault="00212577">
            <w:pPr>
              <w:pStyle w:val="P68B1DB1-Normal70"/>
              <w:spacing w:after="200" w:line="276" w:lineRule="auto"/>
              <w:rPr>
                <w:noProof/>
              </w:rPr>
            </w:pPr>
            <w:r>
              <w:rPr>
                <w:noProof/>
              </w:rPr>
              <w:t xml:space="preserve">Une unité d’énergie hydrogène pour l’alimentation des locomotives </w:t>
            </w:r>
            <w:r>
              <w:rPr>
                <w:noProof/>
              </w:rPr>
              <w:t xml:space="preserve">électriques situées dans un wagon séparé (HERMES) doit être installée. </w:t>
            </w:r>
          </w:p>
        </w:tc>
      </w:tr>
    </w:tbl>
    <w:p w14:paraId="27F15C65" w14:textId="77777777" w:rsidR="00553430" w:rsidRDefault="00553430">
      <w:pPr>
        <w:pStyle w:val="paragraph"/>
        <w:spacing w:before="0" w:beforeAutospacing="0" w:after="0" w:afterAutospacing="0"/>
        <w:jc w:val="both"/>
        <w:textAlignment w:val="baseline"/>
        <w:rPr>
          <w:noProof/>
          <w:sz w:val="20"/>
        </w:rPr>
      </w:pPr>
    </w:p>
    <w:p w14:paraId="71724E4E" w14:textId="77777777" w:rsidR="00553430" w:rsidRDefault="00553430">
      <w:pPr>
        <w:rPr>
          <w:noProof/>
        </w:rPr>
        <w:sectPr w:rsidR="00553430" w:rsidSect="00FA29B2">
          <w:headerReference w:type="even" r:id="rId417"/>
          <w:headerReference w:type="default" r:id="rId418"/>
          <w:footerReference w:type="even" r:id="rId419"/>
          <w:footerReference w:type="default" r:id="rId420"/>
          <w:headerReference w:type="first" r:id="rId421"/>
          <w:footerReference w:type="first" r:id="rId422"/>
          <w:pgSz w:w="16838" w:h="11906" w:orient="landscape"/>
          <w:pgMar w:top="1134" w:right="1134" w:bottom="1134" w:left="1134" w:header="567" w:footer="567" w:gutter="0"/>
          <w:cols w:space="708"/>
          <w:docGrid w:linePitch="360"/>
        </w:sectPr>
      </w:pPr>
    </w:p>
    <w:p w14:paraId="4932E858" w14:textId="5738F411" w:rsidR="00553430" w:rsidRDefault="00212577">
      <w:pPr>
        <w:pStyle w:val="paragraph"/>
        <w:spacing w:before="0" w:beforeAutospacing="0" w:after="0" w:afterAutospacing="0"/>
        <w:ind w:firstLine="851"/>
        <w:jc w:val="both"/>
        <w:textAlignment w:val="baseline"/>
        <w:rPr>
          <w:rFonts w:ascii="Segoe UI" w:hAnsi="Segoe UI" w:cs="Segoe UI"/>
          <w:noProof/>
          <w:sz w:val="18"/>
          <w:szCs w:val="18"/>
          <w:u w:val="single"/>
        </w:rPr>
      </w:pPr>
      <w:r>
        <w:rPr>
          <w:rStyle w:val="normaltextrun"/>
          <w:b/>
          <w:noProof/>
          <w:u w:val="single"/>
        </w:rPr>
        <w:t xml:space="preserve">W.3. Description des réformes et des investissements pour le prêt </w:t>
      </w:r>
    </w:p>
    <w:p w14:paraId="410841EC" w14:textId="77777777" w:rsidR="00553430" w:rsidRDefault="00553430">
      <w:pPr>
        <w:pStyle w:val="paragraph"/>
        <w:spacing w:before="0" w:beforeAutospacing="0" w:after="0" w:afterAutospacing="0"/>
        <w:jc w:val="both"/>
        <w:textAlignment w:val="baseline"/>
        <w:rPr>
          <w:bCs/>
          <w:noProof/>
          <w:color w:val="000000" w:themeColor="text1"/>
        </w:rPr>
      </w:pPr>
    </w:p>
    <w:p w14:paraId="74D5DF49" w14:textId="77777777" w:rsidR="00553430" w:rsidRDefault="00212577">
      <w:pPr>
        <w:pStyle w:val="P68B1DB1-paragraph57"/>
        <w:spacing w:before="0" w:beforeAutospacing="0" w:after="0" w:afterAutospacing="0"/>
        <w:ind w:left="720"/>
        <w:jc w:val="both"/>
        <w:textAlignment w:val="baseline"/>
        <w:rPr>
          <w:rStyle w:val="eop"/>
          <w:bCs/>
          <w:noProof/>
        </w:rPr>
      </w:pPr>
      <w:r>
        <w:rPr>
          <w:noProof/>
          <w:color w:val="000000" w:themeColor="text1"/>
        </w:rPr>
        <w:t>Investissement C7.1 R1-I4</w:t>
      </w:r>
      <w:r>
        <w:rPr>
          <w:noProof/>
        </w:rPr>
        <w:t xml:space="preserve"> - </w:t>
      </w:r>
      <w:r>
        <w:rPr>
          <w:noProof/>
          <w:color w:val="000000" w:themeColor="text1"/>
        </w:rPr>
        <w:t>Renforcer l'utilisation des sources d'énergie renouvelables dans les transports et le chauffage</w:t>
      </w:r>
    </w:p>
    <w:p w14:paraId="4BE3EA95" w14:textId="77777777" w:rsidR="00553430" w:rsidRDefault="00553430">
      <w:pPr>
        <w:pStyle w:val="paragraph"/>
        <w:spacing w:before="0" w:beforeAutospacing="0" w:after="0" w:afterAutospacing="0"/>
        <w:jc w:val="both"/>
        <w:textAlignment w:val="baseline"/>
        <w:rPr>
          <w:rStyle w:val="eop"/>
          <w:noProof/>
        </w:rPr>
      </w:pPr>
    </w:p>
    <w:p w14:paraId="01AB21BC" w14:textId="77777777" w:rsidR="00553430" w:rsidRDefault="00212577">
      <w:pPr>
        <w:pStyle w:val="paragraph"/>
        <w:spacing w:before="0" w:beforeAutospacing="0" w:after="0" w:afterAutospacing="0"/>
        <w:jc w:val="both"/>
        <w:textAlignment w:val="baseline"/>
        <w:rPr>
          <w:noProof/>
        </w:rPr>
      </w:pPr>
      <w:r>
        <w:rPr>
          <w:rStyle w:val="eop"/>
          <w:noProof/>
        </w:rPr>
        <w:t>L’objectif de l’investissement est d’accroître l’utilisation</w:t>
      </w:r>
      <w:r>
        <w:rPr>
          <w:noProof/>
        </w:rPr>
        <w:t xml:space="preserve"> </w:t>
      </w:r>
      <w:r>
        <w:rPr>
          <w:noProof/>
          <w:color w:val="000000" w:themeColor="text1"/>
          <w:u w:val="single"/>
        </w:rPr>
        <w:t>des sources d’énergie renouvelables.</w:t>
      </w:r>
    </w:p>
    <w:p w14:paraId="1D39E757" w14:textId="77777777" w:rsidR="00553430" w:rsidRDefault="00553430">
      <w:pPr>
        <w:pStyle w:val="paragraph"/>
        <w:spacing w:before="0" w:beforeAutospacing="0" w:after="0" w:afterAutospacing="0"/>
        <w:jc w:val="both"/>
        <w:textAlignment w:val="baseline"/>
        <w:rPr>
          <w:noProof/>
        </w:rPr>
      </w:pPr>
    </w:p>
    <w:p w14:paraId="516CB75E" w14:textId="77777777" w:rsidR="00553430" w:rsidRDefault="00212577">
      <w:pPr>
        <w:pStyle w:val="paragraph"/>
        <w:spacing w:before="0" w:beforeAutospacing="0" w:after="0" w:afterAutospacing="0"/>
        <w:jc w:val="both"/>
        <w:textAlignment w:val="baseline"/>
        <w:rPr>
          <w:rStyle w:val="eop"/>
          <w:bCs/>
          <w:strike/>
          <w:noProof/>
        </w:rPr>
      </w:pPr>
      <w:r>
        <w:rPr>
          <w:noProof/>
        </w:rPr>
        <w:t>L'investissement consiste en la construction d'une infrastru</w:t>
      </w:r>
      <w:r>
        <w:rPr>
          <w:noProof/>
        </w:rPr>
        <w:t xml:space="preserve">cture de recharge pour les bus électriques. </w:t>
      </w:r>
    </w:p>
    <w:p w14:paraId="52C37BEC" w14:textId="77777777" w:rsidR="00553430" w:rsidRDefault="00553430">
      <w:pPr>
        <w:pStyle w:val="paragraph"/>
        <w:spacing w:before="0" w:beforeAutospacing="0" w:after="0" w:afterAutospacing="0"/>
        <w:jc w:val="both"/>
        <w:textAlignment w:val="baseline"/>
        <w:rPr>
          <w:bCs/>
          <w:noProof/>
          <w:color w:val="000000" w:themeColor="text1"/>
          <w:u w:val="single"/>
        </w:rPr>
      </w:pPr>
    </w:p>
    <w:p w14:paraId="3075E05B" w14:textId="77777777" w:rsidR="00553430" w:rsidRDefault="00212577">
      <w:pPr>
        <w:pStyle w:val="P68B1DB1-paragraph57"/>
        <w:spacing w:before="0" w:beforeAutospacing="0" w:after="0" w:afterAutospacing="0"/>
        <w:ind w:left="720"/>
        <w:jc w:val="both"/>
        <w:textAlignment w:val="baseline"/>
        <w:rPr>
          <w:rStyle w:val="eop"/>
          <w:bCs/>
          <w:noProof/>
        </w:rPr>
      </w:pPr>
      <w:r>
        <w:rPr>
          <w:noProof/>
          <w:color w:val="000000" w:themeColor="text1"/>
        </w:rPr>
        <w:t xml:space="preserve">Investissement C7.1 R1-I5 - Utilisation de biocarburants dans les transports (investissement C1.2.R1-I4  transféré de la décision d'exécution </w:t>
      </w:r>
      <w:r>
        <w:rPr>
          <w:noProof/>
        </w:rPr>
        <w:t>du Conseil déjà adoptée)</w:t>
      </w:r>
    </w:p>
    <w:p w14:paraId="352CD1CF" w14:textId="77777777" w:rsidR="00553430" w:rsidRDefault="00553430">
      <w:pPr>
        <w:pStyle w:val="paragraph"/>
        <w:spacing w:before="0" w:beforeAutospacing="0" w:after="0" w:afterAutospacing="0"/>
        <w:jc w:val="both"/>
        <w:textAlignment w:val="baseline"/>
        <w:rPr>
          <w:rStyle w:val="eop"/>
          <w:bCs/>
          <w:noProof/>
        </w:rPr>
      </w:pPr>
    </w:p>
    <w:p w14:paraId="1379C85F" w14:textId="77777777" w:rsidR="00553430" w:rsidRDefault="00212577">
      <w:pPr>
        <w:pStyle w:val="P68B1DB1-Normal33"/>
        <w:spacing w:line="240" w:lineRule="auto"/>
        <w:jc w:val="both"/>
        <w:rPr>
          <w:noProof/>
        </w:rPr>
      </w:pPr>
      <w:r>
        <w:rPr>
          <w:noProof/>
        </w:rPr>
        <w:t>L’objectif de cet investissement est d’acc</w:t>
      </w:r>
      <w:r>
        <w:rPr>
          <w:noProof/>
        </w:rPr>
        <w:t>roître la part des énergies renouvelables dans les transports.</w:t>
      </w:r>
    </w:p>
    <w:p w14:paraId="420893A4" w14:textId="77777777" w:rsidR="00553430" w:rsidRDefault="00212577">
      <w:pPr>
        <w:pStyle w:val="P68B1DB1-Normal33"/>
        <w:spacing w:line="240" w:lineRule="auto"/>
        <w:jc w:val="both"/>
        <w:rPr>
          <w:noProof/>
        </w:rPr>
      </w:pPr>
      <w:r>
        <w:rPr>
          <w:noProof/>
        </w:rPr>
        <w:t xml:space="preserve">L'investissement consiste en l'adoption du plan de production et d'utilisation des biocarburants dans les transports. </w:t>
      </w:r>
    </w:p>
    <w:p w14:paraId="5E14DE15" w14:textId="77777777" w:rsidR="00553430" w:rsidRDefault="00553430">
      <w:pPr>
        <w:pStyle w:val="paragraph"/>
        <w:spacing w:before="0" w:beforeAutospacing="0" w:after="0" w:afterAutospacing="0"/>
        <w:jc w:val="both"/>
        <w:textAlignment w:val="baseline"/>
        <w:rPr>
          <w:rStyle w:val="eop"/>
          <w:bCs/>
          <w:noProof/>
        </w:rPr>
      </w:pPr>
    </w:p>
    <w:p w14:paraId="6198ADDC" w14:textId="0BF73E9C" w:rsidR="00553430" w:rsidRDefault="00212577">
      <w:pPr>
        <w:pStyle w:val="P68B1DB1-paragraph57"/>
        <w:spacing w:before="0" w:beforeAutospacing="0" w:after="0" w:afterAutospacing="0"/>
        <w:ind w:left="720"/>
        <w:jc w:val="both"/>
        <w:textAlignment w:val="baseline"/>
        <w:rPr>
          <w:bCs/>
          <w:noProof/>
          <w:color w:val="000000" w:themeColor="text1"/>
        </w:rPr>
      </w:pPr>
      <w:r>
        <w:rPr>
          <w:noProof/>
          <w:color w:val="000000" w:themeColor="text1"/>
        </w:rPr>
        <w:t>Investissement C7.1 R1-I6</w:t>
      </w:r>
      <w:r>
        <w:rPr>
          <w:noProof/>
        </w:rPr>
        <w:t xml:space="preserve"> - </w:t>
      </w:r>
      <w:r>
        <w:rPr>
          <w:noProof/>
          <w:color w:val="000000" w:themeColor="text1"/>
        </w:rPr>
        <w:t>Renforcement des capacités de transport du ré</w:t>
      </w:r>
      <w:r>
        <w:rPr>
          <w:noProof/>
          <w:color w:val="000000" w:themeColor="text1"/>
        </w:rPr>
        <w:t>seau électrique</w:t>
      </w:r>
    </w:p>
    <w:p w14:paraId="3952AFC8" w14:textId="77777777" w:rsidR="00553430" w:rsidRDefault="00553430">
      <w:pPr>
        <w:pStyle w:val="paragraph"/>
        <w:spacing w:before="0" w:beforeAutospacing="0" w:after="0" w:afterAutospacing="0"/>
        <w:jc w:val="both"/>
        <w:textAlignment w:val="baseline"/>
        <w:rPr>
          <w:bCs/>
          <w:noProof/>
          <w:color w:val="000000" w:themeColor="text1"/>
        </w:rPr>
      </w:pPr>
    </w:p>
    <w:p w14:paraId="342E63D9" w14:textId="77777777" w:rsidR="00553430" w:rsidRDefault="00212577">
      <w:pPr>
        <w:pStyle w:val="P68B1DB1-paragraph24"/>
        <w:spacing w:before="0" w:beforeAutospacing="0" w:after="0" w:afterAutospacing="0"/>
        <w:jc w:val="both"/>
        <w:textAlignment w:val="baseline"/>
        <w:rPr>
          <w:noProof/>
        </w:rPr>
      </w:pPr>
      <w:r>
        <w:rPr>
          <w:noProof/>
        </w:rPr>
        <w:t>L’objectif de cet investissement est de soutenir l’électrification et la décarbonation du secteur de l’énergie.</w:t>
      </w:r>
    </w:p>
    <w:p w14:paraId="72B94DA7" w14:textId="77777777" w:rsidR="00553430" w:rsidRDefault="00553430">
      <w:pPr>
        <w:pStyle w:val="paragraph"/>
        <w:spacing w:before="0" w:beforeAutospacing="0" w:after="0" w:afterAutospacing="0"/>
        <w:jc w:val="both"/>
        <w:textAlignment w:val="baseline"/>
        <w:rPr>
          <w:rFonts w:eastAsia="Calibri"/>
          <w:noProof/>
        </w:rPr>
      </w:pPr>
    </w:p>
    <w:p w14:paraId="49E4E6FE" w14:textId="77777777" w:rsidR="00553430" w:rsidRDefault="00212577">
      <w:pPr>
        <w:pStyle w:val="P68B1DB1-paragraph24"/>
        <w:spacing w:before="0" w:beforeAutospacing="0" w:after="0" w:afterAutospacing="0"/>
        <w:jc w:val="both"/>
        <w:textAlignment w:val="baseline"/>
        <w:rPr>
          <w:noProof/>
        </w:rPr>
      </w:pPr>
      <w:r>
        <w:rPr>
          <w:noProof/>
        </w:rPr>
        <w:t>L'investissement consiste à remplacer d'anciens transformateurs électriques et à reconstruire des sous-stations électriques.</w:t>
      </w:r>
    </w:p>
    <w:p w14:paraId="6D7E8AB1" w14:textId="77777777" w:rsidR="00553430" w:rsidRDefault="00553430">
      <w:pPr>
        <w:pStyle w:val="paragraph"/>
        <w:spacing w:before="0" w:beforeAutospacing="0" w:after="0" w:afterAutospacing="0"/>
        <w:jc w:val="both"/>
        <w:textAlignment w:val="baseline"/>
        <w:rPr>
          <w:bCs/>
          <w:noProof/>
          <w:color w:val="000000" w:themeColor="text1"/>
        </w:rPr>
      </w:pPr>
    </w:p>
    <w:p w14:paraId="2A9BA223" w14:textId="77777777" w:rsidR="00553430" w:rsidRDefault="00212577">
      <w:pPr>
        <w:pStyle w:val="P68B1DB1-paragraph59"/>
        <w:spacing w:before="0" w:beforeAutospacing="0" w:after="0" w:afterAutospacing="0"/>
        <w:ind w:left="720"/>
        <w:jc w:val="both"/>
        <w:textAlignment w:val="baseline"/>
        <w:rPr>
          <w:rStyle w:val="eop"/>
          <w:bCs/>
          <w:noProof/>
        </w:rPr>
      </w:pPr>
      <w:r>
        <w:rPr>
          <w:noProof/>
        </w:rPr>
        <w:t>Investissement C7.1 I3 - Accroître la capacité du terminal GNL de l'île de Krk et renforcer l'infrastructure gazière</w:t>
      </w:r>
    </w:p>
    <w:p w14:paraId="2FA7D9AE" w14:textId="77777777" w:rsidR="00553430" w:rsidRDefault="00553430">
      <w:pPr>
        <w:pStyle w:val="paragraph"/>
        <w:spacing w:before="0" w:beforeAutospacing="0" w:after="0" w:afterAutospacing="0"/>
        <w:jc w:val="both"/>
        <w:textAlignment w:val="baseline"/>
        <w:rPr>
          <w:rStyle w:val="eop"/>
          <w:bCs/>
          <w:noProof/>
        </w:rPr>
      </w:pPr>
    </w:p>
    <w:p w14:paraId="5556AE31" w14:textId="77777777" w:rsidR="00553430" w:rsidRDefault="00212577">
      <w:pPr>
        <w:pStyle w:val="P68B1DB1-paragraph58"/>
        <w:spacing w:before="0" w:beforeAutospacing="0" w:after="0" w:afterAutospacing="0"/>
        <w:jc w:val="both"/>
        <w:textAlignment w:val="baseline"/>
        <w:rPr>
          <w:bCs/>
          <w:noProof/>
        </w:rPr>
      </w:pPr>
      <w:r>
        <w:rPr>
          <w:noProof/>
        </w:rPr>
        <w:t>L’objectif de l’investissement est d’accroître la diversification de l’approvisionnement en gaz de l’Union et d’accroître la sécurité de l</w:t>
      </w:r>
      <w:r>
        <w:rPr>
          <w:noProof/>
        </w:rPr>
        <w:t>’approvisionnement en gaz des États membres voisins de la Croatie.</w:t>
      </w:r>
    </w:p>
    <w:p w14:paraId="796580AA" w14:textId="77777777" w:rsidR="00553430" w:rsidRDefault="00553430">
      <w:pPr>
        <w:pStyle w:val="paragraph"/>
        <w:spacing w:before="0" w:beforeAutospacing="0" w:after="0" w:afterAutospacing="0"/>
        <w:jc w:val="both"/>
        <w:textAlignment w:val="baseline"/>
        <w:rPr>
          <w:bCs/>
          <w:noProof/>
          <w:color w:val="000000" w:themeColor="text1"/>
        </w:rPr>
      </w:pPr>
    </w:p>
    <w:p w14:paraId="4605E50E" w14:textId="00C983F7" w:rsidR="00553430" w:rsidRDefault="00212577">
      <w:pPr>
        <w:pStyle w:val="paragraph"/>
        <w:spacing w:before="0" w:beforeAutospacing="0" w:after="0" w:afterAutospacing="0"/>
        <w:jc w:val="both"/>
        <w:textAlignment w:val="baseline"/>
        <w:rPr>
          <w:rFonts w:cstheme="minorHAnsi"/>
          <w:noProof/>
          <w:color w:val="000000"/>
        </w:rPr>
      </w:pPr>
      <w:r>
        <w:rPr>
          <w:noProof/>
          <w:color w:val="000000" w:themeColor="text1"/>
        </w:rPr>
        <w:t>L’investissement consiste à accroître la capacité du terminal GNL de l’île de Krk,</w:t>
      </w:r>
      <w:r>
        <w:rPr>
          <w:noProof/>
        </w:rPr>
        <w:t xml:space="preserve"> à agrandir le gazoduc </w:t>
      </w:r>
      <w:r>
        <w:rPr>
          <w:rFonts w:cstheme="minorHAnsi"/>
          <w:noProof/>
          <w:color w:val="000000"/>
        </w:rPr>
        <w:t xml:space="preserve">Zlobin – Bosiljevo, </w:t>
      </w:r>
      <w:r>
        <w:rPr>
          <w:noProof/>
        </w:rPr>
        <w:t xml:space="preserve">le gazoduc </w:t>
      </w:r>
      <w:r>
        <w:rPr>
          <w:rFonts w:cstheme="minorHAnsi"/>
          <w:noProof/>
          <w:color w:val="000000"/>
        </w:rPr>
        <w:t>Bosiljevo – Sisak – Kozarac, ainsi que le tronçon Lu</w:t>
      </w:r>
      <w:r>
        <w:rPr>
          <w:rFonts w:cstheme="minorHAnsi"/>
          <w:noProof/>
          <w:color w:val="000000"/>
        </w:rPr>
        <w:t xml:space="preserve">čko – Zabok de l’interconnexion Croatie – Slovénie. </w:t>
      </w:r>
    </w:p>
    <w:p w14:paraId="6B31281E" w14:textId="77777777" w:rsidR="00553430" w:rsidRDefault="00553430">
      <w:pPr>
        <w:pStyle w:val="paragraph"/>
        <w:spacing w:before="0" w:beforeAutospacing="0" w:after="0" w:afterAutospacing="0"/>
        <w:jc w:val="both"/>
        <w:textAlignment w:val="baseline"/>
        <w:rPr>
          <w:rStyle w:val="normaltextrun"/>
          <w:b/>
          <w:bCs/>
          <w:noProof/>
        </w:rPr>
      </w:pPr>
    </w:p>
    <w:p w14:paraId="57DD0587" w14:textId="77777777" w:rsidR="00553430" w:rsidRDefault="00553430">
      <w:pPr>
        <w:rPr>
          <w:noProof/>
        </w:rPr>
      </w:pPr>
    </w:p>
    <w:p w14:paraId="5529E4FB" w14:textId="77777777" w:rsidR="00553430" w:rsidRDefault="00212577">
      <w:pPr>
        <w:tabs>
          <w:tab w:val="center" w:pos="4819"/>
        </w:tabs>
        <w:rPr>
          <w:noProof/>
        </w:rPr>
        <w:sectPr w:rsidR="00553430" w:rsidSect="00FA29B2">
          <w:headerReference w:type="even" r:id="rId423"/>
          <w:headerReference w:type="default" r:id="rId424"/>
          <w:footerReference w:type="even" r:id="rId425"/>
          <w:footerReference w:type="default" r:id="rId426"/>
          <w:headerReference w:type="first" r:id="rId427"/>
          <w:footerReference w:type="first" r:id="rId428"/>
          <w:pgSz w:w="11907" w:h="16839"/>
          <w:pgMar w:top="1134" w:right="1134" w:bottom="1134" w:left="1134" w:header="567" w:footer="567" w:gutter="0"/>
          <w:cols w:space="708"/>
          <w:docGrid w:linePitch="360"/>
        </w:sectPr>
      </w:pPr>
      <w:r>
        <w:rPr>
          <w:noProof/>
        </w:rPr>
        <w:tab/>
      </w:r>
    </w:p>
    <w:p w14:paraId="43426253" w14:textId="4E8AD745" w:rsidR="00553430" w:rsidRDefault="00212577">
      <w:pPr>
        <w:pStyle w:val="paragraph"/>
        <w:spacing w:before="0" w:beforeAutospacing="0" w:after="0" w:afterAutospacing="0"/>
        <w:jc w:val="both"/>
        <w:textAlignment w:val="baseline"/>
        <w:rPr>
          <w:rFonts w:ascii="Segoe UI" w:hAnsi="Segoe UI" w:cs="Segoe UI"/>
          <w:noProof/>
          <w:sz w:val="18"/>
          <w:szCs w:val="18"/>
          <w:u w:val="single"/>
        </w:rPr>
      </w:pPr>
      <w:r>
        <w:rPr>
          <w:rStyle w:val="normaltextrun"/>
          <w:b/>
          <w:noProof/>
          <w:u w:val="single"/>
        </w:rPr>
        <w:t xml:space="preserve">W.4. Étapes, objectifs, indicateurs et calendrier du suivi et de la mise en œuvre du prêt </w:t>
      </w:r>
    </w:p>
    <w:p w14:paraId="64C2EEA1" w14:textId="77777777" w:rsidR="00553430" w:rsidRDefault="00553430">
      <w:pPr>
        <w:pStyle w:val="paragraph"/>
        <w:spacing w:before="0" w:beforeAutospacing="0" w:after="0" w:afterAutospacing="0"/>
        <w:jc w:val="both"/>
        <w:textAlignment w:val="baseline"/>
        <w:rPr>
          <w:rStyle w:val="eop"/>
          <w:noProof/>
          <w:color w:val="4F81BD"/>
        </w:rPr>
      </w:pPr>
    </w:p>
    <w:tbl>
      <w:tblPr>
        <w:tblW w:w="15588" w:type="dxa"/>
        <w:jc w:val="center"/>
        <w:tblCellMar>
          <w:top w:w="28" w:type="dxa"/>
          <w:left w:w="28" w:type="dxa"/>
          <w:bottom w:w="28" w:type="dxa"/>
          <w:right w:w="28" w:type="dxa"/>
        </w:tblCellMar>
        <w:tblLook w:val="04A0" w:firstRow="1" w:lastRow="0" w:firstColumn="1" w:lastColumn="0" w:noHBand="0" w:noVBand="1"/>
      </w:tblPr>
      <w:tblGrid>
        <w:gridCol w:w="846"/>
        <w:gridCol w:w="1205"/>
        <w:gridCol w:w="1064"/>
        <w:gridCol w:w="2378"/>
        <w:gridCol w:w="1952"/>
        <w:gridCol w:w="1131"/>
        <w:gridCol w:w="868"/>
        <w:gridCol w:w="850"/>
        <w:gridCol w:w="893"/>
        <w:gridCol w:w="601"/>
        <w:gridCol w:w="4160"/>
      </w:tblGrid>
      <w:tr w:rsidR="00553430" w14:paraId="5501A2F3" w14:textId="77777777">
        <w:trPr>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498695" w14:textId="77777777" w:rsidR="00553430" w:rsidRDefault="00212577">
            <w:pPr>
              <w:pStyle w:val="P68B1DB1-Normal58"/>
              <w:spacing w:after="0" w:line="276" w:lineRule="auto"/>
              <w:jc w:val="center"/>
              <w:rPr>
                <w:bCs/>
                <w:noProof/>
              </w:rPr>
            </w:pPr>
            <w:r>
              <w:rPr>
                <w:noProof/>
              </w:rPr>
              <w:t>Numéro</w:t>
            </w:r>
          </w:p>
        </w:tc>
        <w:tc>
          <w:tcPr>
            <w:tcW w:w="120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BCD1C8" w14:textId="77777777" w:rsidR="00553430" w:rsidRDefault="00212577">
            <w:pPr>
              <w:pStyle w:val="P68B1DB1-Normal58"/>
              <w:spacing w:after="0" w:line="276" w:lineRule="auto"/>
              <w:jc w:val="center"/>
              <w:rPr>
                <w:bCs/>
                <w:noProof/>
              </w:rPr>
            </w:pPr>
            <w:r>
              <w:rPr>
                <w:noProof/>
              </w:rPr>
              <w:t>Mesure</w:t>
            </w:r>
          </w:p>
        </w:tc>
        <w:tc>
          <w:tcPr>
            <w:tcW w:w="106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C89C5B" w14:textId="77777777" w:rsidR="00553430" w:rsidRDefault="00212577">
            <w:pPr>
              <w:pStyle w:val="P68B1DB1-Normal58"/>
              <w:spacing w:after="0" w:line="276" w:lineRule="auto"/>
              <w:jc w:val="center"/>
              <w:rPr>
                <w:bCs/>
                <w:noProof/>
              </w:rPr>
            </w:pPr>
            <w:r>
              <w:rPr>
                <w:noProof/>
              </w:rPr>
              <w:t>Étape/cible</w:t>
            </w:r>
          </w:p>
        </w:tc>
        <w:tc>
          <w:tcPr>
            <w:tcW w:w="237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231976" w14:textId="77777777" w:rsidR="00553430" w:rsidRDefault="00212577">
            <w:pPr>
              <w:pStyle w:val="P68B1DB1-Normal58"/>
              <w:spacing w:after="0" w:line="276" w:lineRule="auto"/>
              <w:jc w:val="center"/>
              <w:rPr>
                <w:bCs/>
                <w:noProof/>
              </w:rPr>
            </w:pPr>
            <w:r>
              <w:rPr>
                <w:noProof/>
              </w:rPr>
              <w:t>Nom</w:t>
            </w:r>
          </w:p>
        </w:tc>
        <w:tc>
          <w:tcPr>
            <w:tcW w:w="19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94ABDE"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 xml:space="preserve">Indicateurs </w:t>
            </w:r>
            <w:r>
              <w:rPr>
                <w:rFonts w:ascii="Times New Roman" w:eastAsia="Times New Roman" w:hAnsi="Times New Roman" w:cs="Times New Roman"/>
                <w:b/>
                <w:noProof/>
              </w:rPr>
              <w:t>qualitatifs</w:t>
            </w:r>
            <w:r>
              <w:rPr>
                <w:rFonts w:ascii="Times New Roman" w:eastAsia="Calibri" w:hAnsi="Times New Roman" w:cs="Times New Roman"/>
                <w:noProof/>
              </w:rPr>
              <w:br/>
            </w:r>
            <w:r>
              <w:rPr>
                <w:rFonts w:ascii="Times New Roman" w:eastAsia="Times New Roman" w:hAnsi="Times New Roman" w:cs="Times New Roman"/>
                <w:b/>
                <w:noProof/>
              </w:rPr>
              <w:t>(pour les jalons)</w:t>
            </w:r>
          </w:p>
        </w:tc>
        <w:tc>
          <w:tcPr>
            <w:tcW w:w="284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C9241FB"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eastAsia="Calibri" w:hAnsi="Times New Roman" w:cs="Times New Roman"/>
                <w:noProof/>
              </w:rPr>
              <w:br/>
            </w:r>
            <w:r>
              <w:rPr>
                <w:rFonts w:ascii="Times New Roman" w:eastAsia="Times New Roman" w:hAnsi="Times New Roman" w:cs="Times New Roman"/>
                <w:b/>
                <w:noProof/>
              </w:rPr>
              <w:t>(pour les objectifs)</w:t>
            </w:r>
          </w:p>
        </w:tc>
        <w:tc>
          <w:tcPr>
            <w:tcW w:w="1134" w:type="dxa"/>
            <w:gridSpan w:val="2"/>
            <w:tcBorders>
              <w:top w:val="single" w:sz="4" w:space="0" w:color="auto"/>
              <w:left w:val="nil"/>
              <w:bottom w:val="single" w:sz="4" w:space="0" w:color="auto"/>
              <w:right w:val="single" w:sz="4" w:space="0" w:color="auto"/>
            </w:tcBorders>
            <w:shd w:val="clear" w:color="auto" w:fill="BDD7EE"/>
            <w:vAlign w:val="center"/>
            <w:hideMark/>
          </w:tcPr>
          <w:p w14:paraId="11FA2E53" w14:textId="77777777" w:rsidR="00553430" w:rsidRDefault="00212577">
            <w:pPr>
              <w:pStyle w:val="P68B1DB1-Normal58"/>
              <w:spacing w:after="0" w:line="276" w:lineRule="auto"/>
              <w:jc w:val="center"/>
              <w:rPr>
                <w:bCs/>
                <w:noProof/>
              </w:rPr>
            </w:pPr>
            <w:r>
              <w:rPr>
                <w:noProof/>
              </w:rPr>
              <w:t>Temps</w:t>
            </w:r>
          </w:p>
        </w:tc>
        <w:tc>
          <w:tcPr>
            <w:tcW w:w="41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CFEE9C" w14:textId="77777777" w:rsidR="00553430" w:rsidRDefault="00212577">
            <w:pPr>
              <w:pStyle w:val="P68B1DB1-Normal58"/>
              <w:spacing w:after="0" w:line="276" w:lineRule="auto"/>
              <w:jc w:val="center"/>
              <w:rPr>
                <w:bCs/>
                <w:noProof/>
              </w:rPr>
            </w:pPr>
            <w:r>
              <w:rPr>
                <w:noProof/>
              </w:rPr>
              <w:t>Description de chaque jalon et cible</w:t>
            </w:r>
          </w:p>
        </w:tc>
      </w:tr>
      <w:tr w:rsidR="00553430" w14:paraId="79C03EF7" w14:textId="77777777">
        <w:trPr>
          <w:tblHeader/>
          <w:jc w:val="center"/>
        </w:trPr>
        <w:tc>
          <w:tcPr>
            <w:tcW w:w="846" w:type="dxa"/>
            <w:vMerge/>
            <w:tcBorders>
              <w:top w:val="single" w:sz="4" w:space="0" w:color="auto"/>
              <w:left w:val="single" w:sz="4" w:space="0" w:color="auto"/>
              <w:bottom w:val="single" w:sz="4" w:space="0" w:color="auto"/>
              <w:right w:val="single" w:sz="4" w:space="0" w:color="auto"/>
            </w:tcBorders>
            <w:hideMark/>
          </w:tcPr>
          <w:p w14:paraId="3AD51AAC"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205" w:type="dxa"/>
            <w:vMerge/>
            <w:tcBorders>
              <w:top w:val="single" w:sz="4" w:space="0" w:color="auto"/>
              <w:left w:val="single" w:sz="4" w:space="0" w:color="auto"/>
              <w:bottom w:val="single" w:sz="4" w:space="0" w:color="auto"/>
              <w:right w:val="single" w:sz="4" w:space="0" w:color="auto"/>
            </w:tcBorders>
            <w:hideMark/>
          </w:tcPr>
          <w:p w14:paraId="1C6CFC86"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64" w:type="dxa"/>
            <w:vMerge/>
            <w:tcBorders>
              <w:top w:val="single" w:sz="4" w:space="0" w:color="auto"/>
              <w:left w:val="single" w:sz="4" w:space="0" w:color="auto"/>
              <w:bottom w:val="single" w:sz="4" w:space="0" w:color="auto"/>
              <w:right w:val="single" w:sz="4" w:space="0" w:color="auto"/>
            </w:tcBorders>
            <w:hideMark/>
          </w:tcPr>
          <w:p w14:paraId="1C205176"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2378" w:type="dxa"/>
            <w:vMerge/>
            <w:tcBorders>
              <w:top w:val="single" w:sz="4" w:space="0" w:color="auto"/>
              <w:left w:val="single" w:sz="4" w:space="0" w:color="auto"/>
              <w:bottom w:val="single" w:sz="4" w:space="0" w:color="auto"/>
              <w:right w:val="single" w:sz="4" w:space="0" w:color="auto"/>
            </w:tcBorders>
            <w:hideMark/>
          </w:tcPr>
          <w:p w14:paraId="1EE1D8DC" w14:textId="77777777" w:rsidR="00553430" w:rsidRDefault="00553430">
            <w:pPr>
              <w:spacing w:after="0" w:line="276" w:lineRule="auto"/>
              <w:rPr>
                <w:rFonts w:ascii="Times New Roman" w:eastAsia="Times New Roman" w:hAnsi="Times New Roman" w:cs="Times New Roman"/>
                <w:b/>
                <w:noProof/>
                <w:sz w:val="20"/>
                <w:szCs w:val="20"/>
              </w:rPr>
            </w:pPr>
          </w:p>
        </w:tc>
        <w:tc>
          <w:tcPr>
            <w:tcW w:w="1952" w:type="dxa"/>
            <w:vMerge/>
            <w:tcBorders>
              <w:top w:val="single" w:sz="4" w:space="0" w:color="auto"/>
              <w:left w:val="single" w:sz="4" w:space="0" w:color="auto"/>
              <w:bottom w:val="single" w:sz="4" w:space="0" w:color="auto"/>
              <w:right w:val="single" w:sz="4" w:space="0" w:color="auto"/>
            </w:tcBorders>
            <w:hideMark/>
          </w:tcPr>
          <w:p w14:paraId="59494437" w14:textId="77777777" w:rsidR="00553430" w:rsidRDefault="00553430">
            <w:pPr>
              <w:spacing w:after="0" w:line="276" w:lineRule="auto"/>
              <w:rPr>
                <w:rFonts w:ascii="Times New Roman" w:eastAsia="Times New Roman" w:hAnsi="Times New Roman" w:cs="Times New Roman"/>
                <w:b/>
                <w:noProof/>
                <w:sz w:val="20"/>
                <w:szCs w:val="20"/>
              </w:rPr>
            </w:pPr>
          </w:p>
        </w:tc>
        <w:tc>
          <w:tcPr>
            <w:tcW w:w="1131" w:type="dxa"/>
            <w:tcBorders>
              <w:top w:val="nil"/>
              <w:left w:val="single" w:sz="4" w:space="0" w:color="auto"/>
              <w:bottom w:val="single" w:sz="4" w:space="0" w:color="auto"/>
              <w:right w:val="single" w:sz="4" w:space="0" w:color="auto"/>
            </w:tcBorders>
            <w:shd w:val="clear" w:color="auto" w:fill="BDD7EE"/>
            <w:hideMark/>
          </w:tcPr>
          <w:p w14:paraId="6ACAD914" w14:textId="77777777" w:rsidR="00553430" w:rsidRDefault="00212577">
            <w:pPr>
              <w:pStyle w:val="P68B1DB1-Normal58"/>
              <w:spacing w:after="0" w:line="276" w:lineRule="auto"/>
              <w:jc w:val="center"/>
              <w:rPr>
                <w:bCs/>
                <w:noProof/>
              </w:rPr>
            </w:pPr>
            <w:r>
              <w:rPr>
                <w:noProof/>
              </w:rPr>
              <w:t>Unité</w:t>
            </w:r>
          </w:p>
        </w:tc>
        <w:tc>
          <w:tcPr>
            <w:tcW w:w="868" w:type="dxa"/>
            <w:tcBorders>
              <w:top w:val="nil"/>
              <w:left w:val="nil"/>
              <w:bottom w:val="single" w:sz="4" w:space="0" w:color="auto"/>
              <w:right w:val="single" w:sz="4" w:space="0" w:color="auto"/>
            </w:tcBorders>
            <w:shd w:val="clear" w:color="auto" w:fill="BDD7EE"/>
            <w:hideMark/>
          </w:tcPr>
          <w:p w14:paraId="02F6D213" w14:textId="77777777" w:rsidR="00553430" w:rsidRDefault="00212577">
            <w:pPr>
              <w:pStyle w:val="P68B1DB1-Normal58"/>
              <w:spacing w:after="0" w:line="276" w:lineRule="auto"/>
              <w:jc w:val="center"/>
              <w:rPr>
                <w:bCs/>
                <w:noProof/>
              </w:rPr>
            </w:pPr>
            <w:r>
              <w:rPr>
                <w:noProof/>
              </w:rPr>
              <w:t>Données de référence</w:t>
            </w:r>
          </w:p>
        </w:tc>
        <w:tc>
          <w:tcPr>
            <w:tcW w:w="850" w:type="dxa"/>
            <w:tcBorders>
              <w:top w:val="nil"/>
              <w:left w:val="nil"/>
              <w:bottom w:val="single" w:sz="4" w:space="0" w:color="auto"/>
              <w:right w:val="single" w:sz="4" w:space="0" w:color="auto"/>
            </w:tcBorders>
            <w:shd w:val="clear" w:color="auto" w:fill="BDD7EE"/>
            <w:hideMark/>
          </w:tcPr>
          <w:p w14:paraId="51E5D57A" w14:textId="77777777" w:rsidR="00553430" w:rsidRDefault="00212577">
            <w:pPr>
              <w:pStyle w:val="P68B1DB1-Normal58"/>
              <w:spacing w:after="0" w:line="276" w:lineRule="auto"/>
              <w:jc w:val="center"/>
              <w:rPr>
                <w:bCs/>
                <w:noProof/>
              </w:rPr>
            </w:pPr>
            <w:r>
              <w:rPr>
                <w:noProof/>
              </w:rPr>
              <w:t>Objectif</w:t>
            </w:r>
          </w:p>
        </w:tc>
        <w:tc>
          <w:tcPr>
            <w:tcW w:w="567" w:type="dxa"/>
            <w:tcBorders>
              <w:top w:val="nil"/>
              <w:left w:val="nil"/>
              <w:bottom w:val="single" w:sz="4" w:space="0" w:color="auto"/>
              <w:right w:val="single" w:sz="4" w:space="0" w:color="auto"/>
            </w:tcBorders>
            <w:shd w:val="clear" w:color="auto" w:fill="BDD7EE"/>
            <w:hideMark/>
          </w:tcPr>
          <w:p w14:paraId="793B9A76" w14:textId="77777777" w:rsidR="00553430" w:rsidRDefault="00212577">
            <w:pPr>
              <w:pStyle w:val="P68B1DB1-Normal58"/>
              <w:spacing w:after="0" w:line="276" w:lineRule="auto"/>
              <w:jc w:val="center"/>
              <w:rPr>
                <w:bCs/>
                <w:noProof/>
              </w:rPr>
            </w:pPr>
            <w:r>
              <w:rPr>
                <w:noProof/>
              </w:rPr>
              <w:t>Trimestre</w:t>
            </w:r>
          </w:p>
        </w:tc>
        <w:tc>
          <w:tcPr>
            <w:tcW w:w="567" w:type="dxa"/>
            <w:tcBorders>
              <w:top w:val="nil"/>
              <w:left w:val="nil"/>
              <w:bottom w:val="single" w:sz="4" w:space="0" w:color="auto"/>
              <w:right w:val="single" w:sz="4" w:space="0" w:color="auto"/>
            </w:tcBorders>
            <w:shd w:val="clear" w:color="auto" w:fill="BDD7EE"/>
            <w:hideMark/>
          </w:tcPr>
          <w:p w14:paraId="7EA19C58" w14:textId="77777777" w:rsidR="00553430" w:rsidRDefault="00212577">
            <w:pPr>
              <w:pStyle w:val="P68B1DB1-Normal58"/>
              <w:spacing w:after="0" w:line="276" w:lineRule="auto"/>
              <w:jc w:val="center"/>
              <w:rPr>
                <w:bCs/>
                <w:noProof/>
              </w:rPr>
            </w:pPr>
            <w:r>
              <w:rPr>
                <w:noProof/>
              </w:rPr>
              <w:t>Année</w:t>
            </w:r>
          </w:p>
        </w:tc>
        <w:tc>
          <w:tcPr>
            <w:tcW w:w="4160" w:type="dxa"/>
            <w:vMerge/>
            <w:tcBorders>
              <w:bottom w:val="single" w:sz="4" w:space="0" w:color="auto"/>
              <w:right w:val="single" w:sz="4" w:space="0" w:color="auto"/>
            </w:tcBorders>
            <w:hideMark/>
          </w:tcPr>
          <w:p w14:paraId="18F7E95C"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6244E3BC"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F3C940C" w14:textId="77777777" w:rsidR="00553430" w:rsidRDefault="00212577">
            <w:pPr>
              <w:pStyle w:val="P68B1DB1-Normal89"/>
              <w:spacing w:after="0" w:line="276" w:lineRule="auto"/>
              <w:jc w:val="center"/>
              <w:rPr>
                <w:noProof/>
              </w:rPr>
            </w:pPr>
            <w:r>
              <w:rPr>
                <w:noProof/>
              </w:rPr>
              <w:t>418</w:t>
            </w:r>
          </w:p>
        </w:tc>
        <w:tc>
          <w:tcPr>
            <w:tcW w:w="1205" w:type="dxa"/>
            <w:tcBorders>
              <w:top w:val="single" w:sz="4" w:space="0" w:color="auto"/>
              <w:left w:val="nil"/>
              <w:bottom w:val="single" w:sz="4" w:space="0" w:color="auto"/>
              <w:right w:val="single" w:sz="4" w:space="0" w:color="auto"/>
            </w:tcBorders>
            <w:shd w:val="clear" w:color="auto" w:fill="C6EFCE"/>
            <w:noWrap/>
          </w:tcPr>
          <w:p w14:paraId="32087630" w14:textId="77777777" w:rsidR="00553430" w:rsidRDefault="00212577">
            <w:pPr>
              <w:pStyle w:val="P68B1DB1-Normal102"/>
              <w:spacing w:after="200" w:line="276" w:lineRule="auto"/>
              <w:jc w:val="center"/>
              <w:rPr>
                <w:noProof/>
                <w:color w:val="000000" w:themeColor="text1"/>
              </w:rPr>
            </w:pPr>
            <w:r>
              <w:rPr>
                <w:noProof/>
              </w:rPr>
              <w:t>C7.1. R1-I4</w:t>
            </w:r>
          </w:p>
        </w:tc>
        <w:tc>
          <w:tcPr>
            <w:tcW w:w="1064" w:type="dxa"/>
            <w:tcBorders>
              <w:top w:val="single" w:sz="4" w:space="0" w:color="auto"/>
              <w:left w:val="nil"/>
              <w:bottom w:val="single" w:sz="4" w:space="0" w:color="auto"/>
              <w:right w:val="single" w:sz="4" w:space="0" w:color="auto"/>
            </w:tcBorders>
            <w:shd w:val="clear" w:color="auto" w:fill="C6EFCE"/>
            <w:noWrap/>
          </w:tcPr>
          <w:p w14:paraId="09AAE383" w14:textId="77777777" w:rsidR="00553430" w:rsidRDefault="00212577">
            <w:pPr>
              <w:pStyle w:val="P68B1DB1-Normal70"/>
              <w:spacing w:after="200" w:line="276" w:lineRule="auto"/>
              <w:jc w:val="center"/>
              <w:rPr>
                <w:noProof/>
                <w:color w:val="000000"/>
              </w:rPr>
            </w:pPr>
            <w:r>
              <w:rPr>
                <w:noProof/>
              </w:rPr>
              <w:t>M</w:t>
            </w:r>
          </w:p>
        </w:tc>
        <w:tc>
          <w:tcPr>
            <w:tcW w:w="2378" w:type="dxa"/>
            <w:tcBorders>
              <w:top w:val="single" w:sz="4" w:space="0" w:color="auto"/>
              <w:left w:val="nil"/>
              <w:bottom w:val="single" w:sz="4" w:space="0" w:color="auto"/>
              <w:right w:val="single" w:sz="4" w:space="0" w:color="auto"/>
            </w:tcBorders>
            <w:shd w:val="clear" w:color="auto" w:fill="C6EFCE"/>
            <w:noWrap/>
          </w:tcPr>
          <w:p w14:paraId="7BE6C46B" w14:textId="77777777" w:rsidR="00553430" w:rsidRDefault="00212577">
            <w:pPr>
              <w:pStyle w:val="P68B1DB1-Normal70"/>
              <w:spacing w:after="200" w:line="276" w:lineRule="auto"/>
              <w:rPr>
                <w:noProof/>
                <w:color w:val="000000"/>
              </w:rPr>
            </w:pPr>
            <w:r>
              <w:rPr>
                <w:noProof/>
              </w:rPr>
              <w:t>Infrastructures de recharge pour bus électriques</w:t>
            </w:r>
          </w:p>
        </w:tc>
        <w:tc>
          <w:tcPr>
            <w:tcW w:w="1952" w:type="dxa"/>
            <w:tcBorders>
              <w:top w:val="single" w:sz="4" w:space="0" w:color="auto"/>
              <w:left w:val="nil"/>
              <w:bottom w:val="single" w:sz="4" w:space="0" w:color="auto"/>
              <w:right w:val="single" w:sz="4" w:space="0" w:color="auto"/>
            </w:tcBorders>
            <w:shd w:val="clear" w:color="auto" w:fill="C6EFCE"/>
            <w:noWrap/>
          </w:tcPr>
          <w:p w14:paraId="5F0A470A" w14:textId="77777777" w:rsidR="00553430" w:rsidRDefault="00212577">
            <w:pPr>
              <w:pStyle w:val="P68B1DB1-Normal70"/>
              <w:spacing w:after="200" w:line="276" w:lineRule="auto"/>
              <w:rPr>
                <w:noProof/>
                <w:color w:val="000000"/>
              </w:rPr>
            </w:pPr>
            <w:r>
              <w:rPr>
                <w:noProof/>
              </w:rPr>
              <w:t>Infrastructures de recharge pour les bus électriques construits</w:t>
            </w:r>
          </w:p>
        </w:tc>
        <w:tc>
          <w:tcPr>
            <w:tcW w:w="1131" w:type="dxa"/>
            <w:tcBorders>
              <w:top w:val="single" w:sz="4" w:space="0" w:color="auto"/>
              <w:left w:val="nil"/>
              <w:bottom w:val="single" w:sz="4" w:space="0" w:color="auto"/>
              <w:right w:val="single" w:sz="4" w:space="0" w:color="auto"/>
            </w:tcBorders>
            <w:shd w:val="clear" w:color="auto" w:fill="C6EFCE"/>
            <w:noWrap/>
          </w:tcPr>
          <w:p w14:paraId="28542260"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868" w:type="dxa"/>
            <w:tcBorders>
              <w:top w:val="single" w:sz="4" w:space="0" w:color="auto"/>
              <w:left w:val="nil"/>
              <w:bottom w:val="single" w:sz="4" w:space="0" w:color="auto"/>
              <w:right w:val="single" w:sz="4" w:space="0" w:color="auto"/>
            </w:tcBorders>
            <w:shd w:val="clear" w:color="auto" w:fill="C6EFCE"/>
            <w:noWrap/>
          </w:tcPr>
          <w:p w14:paraId="3EB78B40"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2265EFF1" w14:textId="77777777" w:rsidR="00553430" w:rsidRDefault="00553430">
            <w:pPr>
              <w:spacing w:after="200" w:line="276" w:lineRule="auto"/>
              <w:jc w:val="center"/>
              <w:rPr>
                <w:rFonts w:ascii="Times New Roman" w:eastAsia="Calibri" w:hAnsi="Times New Roman" w:cs="Times New Roman"/>
                <w:noProof/>
                <w:color w:val="000000"/>
                <w:sz w:val="20"/>
                <w:szCs w:val="20"/>
              </w:rPr>
            </w:pPr>
          </w:p>
        </w:tc>
        <w:tc>
          <w:tcPr>
            <w:tcW w:w="567" w:type="dxa"/>
            <w:tcBorders>
              <w:top w:val="single" w:sz="4" w:space="0" w:color="auto"/>
              <w:left w:val="nil"/>
              <w:bottom w:val="single" w:sz="4" w:space="0" w:color="auto"/>
              <w:right w:val="single" w:sz="4" w:space="0" w:color="auto"/>
            </w:tcBorders>
            <w:shd w:val="clear" w:color="auto" w:fill="C6EFCE"/>
            <w:noWrap/>
          </w:tcPr>
          <w:p w14:paraId="3BB2B449" w14:textId="77777777" w:rsidR="00553430" w:rsidRDefault="00212577">
            <w:pPr>
              <w:pStyle w:val="P68B1DB1-Normal70"/>
              <w:spacing w:after="200" w:line="276" w:lineRule="auto"/>
              <w:jc w:val="center"/>
              <w:rPr>
                <w:noProof/>
                <w:color w:val="000000"/>
              </w:rPr>
            </w:pPr>
            <w:r>
              <w:rPr>
                <w:noProof/>
              </w:rPr>
              <w:t>T2</w:t>
            </w:r>
          </w:p>
        </w:tc>
        <w:tc>
          <w:tcPr>
            <w:tcW w:w="567" w:type="dxa"/>
            <w:tcBorders>
              <w:top w:val="single" w:sz="4" w:space="0" w:color="auto"/>
              <w:left w:val="nil"/>
              <w:bottom w:val="single" w:sz="4" w:space="0" w:color="auto"/>
              <w:right w:val="single" w:sz="4" w:space="0" w:color="auto"/>
            </w:tcBorders>
            <w:shd w:val="clear" w:color="auto" w:fill="C6EFCE"/>
            <w:noWrap/>
          </w:tcPr>
          <w:p w14:paraId="51BB3626" w14:textId="77777777" w:rsidR="00553430" w:rsidRDefault="00212577">
            <w:pPr>
              <w:pStyle w:val="P68B1DB1-Normal70"/>
              <w:spacing w:after="200" w:line="276" w:lineRule="auto"/>
              <w:jc w:val="center"/>
              <w:rPr>
                <w:noProof/>
                <w:color w:val="000000"/>
              </w:rPr>
            </w:pPr>
            <w:r>
              <w:rPr>
                <w:noProof/>
              </w:rPr>
              <w:t>2026</w:t>
            </w:r>
          </w:p>
        </w:tc>
        <w:tc>
          <w:tcPr>
            <w:tcW w:w="4160" w:type="dxa"/>
            <w:tcBorders>
              <w:top w:val="single" w:sz="4" w:space="0" w:color="auto"/>
              <w:left w:val="nil"/>
              <w:bottom w:val="single" w:sz="4" w:space="0" w:color="auto"/>
              <w:right w:val="single" w:sz="4" w:space="0" w:color="auto"/>
            </w:tcBorders>
            <w:shd w:val="clear" w:color="auto" w:fill="C6EFCE"/>
            <w:noWrap/>
          </w:tcPr>
          <w:p w14:paraId="161943A6" w14:textId="4DD84EF4" w:rsidR="00553430" w:rsidRDefault="00212577">
            <w:pPr>
              <w:pStyle w:val="P68B1DB1-Normal66"/>
              <w:spacing w:after="200" w:line="276" w:lineRule="auto"/>
              <w:rPr>
                <w:noProof/>
              </w:rPr>
            </w:pPr>
            <w:r>
              <w:rPr>
                <w:noProof/>
              </w:rPr>
              <w:t>La preuve de la construction d’au moins 150 points de charge pour les bus électriques doit être fournie.</w:t>
            </w:r>
          </w:p>
        </w:tc>
      </w:tr>
      <w:tr w:rsidR="00553430" w14:paraId="54814ECF"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07E1987D" w14:textId="77777777" w:rsidR="00553430" w:rsidRDefault="00212577">
            <w:pPr>
              <w:pStyle w:val="P68B1DB1-Normal89"/>
              <w:spacing w:after="0" w:line="276" w:lineRule="auto"/>
              <w:jc w:val="center"/>
              <w:rPr>
                <w:noProof/>
              </w:rPr>
            </w:pPr>
            <w:r>
              <w:rPr>
                <w:noProof/>
              </w:rPr>
              <w:t>55</w:t>
            </w:r>
          </w:p>
        </w:tc>
        <w:tc>
          <w:tcPr>
            <w:tcW w:w="1205" w:type="dxa"/>
            <w:tcBorders>
              <w:top w:val="single" w:sz="4" w:space="0" w:color="auto"/>
              <w:left w:val="nil"/>
              <w:bottom w:val="single" w:sz="4" w:space="0" w:color="auto"/>
              <w:right w:val="single" w:sz="4" w:space="0" w:color="auto"/>
            </w:tcBorders>
            <w:shd w:val="clear" w:color="auto" w:fill="C6EFCE"/>
            <w:noWrap/>
          </w:tcPr>
          <w:p w14:paraId="74A3AA2E" w14:textId="77777777" w:rsidR="00553430" w:rsidRDefault="00212577">
            <w:pPr>
              <w:pStyle w:val="P68B1DB1-Normal102"/>
              <w:spacing w:after="200" w:line="276" w:lineRule="auto"/>
              <w:jc w:val="center"/>
              <w:rPr>
                <w:noProof/>
                <w:color w:val="000000" w:themeColor="text1"/>
              </w:rPr>
            </w:pPr>
            <w:r>
              <w:rPr>
                <w:noProof/>
              </w:rPr>
              <w:t>C7.1. R1-I5</w:t>
            </w:r>
          </w:p>
        </w:tc>
        <w:tc>
          <w:tcPr>
            <w:tcW w:w="1064" w:type="dxa"/>
            <w:tcBorders>
              <w:top w:val="single" w:sz="4" w:space="0" w:color="auto"/>
              <w:left w:val="nil"/>
              <w:bottom w:val="single" w:sz="4" w:space="0" w:color="auto"/>
              <w:right w:val="single" w:sz="4" w:space="0" w:color="auto"/>
            </w:tcBorders>
            <w:shd w:val="clear" w:color="auto" w:fill="C6EFCE"/>
            <w:noWrap/>
          </w:tcPr>
          <w:p w14:paraId="45C49E72" w14:textId="77777777" w:rsidR="00553430" w:rsidRDefault="00212577">
            <w:pPr>
              <w:pStyle w:val="P68B1DB1-Normal66"/>
              <w:spacing w:after="200" w:line="276" w:lineRule="auto"/>
              <w:jc w:val="center"/>
              <w:rPr>
                <w:noProof/>
              </w:rPr>
            </w:pPr>
            <w:r>
              <w:rPr>
                <w:noProof/>
              </w:rPr>
              <w:t>M</w:t>
            </w:r>
          </w:p>
        </w:tc>
        <w:tc>
          <w:tcPr>
            <w:tcW w:w="2378" w:type="dxa"/>
            <w:tcBorders>
              <w:top w:val="single" w:sz="4" w:space="0" w:color="auto"/>
              <w:left w:val="nil"/>
              <w:bottom w:val="single" w:sz="4" w:space="0" w:color="auto"/>
              <w:right w:val="single" w:sz="4" w:space="0" w:color="auto"/>
            </w:tcBorders>
            <w:shd w:val="clear" w:color="auto" w:fill="C6EFCE"/>
            <w:noWrap/>
          </w:tcPr>
          <w:p w14:paraId="22FF5F72" w14:textId="77777777" w:rsidR="00553430" w:rsidRDefault="00212577">
            <w:pPr>
              <w:pStyle w:val="P68B1DB1-Normal66"/>
              <w:spacing w:after="200" w:line="276" w:lineRule="auto"/>
              <w:rPr>
                <w:noProof/>
              </w:rPr>
            </w:pPr>
            <w:r>
              <w:rPr>
                <w:noProof/>
              </w:rPr>
              <w:t xml:space="preserve">Adoption d'un plan pour la production et l'utilisation de </w:t>
            </w:r>
            <w:r>
              <w:rPr>
                <w:noProof/>
              </w:rPr>
              <w:t>biocarburants dans les transports</w:t>
            </w:r>
          </w:p>
        </w:tc>
        <w:tc>
          <w:tcPr>
            <w:tcW w:w="1952" w:type="dxa"/>
            <w:tcBorders>
              <w:top w:val="single" w:sz="4" w:space="0" w:color="auto"/>
              <w:left w:val="nil"/>
              <w:bottom w:val="single" w:sz="4" w:space="0" w:color="auto"/>
              <w:right w:val="single" w:sz="4" w:space="0" w:color="auto"/>
            </w:tcBorders>
            <w:shd w:val="clear" w:color="auto" w:fill="C6EFCE"/>
            <w:noWrap/>
          </w:tcPr>
          <w:p w14:paraId="39FD5EB3" w14:textId="77777777" w:rsidR="00553430" w:rsidRDefault="00212577">
            <w:pPr>
              <w:pStyle w:val="P68B1DB1-Normal66"/>
              <w:spacing w:after="200" w:line="276" w:lineRule="auto"/>
              <w:rPr>
                <w:noProof/>
              </w:rPr>
            </w:pPr>
            <w:r>
              <w:rPr>
                <w:noProof/>
              </w:rPr>
              <w:t>Entrée en vigueur du plan et du programme pour la production et l'utilisation de biocarburants dans les transports</w:t>
            </w:r>
          </w:p>
        </w:tc>
        <w:tc>
          <w:tcPr>
            <w:tcW w:w="1131" w:type="dxa"/>
            <w:tcBorders>
              <w:top w:val="single" w:sz="4" w:space="0" w:color="auto"/>
              <w:left w:val="nil"/>
              <w:bottom w:val="single" w:sz="4" w:space="0" w:color="auto"/>
              <w:right w:val="single" w:sz="4" w:space="0" w:color="auto"/>
            </w:tcBorders>
            <w:shd w:val="clear" w:color="auto" w:fill="C6EFCE"/>
            <w:noWrap/>
          </w:tcPr>
          <w:p w14:paraId="4826BB0A" w14:textId="77777777" w:rsidR="00553430" w:rsidRDefault="00212577">
            <w:pPr>
              <w:pStyle w:val="P68B1DB1-Normal66"/>
              <w:spacing w:after="200" w:line="276" w:lineRule="auto"/>
              <w:jc w:val="center"/>
              <w:rPr>
                <w:noProof/>
              </w:rPr>
            </w:pPr>
            <w:r>
              <w:rPr>
                <w:noProof/>
              </w:rPr>
              <w:t> </w:t>
            </w:r>
          </w:p>
        </w:tc>
        <w:tc>
          <w:tcPr>
            <w:tcW w:w="868" w:type="dxa"/>
            <w:tcBorders>
              <w:top w:val="single" w:sz="4" w:space="0" w:color="auto"/>
              <w:left w:val="nil"/>
              <w:bottom w:val="single" w:sz="4" w:space="0" w:color="auto"/>
              <w:right w:val="single" w:sz="4" w:space="0" w:color="auto"/>
            </w:tcBorders>
            <w:shd w:val="clear" w:color="auto" w:fill="C6EFCE"/>
            <w:noWrap/>
          </w:tcPr>
          <w:p w14:paraId="10E24973" w14:textId="77777777" w:rsidR="00553430" w:rsidRDefault="00212577">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542879F2" w14:textId="77777777" w:rsidR="00553430" w:rsidRDefault="00212577">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2FDB2975" w14:textId="77777777" w:rsidR="00553430" w:rsidRDefault="00212577">
            <w:pPr>
              <w:pStyle w:val="P68B1DB1-Normal66"/>
              <w:spacing w:after="200" w:line="276" w:lineRule="auto"/>
              <w:jc w:val="center"/>
              <w:rPr>
                <w:noProof/>
              </w:rPr>
            </w:pPr>
            <w:r>
              <w:rPr>
                <w:noProof/>
              </w:rPr>
              <w:t>T4</w:t>
            </w:r>
          </w:p>
        </w:tc>
        <w:tc>
          <w:tcPr>
            <w:tcW w:w="567" w:type="dxa"/>
            <w:tcBorders>
              <w:top w:val="single" w:sz="4" w:space="0" w:color="auto"/>
              <w:left w:val="nil"/>
              <w:bottom w:val="single" w:sz="4" w:space="0" w:color="auto"/>
              <w:right w:val="single" w:sz="4" w:space="0" w:color="auto"/>
            </w:tcBorders>
            <w:shd w:val="clear" w:color="auto" w:fill="C6EFCE"/>
            <w:noWrap/>
          </w:tcPr>
          <w:p w14:paraId="05D2409A" w14:textId="77777777" w:rsidR="00553430" w:rsidRDefault="00212577">
            <w:pPr>
              <w:pStyle w:val="P68B1DB1-Normal66"/>
              <w:spacing w:after="200" w:line="276" w:lineRule="auto"/>
              <w:jc w:val="center"/>
              <w:rPr>
                <w:noProof/>
              </w:rPr>
            </w:pPr>
            <w:r>
              <w:rPr>
                <w:noProof/>
              </w:rPr>
              <w:t>2023</w:t>
            </w:r>
          </w:p>
        </w:tc>
        <w:tc>
          <w:tcPr>
            <w:tcW w:w="4160" w:type="dxa"/>
            <w:tcBorders>
              <w:top w:val="single" w:sz="4" w:space="0" w:color="auto"/>
              <w:left w:val="nil"/>
              <w:bottom w:val="single" w:sz="4" w:space="0" w:color="auto"/>
              <w:right w:val="single" w:sz="4" w:space="0" w:color="auto"/>
            </w:tcBorders>
            <w:shd w:val="clear" w:color="auto" w:fill="C6EFCE"/>
            <w:noWrap/>
          </w:tcPr>
          <w:p w14:paraId="6E051847" w14:textId="77777777" w:rsidR="00553430" w:rsidRDefault="00212577">
            <w:pPr>
              <w:pStyle w:val="P68B1DB1-Normal66"/>
              <w:spacing w:after="200" w:line="276" w:lineRule="auto"/>
              <w:rPr>
                <w:noProof/>
              </w:rPr>
            </w:pPr>
            <w:r>
              <w:rPr>
                <w:noProof/>
              </w:rPr>
              <w:t>Le plan pour la production et l'utilisation de biocarburants dans les transports entre en vig</w:t>
            </w:r>
            <w:r>
              <w:rPr>
                <w:noProof/>
              </w:rPr>
              <w:t>ueur. Le plan définit une politique visant à promouvoir la production et l'utilisation de biocarburants avancés dans les transports en République de Croatie. Le plan comprend un examen et une évaluation continus de l'état du marché des biocarburants, de no</w:t>
            </w:r>
            <w:r>
              <w:rPr>
                <w:noProof/>
              </w:rPr>
              <w:t>uveaux modèles d'entreprise, de parties prenantes et de mesures visant à promouvoir une production et une utilisation accrues des biocarburants avancés dans les transports.</w:t>
            </w:r>
          </w:p>
        </w:tc>
      </w:tr>
      <w:tr w:rsidR="00553430" w14:paraId="5A231417"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FB92E24" w14:textId="77777777" w:rsidR="00553430" w:rsidRDefault="00212577">
            <w:pPr>
              <w:pStyle w:val="P68B1DB1-Normal89"/>
              <w:spacing w:after="0" w:line="276" w:lineRule="auto"/>
              <w:jc w:val="center"/>
              <w:rPr>
                <w:rFonts w:eastAsia="Calibri"/>
                <w:noProof/>
              </w:rPr>
            </w:pPr>
            <w:r>
              <w:rPr>
                <w:noProof/>
              </w:rPr>
              <w:t>419</w:t>
            </w:r>
          </w:p>
        </w:tc>
        <w:tc>
          <w:tcPr>
            <w:tcW w:w="1205" w:type="dxa"/>
            <w:tcBorders>
              <w:top w:val="single" w:sz="4" w:space="0" w:color="auto"/>
              <w:left w:val="nil"/>
              <w:bottom w:val="single" w:sz="4" w:space="0" w:color="auto"/>
              <w:right w:val="single" w:sz="4" w:space="0" w:color="auto"/>
            </w:tcBorders>
            <w:shd w:val="clear" w:color="auto" w:fill="C6EFCE"/>
            <w:noWrap/>
          </w:tcPr>
          <w:p w14:paraId="7E2C1E33" w14:textId="77777777" w:rsidR="00553430" w:rsidRDefault="00212577">
            <w:pPr>
              <w:pStyle w:val="P68B1DB1-Normal102"/>
              <w:spacing w:after="200" w:line="276" w:lineRule="auto"/>
              <w:jc w:val="center"/>
              <w:rPr>
                <w:rFonts w:eastAsia="Calibri"/>
                <w:noProof/>
              </w:rPr>
            </w:pPr>
            <w:r>
              <w:rPr>
                <w:noProof/>
              </w:rPr>
              <w:t>C7.1. R1-I6</w:t>
            </w:r>
          </w:p>
        </w:tc>
        <w:tc>
          <w:tcPr>
            <w:tcW w:w="1064" w:type="dxa"/>
            <w:tcBorders>
              <w:top w:val="single" w:sz="4" w:space="0" w:color="auto"/>
              <w:left w:val="nil"/>
              <w:bottom w:val="single" w:sz="4" w:space="0" w:color="auto"/>
              <w:right w:val="single" w:sz="4" w:space="0" w:color="auto"/>
            </w:tcBorders>
            <w:shd w:val="clear" w:color="auto" w:fill="C6EFCE"/>
            <w:noWrap/>
          </w:tcPr>
          <w:p w14:paraId="7D8F85EE" w14:textId="77777777" w:rsidR="00553430" w:rsidRDefault="00212577">
            <w:pPr>
              <w:pStyle w:val="P68B1DB1-Normal70"/>
              <w:spacing w:after="200" w:line="276" w:lineRule="auto"/>
              <w:jc w:val="center"/>
              <w:rPr>
                <w:noProof/>
              </w:rPr>
            </w:pPr>
            <w:r>
              <w:rPr>
                <w:noProof/>
              </w:rPr>
              <w:t>T</w:t>
            </w:r>
          </w:p>
        </w:tc>
        <w:tc>
          <w:tcPr>
            <w:tcW w:w="2378" w:type="dxa"/>
            <w:tcBorders>
              <w:top w:val="single" w:sz="4" w:space="0" w:color="auto"/>
              <w:left w:val="nil"/>
              <w:bottom w:val="single" w:sz="4" w:space="0" w:color="auto"/>
              <w:right w:val="single" w:sz="4" w:space="0" w:color="auto"/>
            </w:tcBorders>
            <w:shd w:val="clear" w:color="auto" w:fill="C6EFCE"/>
            <w:noWrap/>
          </w:tcPr>
          <w:p w14:paraId="061201F6" w14:textId="77777777" w:rsidR="00553430" w:rsidRDefault="00212577">
            <w:pPr>
              <w:pStyle w:val="P68B1DB1-Normal70"/>
              <w:spacing w:after="200" w:line="276" w:lineRule="auto"/>
              <w:rPr>
                <w:noProof/>
              </w:rPr>
            </w:pPr>
            <w:r>
              <w:rPr>
                <w:noProof/>
              </w:rPr>
              <w:t>Remplacement des transformateurs électriques</w:t>
            </w:r>
          </w:p>
        </w:tc>
        <w:tc>
          <w:tcPr>
            <w:tcW w:w="1952" w:type="dxa"/>
            <w:tcBorders>
              <w:top w:val="single" w:sz="4" w:space="0" w:color="auto"/>
              <w:left w:val="nil"/>
              <w:bottom w:val="single" w:sz="4" w:space="0" w:color="auto"/>
              <w:right w:val="single" w:sz="4" w:space="0" w:color="auto"/>
            </w:tcBorders>
            <w:shd w:val="clear" w:color="auto" w:fill="C6EFCE"/>
            <w:noWrap/>
          </w:tcPr>
          <w:p w14:paraId="7BE1EFA3" w14:textId="77777777" w:rsidR="00553430" w:rsidRDefault="00553430">
            <w:pPr>
              <w:spacing w:after="200" w:line="276" w:lineRule="auto"/>
              <w:rPr>
                <w:rFonts w:ascii="Times New Roman" w:eastAsia="Calibri" w:hAnsi="Times New Roman" w:cs="Times New Roman"/>
                <w:noProof/>
                <w:sz w:val="20"/>
                <w:szCs w:val="20"/>
              </w:rPr>
            </w:pPr>
          </w:p>
        </w:tc>
        <w:tc>
          <w:tcPr>
            <w:tcW w:w="1131" w:type="dxa"/>
            <w:tcBorders>
              <w:top w:val="single" w:sz="4" w:space="0" w:color="auto"/>
              <w:left w:val="nil"/>
              <w:bottom w:val="single" w:sz="4" w:space="0" w:color="auto"/>
              <w:right w:val="single" w:sz="4" w:space="0" w:color="auto"/>
            </w:tcBorders>
            <w:shd w:val="clear" w:color="auto" w:fill="C6EFCE"/>
            <w:noWrap/>
          </w:tcPr>
          <w:p w14:paraId="25B3460A" w14:textId="77777777" w:rsidR="00553430" w:rsidRDefault="00212577">
            <w:pPr>
              <w:pStyle w:val="P68B1DB1-Normal66"/>
              <w:spacing w:after="200" w:line="276" w:lineRule="auto"/>
              <w:jc w:val="center"/>
              <w:rPr>
                <w:noProof/>
              </w:rPr>
            </w:pPr>
            <w:r>
              <w:rPr>
                <w:noProof/>
              </w:rPr>
              <w:t>Numéro</w:t>
            </w:r>
          </w:p>
        </w:tc>
        <w:tc>
          <w:tcPr>
            <w:tcW w:w="868" w:type="dxa"/>
            <w:tcBorders>
              <w:top w:val="single" w:sz="4" w:space="0" w:color="auto"/>
              <w:left w:val="nil"/>
              <w:bottom w:val="single" w:sz="4" w:space="0" w:color="auto"/>
              <w:right w:val="single" w:sz="4" w:space="0" w:color="auto"/>
            </w:tcBorders>
            <w:shd w:val="clear" w:color="auto" w:fill="C6EFCE"/>
            <w:noWrap/>
          </w:tcPr>
          <w:p w14:paraId="6992B0FE" w14:textId="77777777" w:rsidR="00553430" w:rsidRDefault="00212577">
            <w:pPr>
              <w:pStyle w:val="P68B1DB1-Normal70"/>
              <w:spacing w:after="200" w:line="276" w:lineRule="auto"/>
              <w:jc w:val="center"/>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3B9CE56D" w14:textId="77777777" w:rsidR="00553430" w:rsidRDefault="00212577">
            <w:pPr>
              <w:pStyle w:val="P68B1DB1-Normal70"/>
              <w:spacing w:after="200" w:line="276" w:lineRule="auto"/>
              <w:jc w:val="center"/>
              <w:rPr>
                <w:noProof/>
              </w:rPr>
            </w:pPr>
            <w:r>
              <w:rPr>
                <w:noProof/>
              </w:rPr>
              <w:t>8</w:t>
            </w:r>
          </w:p>
        </w:tc>
        <w:tc>
          <w:tcPr>
            <w:tcW w:w="567" w:type="dxa"/>
            <w:tcBorders>
              <w:top w:val="single" w:sz="4" w:space="0" w:color="auto"/>
              <w:left w:val="nil"/>
              <w:bottom w:val="single" w:sz="4" w:space="0" w:color="auto"/>
              <w:right w:val="single" w:sz="4" w:space="0" w:color="auto"/>
            </w:tcBorders>
            <w:shd w:val="clear" w:color="auto" w:fill="C6EFCE"/>
            <w:noWrap/>
          </w:tcPr>
          <w:p w14:paraId="0D1A68AF" w14:textId="77777777" w:rsidR="00553430" w:rsidRDefault="00212577">
            <w:pPr>
              <w:pStyle w:val="P68B1DB1-Normal70"/>
              <w:spacing w:after="200" w:line="276" w:lineRule="auto"/>
              <w:jc w:val="center"/>
              <w:rPr>
                <w:noProof/>
              </w:rPr>
            </w:pPr>
            <w:r>
              <w:rPr>
                <w:noProof/>
              </w:rPr>
              <w:t>T2</w:t>
            </w:r>
          </w:p>
        </w:tc>
        <w:tc>
          <w:tcPr>
            <w:tcW w:w="567" w:type="dxa"/>
            <w:tcBorders>
              <w:top w:val="single" w:sz="4" w:space="0" w:color="auto"/>
              <w:left w:val="nil"/>
              <w:bottom w:val="single" w:sz="4" w:space="0" w:color="auto"/>
              <w:right w:val="single" w:sz="4" w:space="0" w:color="auto"/>
            </w:tcBorders>
            <w:shd w:val="clear" w:color="auto" w:fill="C6EFCE"/>
            <w:noWrap/>
          </w:tcPr>
          <w:p w14:paraId="492EAC22" w14:textId="77777777" w:rsidR="00553430" w:rsidRDefault="00212577">
            <w:pPr>
              <w:pStyle w:val="P68B1DB1-Normal70"/>
              <w:spacing w:after="200" w:line="276" w:lineRule="auto"/>
              <w:jc w:val="center"/>
              <w:rPr>
                <w:noProof/>
              </w:rPr>
            </w:pPr>
            <w:r>
              <w:rPr>
                <w:noProof/>
              </w:rPr>
              <w:t>2026</w:t>
            </w:r>
          </w:p>
        </w:tc>
        <w:tc>
          <w:tcPr>
            <w:tcW w:w="4160" w:type="dxa"/>
            <w:tcBorders>
              <w:top w:val="single" w:sz="4" w:space="0" w:color="auto"/>
              <w:left w:val="nil"/>
              <w:bottom w:val="single" w:sz="4" w:space="0" w:color="auto"/>
              <w:right w:val="single" w:sz="4" w:space="0" w:color="auto"/>
            </w:tcBorders>
            <w:shd w:val="clear" w:color="auto" w:fill="C6EFCE"/>
            <w:noWrap/>
          </w:tcPr>
          <w:p w14:paraId="1E8E74C9" w14:textId="57B243DB" w:rsidR="00553430" w:rsidRDefault="00212577">
            <w:pPr>
              <w:pStyle w:val="P68B1DB1-Normal70"/>
              <w:spacing w:after="200" w:line="276" w:lineRule="auto"/>
              <w:rPr>
                <w:noProof/>
              </w:rPr>
            </w:pPr>
            <w:r>
              <w:rPr>
                <w:noProof/>
              </w:rPr>
              <w:t>Au moins huit vieux transformateurs électriques du réseau de transport doivent être remplacés.</w:t>
            </w:r>
          </w:p>
        </w:tc>
      </w:tr>
      <w:tr w:rsidR="00553430" w14:paraId="6AA19A17"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0EC6A4BA" w14:textId="77777777" w:rsidR="00553430" w:rsidRDefault="00212577">
            <w:pPr>
              <w:pStyle w:val="P68B1DB1-Normal89"/>
              <w:spacing w:after="0" w:line="276" w:lineRule="auto"/>
              <w:jc w:val="center"/>
              <w:rPr>
                <w:noProof/>
              </w:rPr>
            </w:pPr>
            <w:r>
              <w:rPr>
                <w:noProof/>
              </w:rPr>
              <w:t>420</w:t>
            </w:r>
          </w:p>
        </w:tc>
        <w:tc>
          <w:tcPr>
            <w:tcW w:w="1205" w:type="dxa"/>
            <w:tcBorders>
              <w:top w:val="single" w:sz="4" w:space="0" w:color="auto"/>
              <w:left w:val="nil"/>
              <w:bottom w:val="single" w:sz="4" w:space="0" w:color="auto"/>
              <w:right w:val="single" w:sz="4" w:space="0" w:color="auto"/>
            </w:tcBorders>
            <w:shd w:val="clear" w:color="auto" w:fill="C6EFCE"/>
            <w:noWrap/>
          </w:tcPr>
          <w:p w14:paraId="75AA3C66" w14:textId="77777777" w:rsidR="00553430" w:rsidRDefault="00212577">
            <w:pPr>
              <w:pStyle w:val="P68B1DB1-Normal102"/>
              <w:spacing w:after="200" w:line="276" w:lineRule="auto"/>
              <w:jc w:val="center"/>
              <w:rPr>
                <w:noProof/>
                <w:color w:val="000000" w:themeColor="text1"/>
              </w:rPr>
            </w:pPr>
            <w:r>
              <w:rPr>
                <w:noProof/>
              </w:rPr>
              <w:t>C7.1. R1-I6</w:t>
            </w:r>
          </w:p>
        </w:tc>
        <w:tc>
          <w:tcPr>
            <w:tcW w:w="1064" w:type="dxa"/>
            <w:tcBorders>
              <w:top w:val="single" w:sz="4" w:space="0" w:color="auto"/>
              <w:left w:val="nil"/>
              <w:bottom w:val="single" w:sz="4" w:space="0" w:color="auto"/>
              <w:right w:val="single" w:sz="4" w:space="0" w:color="auto"/>
            </w:tcBorders>
            <w:shd w:val="clear" w:color="auto" w:fill="C6EFCE"/>
            <w:noWrap/>
          </w:tcPr>
          <w:p w14:paraId="1EDC042D" w14:textId="77777777" w:rsidR="00553430" w:rsidRDefault="00212577">
            <w:pPr>
              <w:pStyle w:val="P68B1DB1-Normal70"/>
              <w:spacing w:after="200" w:line="276" w:lineRule="auto"/>
              <w:jc w:val="center"/>
              <w:rPr>
                <w:noProof/>
              </w:rPr>
            </w:pPr>
            <w:r>
              <w:rPr>
                <w:noProof/>
              </w:rPr>
              <w:t>T</w:t>
            </w:r>
          </w:p>
        </w:tc>
        <w:tc>
          <w:tcPr>
            <w:tcW w:w="2378" w:type="dxa"/>
            <w:tcBorders>
              <w:top w:val="single" w:sz="4" w:space="0" w:color="auto"/>
              <w:left w:val="nil"/>
              <w:bottom w:val="single" w:sz="4" w:space="0" w:color="auto"/>
              <w:right w:val="single" w:sz="4" w:space="0" w:color="auto"/>
            </w:tcBorders>
            <w:shd w:val="clear" w:color="auto" w:fill="C6EFCE"/>
            <w:noWrap/>
          </w:tcPr>
          <w:p w14:paraId="7998F435" w14:textId="6CE218E0" w:rsidR="00553430" w:rsidRDefault="00212577">
            <w:pPr>
              <w:pStyle w:val="P68B1DB1-Normal70"/>
              <w:spacing w:after="200" w:line="276" w:lineRule="auto"/>
              <w:rPr>
                <w:noProof/>
              </w:rPr>
            </w:pPr>
            <w:r>
              <w:rPr>
                <w:noProof/>
              </w:rPr>
              <w:t xml:space="preserve">Reconstruction de sous-stations </w:t>
            </w:r>
          </w:p>
        </w:tc>
        <w:tc>
          <w:tcPr>
            <w:tcW w:w="1952" w:type="dxa"/>
            <w:tcBorders>
              <w:top w:val="single" w:sz="4" w:space="0" w:color="auto"/>
              <w:left w:val="nil"/>
              <w:bottom w:val="single" w:sz="4" w:space="0" w:color="auto"/>
              <w:right w:val="single" w:sz="4" w:space="0" w:color="auto"/>
            </w:tcBorders>
            <w:shd w:val="clear" w:color="auto" w:fill="C6EFCE"/>
            <w:noWrap/>
          </w:tcPr>
          <w:p w14:paraId="7BDD887E" w14:textId="77777777" w:rsidR="00553430" w:rsidRDefault="00553430">
            <w:pPr>
              <w:spacing w:after="200" w:line="276" w:lineRule="auto"/>
              <w:rPr>
                <w:rFonts w:ascii="Times New Roman" w:eastAsia="Calibri" w:hAnsi="Times New Roman" w:cs="Times New Roman"/>
                <w:noProof/>
                <w:sz w:val="20"/>
                <w:szCs w:val="20"/>
              </w:rPr>
            </w:pPr>
          </w:p>
        </w:tc>
        <w:tc>
          <w:tcPr>
            <w:tcW w:w="1131" w:type="dxa"/>
            <w:tcBorders>
              <w:top w:val="single" w:sz="4" w:space="0" w:color="auto"/>
              <w:left w:val="nil"/>
              <w:bottom w:val="single" w:sz="4" w:space="0" w:color="auto"/>
              <w:right w:val="single" w:sz="4" w:space="0" w:color="auto"/>
            </w:tcBorders>
            <w:shd w:val="clear" w:color="auto" w:fill="C6EFCE"/>
            <w:noWrap/>
          </w:tcPr>
          <w:p w14:paraId="7CCA31B2" w14:textId="77777777" w:rsidR="00553430" w:rsidRDefault="00212577">
            <w:pPr>
              <w:pStyle w:val="P68B1DB1-Normal66"/>
              <w:spacing w:after="200" w:line="276" w:lineRule="auto"/>
              <w:jc w:val="center"/>
              <w:rPr>
                <w:noProof/>
              </w:rPr>
            </w:pPr>
            <w:r>
              <w:rPr>
                <w:noProof/>
              </w:rPr>
              <w:t>Numéro</w:t>
            </w:r>
          </w:p>
        </w:tc>
        <w:tc>
          <w:tcPr>
            <w:tcW w:w="868" w:type="dxa"/>
            <w:tcBorders>
              <w:top w:val="single" w:sz="4" w:space="0" w:color="auto"/>
              <w:left w:val="nil"/>
              <w:bottom w:val="single" w:sz="4" w:space="0" w:color="auto"/>
              <w:right w:val="single" w:sz="4" w:space="0" w:color="auto"/>
            </w:tcBorders>
            <w:shd w:val="clear" w:color="auto" w:fill="C6EFCE"/>
            <w:noWrap/>
          </w:tcPr>
          <w:p w14:paraId="73E17777" w14:textId="77777777" w:rsidR="00553430" w:rsidRDefault="00212577">
            <w:pPr>
              <w:pStyle w:val="P68B1DB1-Normal70"/>
              <w:spacing w:after="200" w:line="276" w:lineRule="auto"/>
              <w:jc w:val="center"/>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2BB10F89" w14:textId="77777777" w:rsidR="00553430" w:rsidRDefault="00212577">
            <w:pPr>
              <w:pStyle w:val="P68B1DB1-Normal70"/>
              <w:spacing w:after="200" w:line="276" w:lineRule="auto"/>
              <w:jc w:val="center"/>
              <w:rPr>
                <w:noProof/>
              </w:rPr>
            </w:pPr>
            <w:r>
              <w:rPr>
                <w:noProof/>
              </w:rPr>
              <w:t>2</w:t>
            </w:r>
          </w:p>
        </w:tc>
        <w:tc>
          <w:tcPr>
            <w:tcW w:w="567" w:type="dxa"/>
            <w:tcBorders>
              <w:top w:val="single" w:sz="4" w:space="0" w:color="auto"/>
              <w:left w:val="nil"/>
              <w:bottom w:val="single" w:sz="4" w:space="0" w:color="auto"/>
              <w:right w:val="single" w:sz="4" w:space="0" w:color="auto"/>
            </w:tcBorders>
            <w:shd w:val="clear" w:color="auto" w:fill="C6EFCE"/>
            <w:noWrap/>
          </w:tcPr>
          <w:p w14:paraId="42ADC5A0" w14:textId="77777777" w:rsidR="00553430" w:rsidRDefault="00212577">
            <w:pPr>
              <w:pStyle w:val="P68B1DB1-Normal70"/>
              <w:spacing w:after="200" w:line="276" w:lineRule="auto"/>
              <w:jc w:val="center"/>
              <w:rPr>
                <w:noProof/>
              </w:rPr>
            </w:pPr>
            <w:r>
              <w:rPr>
                <w:noProof/>
              </w:rPr>
              <w:t>T2</w:t>
            </w:r>
          </w:p>
        </w:tc>
        <w:tc>
          <w:tcPr>
            <w:tcW w:w="567" w:type="dxa"/>
            <w:tcBorders>
              <w:top w:val="single" w:sz="4" w:space="0" w:color="auto"/>
              <w:left w:val="nil"/>
              <w:bottom w:val="single" w:sz="4" w:space="0" w:color="auto"/>
              <w:right w:val="single" w:sz="4" w:space="0" w:color="auto"/>
            </w:tcBorders>
            <w:shd w:val="clear" w:color="auto" w:fill="C6EFCE"/>
            <w:noWrap/>
          </w:tcPr>
          <w:p w14:paraId="1F835036" w14:textId="77777777" w:rsidR="00553430" w:rsidRDefault="00212577">
            <w:pPr>
              <w:pStyle w:val="P68B1DB1-Normal70"/>
              <w:spacing w:after="200" w:line="276" w:lineRule="auto"/>
              <w:jc w:val="center"/>
              <w:rPr>
                <w:noProof/>
              </w:rPr>
            </w:pPr>
            <w:r>
              <w:rPr>
                <w:noProof/>
              </w:rPr>
              <w:t>2026</w:t>
            </w:r>
          </w:p>
        </w:tc>
        <w:tc>
          <w:tcPr>
            <w:tcW w:w="4160" w:type="dxa"/>
            <w:tcBorders>
              <w:top w:val="single" w:sz="4" w:space="0" w:color="auto"/>
              <w:left w:val="nil"/>
              <w:bottom w:val="single" w:sz="4" w:space="0" w:color="auto"/>
              <w:right w:val="single" w:sz="4" w:space="0" w:color="auto"/>
            </w:tcBorders>
            <w:shd w:val="clear" w:color="auto" w:fill="C6EFCE"/>
            <w:noWrap/>
          </w:tcPr>
          <w:p w14:paraId="0BA8ED3B" w14:textId="24988474" w:rsidR="00553430" w:rsidRDefault="00212577">
            <w:pPr>
              <w:pStyle w:val="P68B1DB1-Normal70"/>
              <w:spacing w:after="200" w:line="276" w:lineRule="auto"/>
              <w:rPr>
                <w:noProof/>
              </w:rPr>
            </w:pPr>
            <w:r>
              <w:rPr>
                <w:noProof/>
              </w:rPr>
              <w:t>Au moins deux sous-stations de 110 kV doivent être reconstruites.</w:t>
            </w:r>
          </w:p>
        </w:tc>
      </w:tr>
      <w:tr w:rsidR="00553430" w14:paraId="10F3C3C1"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4A16442" w14:textId="77777777" w:rsidR="00553430" w:rsidRDefault="00212577">
            <w:pPr>
              <w:pStyle w:val="P68B1DB1-Normal89"/>
              <w:spacing w:after="0" w:line="276" w:lineRule="auto"/>
              <w:jc w:val="center"/>
              <w:rPr>
                <w:rFonts w:eastAsia="Calibri"/>
                <w:noProof/>
              </w:rPr>
            </w:pPr>
            <w:r>
              <w:rPr>
                <w:noProof/>
              </w:rPr>
              <w:t>421</w:t>
            </w:r>
          </w:p>
        </w:tc>
        <w:tc>
          <w:tcPr>
            <w:tcW w:w="1205" w:type="dxa"/>
            <w:tcBorders>
              <w:top w:val="single" w:sz="4" w:space="0" w:color="auto"/>
              <w:left w:val="nil"/>
              <w:bottom w:val="single" w:sz="4" w:space="0" w:color="auto"/>
              <w:right w:val="single" w:sz="4" w:space="0" w:color="auto"/>
            </w:tcBorders>
            <w:shd w:val="clear" w:color="auto" w:fill="C6EFCE"/>
            <w:noWrap/>
          </w:tcPr>
          <w:p w14:paraId="4E901423" w14:textId="77777777" w:rsidR="00553430" w:rsidRDefault="00212577">
            <w:pPr>
              <w:pStyle w:val="P68B1DB1-Normal102"/>
              <w:spacing w:after="200" w:line="276" w:lineRule="auto"/>
              <w:jc w:val="center"/>
              <w:rPr>
                <w:rFonts w:eastAsia="Calibri"/>
                <w:noProof/>
              </w:rPr>
            </w:pPr>
            <w:r>
              <w:rPr>
                <w:noProof/>
              </w:rPr>
              <w:t>C7.1. I3</w:t>
            </w:r>
          </w:p>
        </w:tc>
        <w:tc>
          <w:tcPr>
            <w:tcW w:w="1064" w:type="dxa"/>
            <w:tcBorders>
              <w:top w:val="single" w:sz="4" w:space="0" w:color="auto"/>
              <w:left w:val="nil"/>
              <w:bottom w:val="single" w:sz="4" w:space="0" w:color="auto"/>
              <w:right w:val="single" w:sz="4" w:space="0" w:color="auto"/>
            </w:tcBorders>
            <w:shd w:val="clear" w:color="auto" w:fill="C6EFCE"/>
            <w:noWrap/>
          </w:tcPr>
          <w:p w14:paraId="08616C98" w14:textId="77777777" w:rsidR="00553430" w:rsidRDefault="00212577">
            <w:pPr>
              <w:pStyle w:val="P68B1DB1-Normal70"/>
              <w:spacing w:after="200" w:line="276" w:lineRule="auto"/>
              <w:jc w:val="center"/>
              <w:rPr>
                <w:noProof/>
              </w:rPr>
            </w:pPr>
            <w:r>
              <w:rPr>
                <w:noProof/>
              </w:rPr>
              <w:t>M</w:t>
            </w:r>
          </w:p>
        </w:tc>
        <w:tc>
          <w:tcPr>
            <w:tcW w:w="2378" w:type="dxa"/>
            <w:tcBorders>
              <w:top w:val="single" w:sz="4" w:space="0" w:color="auto"/>
              <w:left w:val="nil"/>
              <w:bottom w:val="single" w:sz="4" w:space="0" w:color="auto"/>
              <w:right w:val="single" w:sz="4" w:space="0" w:color="auto"/>
            </w:tcBorders>
            <w:shd w:val="clear" w:color="auto" w:fill="C6EFCE"/>
            <w:noWrap/>
          </w:tcPr>
          <w:p w14:paraId="1C8FA996" w14:textId="77777777" w:rsidR="00553430" w:rsidRDefault="00212577">
            <w:pPr>
              <w:pStyle w:val="P68B1DB1-Normal70"/>
              <w:spacing w:after="200" w:line="276" w:lineRule="auto"/>
              <w:rPr>
                <w:noProof/>
              </w:rPr>
            </w:pPr>
            <w:r>
              <w:rPr>
                <w:noProof/>
              </w:rPr>
              <w:t>Contrat d'équipement pour l'agrandissement du terminal GNL sur l'île de Krk</w:t>
            </w:r>
          </w:p>
        </w:tc>
        <w:tc>
          <w:tcPr>
            <w:tcW w:w="1952" w:type="dxa"/>
            <w:tcBorders>
              <w:top w:val="single" w:sz="4" w:space="0" w:color="auto"/>
              <w:left w:val="nil"/>
              <w:bottom w:val="single" w:sz="4" w:space="0" w:color="auto"/>
              <w:right w:val="single" w:sz="4" w:space="0" w:color="auto"/>
            </w:tcBorders>
            <w:shd w:val="clear" w:color="auto" w:fill="C6EFCE"/>
            <w:noWrap/>
          </w:tcPr>
          <w:p w14:paraId="4E6992F8" w14:textId="77777777" w:rsidR="00553430" w:rsidRDefault="00212577">
            <w:pPr>
              <w:pStyle w:val="P68B1DB1-Normal70"/>
              <w:spacing w:after="200" w:line="276" w:lineRule="auto"/>
              <w:rPr>
                <w:noProof/>
              </w:rPr>
            </w:pPr>
            <w:r>
              <w:rPr>
                <w:noProof/>
              </w:rPr>
              <w:t>Signature du contrat d'équipement</w:t>
            </w:r>
          </w:p>
        </w:tc>
        <w:tc>
          <w:tcPr>
            <w:tcW w:w="1131" w:type="dxa"/>
            <w:tcBorders>
              <w:top w:val="single" w:sz="4" w:space="0" w:color="auto"/>
              <w:left w:val="nil"/>
              <w:bottom w:val="single" w:sz="4" w:space="0" w:color="auto"/>
              <w:right w:val="single" w:sz="4" w:space="0" w:color="auto"/>
            </w:tcBorders>
            <w:shd w:val="clear" w:color="auto" w:fill="C6EFCE"/>
            <w:noWrap/>
          </w:tcPr>
          <w:p w14:paraId="433805C4" w14:textId="77777777" w:rsidR="00553430" w:rsidRDefault="00553430">
            <w:pPr>
              <w:spacing w:after="200" w:line="276" w:lineRule="auto"/>
              <w:jc w:val="center"/>
              <w:rPr>
                <w:rFonts w:ascii="Times New Roman" w:eastAsia="Calibri" w:hAnsi="Times New Roman" w:cs="Times New Roman"/>
                <w:noProof/>
                <w:sz w:val="20"/>
                <w:szCs w:val="20"/>
              </w:rPr>
            </w:pPr>
          </w:p>
        </w:tc>
        <w:tc>
          <w:tcPr>
            <w:tcW w:w="868" w:type="dxa"/>
            <w:tcBorders>
              <w:top w:val="single" w:sz="4" w:space="0" w:color="auto"/>
              <w:left w:val="nil"/>
              <w:bottom w:val="single" w:sz="4" w:space="0" w:color="auto"/>
              <w:right w:val="single" w:sz="4" w:space="0" w:color="auto"/>
            </w:tcBorders>
            <w:shd w:val="clear" w:color="auto" w:fill="C6EFCE"/>
            <w:noWrap/>
          </w:tcPr>
          <w:p w14:paraId="57420997" w14:textId="77777777" w:rsidR="00553430" w:rsidRDefault="00553430">
            <w:pPr>
              <w:spacing w:after="200" w:line="276" w:lineRule="auto"/>
              <w:jc w:val="center"/>
              <w:rPr>
                <w:rFonts w:ascii="Times New Roman" w:eastAsia="Calibri" w:hAnsi="Times New Roman" w:cs="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1B76DA72" w14:textId="77777777" w:rsidR="00553430" w:rsidRDefault="00553430">
            <w:pPr>
              <w:spacing w:after="200" w:line="276" w:lineRule="auto"/>
              <w:jc w:val="center"/>
              <w:rPr>
                <w:rFonts w:ascii="Times New Roman" w:eastAsia="Calibri" w:hAnsi="Times New Roman" w:cs="Times New Roman"/>
                <w:noProof/>
                <w:sz w:val="20"/>
                <w:szCs w:val="20"/>
              </w:rPr>
            </w:pPr>
          </w:p>
        </w:tc>
        <w:tc>
          <w:tcPr>
            <w:tcW w:w="567" w:type="dxa"/>
            <w:tcBorders>
              <w:top w:val="single" w:sz="4" w:space="0" w:color="auto"/>
              <w:left w:val="nil"/>
              <w:bottom w:val="single" w:sz="4" w:space="0" w:color="auto"/>
              <w:right w:val="single" w:sz="4" w:space="0" w:color="auto"/>
            </w:tcBorders>
            <w:shd w:val="clear" w:color="auto" w:fill="C6EFCE"/>
            <w:noWrap/>
          </w:tcPr>
          <w:p w14:paraId="39A7132B" w14:textId="77777777" w:rsidR="00553430" w:rsidRDefault="00212577">
            <w:pPr>
              <w:pStyle w:val="P68B1DB1-Normal70"/>
              <w:spacing w:after="200" w:line="276" w:lineRule="auto"/>
              <w:jc w:val="center"/>
              <w:rPr>
                <w:noProof/>
              </w:rPr>
            </w:pPr>
            <w:r>
              <w:rPr>
                <w:noProof/>
              </w:rPr>
              <w:t>T4</w:t>
            </w:r>
          </w:p>
        </w:tc>
        <w:tc>
          <w:tcPr>
            <w:tcW w:w="567" w:type="dxa"/>
            <w:tcBorders>
              <w:top w:val="single" w:sz="4" w:space="0" w:color="auto"/>
              <w:left w:val="nil"/>
              <w:bottom w:val="single" w:sz="4" w:space="0" w:color="auto"/>
              <w:right w:val="single" w:sz="4" w:space="0" w:color="auto"/>
            </w:tcBorders>
            <w:shd w:val="clear" w:color="auto" w:fill="C6EFCE"/>
            <w:noWrap/>
          </w:tcPr>
          <w:p w14:paraId="59972499" w14:textId="77777777" w:rsidR="00553430" w:rsidRDefault="00212577">
            <w:pPr>
              <w:pStyle w:val="P68B1DB1-Normal70"/>
              <w:spacing w:after="200" w:line="276" w:lineRule="auto"/>
              <w:jc w:val="center"/>
              <w:rPr>
                <w:noProof/>
              </w:rPr>
            </w:pPr>
            <w:r>
              <w:rPr>
                <w:noProof/>
              </w:rPr>
              <w:t>2023</w:t>
            </w:r>
          </w:p>
        </w:tc>
        <w:tc>
          <w:tcPr>
            <w:tcW w:w="4160" w:type="dxa"/>
            <w:tcBorders>
              <w:top w:val="single" w:sz="4" w:space="0" w:color="auto"/>
              <w:left w:val="nil"/>
              <w:bottom w:val="single" w:sz="4" w:space="0" w:color="auto"/>
              <w:right w:val="single" w:sz="4" w:space="0" w:color="auto"/>
            </w:tcBorders>
            <w:shd w:val="clear" w:color="auto" w:fill="C6EFCE"/>
            <w:noWrap/>
          </w:tcPr>
          <w:p w14:paraId="1663E278" w14:textId="5B9493D3" w:rsidR="00553430" w:rsidRDefault="00212577">
            <w:pPr>
              <w:pStyle w:val="P68B1DB1-Normal70"/>
              <w:spacing w:after="200" w:line="276" w:lineRule="auto"/>
              <w:rPr>
                <w:noProof/>
              </w:rPr>
            </w:pPr>
            <w:r>
              <w:rPr>
                <w:noProof/>
              </w:rPr>
              <w:t>Signature d'un contrat d'équipement pour l'agrandissement du terminal GNL de Krk dans le but d'augmenter la capacité à 700 000 m3 par h</w:t>
            </w:r>
            <w:r>
              <w:rPr>
                <w:noProof/>
              </w:rPr>
              <w:t>eure (m3/h).</w:t>
            </w:r>
          </w:p>
        </w:tc>
      </w:tr>
      <w:tr w:rsidR="00553430" w14:paraId="249A8B5C"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2A97264" w14:textId="77777777" w:rsidR="00553430" w:rsidRDefault="00212577">
            <w:pPr>
              <w:pStyle w:val="P68B1DB1-Normal89"/>
              <w:spacing w:after="0" w:line="276" w:lineRule="auto"/>
              <w:jc w:val="center"/>
              <w:rPr>
                <w:rFonts w:eastAsia="Calibri"/>
                <w:noProof/>
              </w:rPr>
            </w:pPr>
            <w:r>
              <w:rPr>
                <w:noProof/>
              </w:rPr>
              <w:t>422</w:t>
            </w:r>
          </w:p>
        </w:tc>
        <w:tc>
          <w:tcPr>
            <w:tcW w:w="1205" w:type="dxa"/>
            <w:tcBorders>
              <w:top w:val="single" w:sz="4" w:space="0" w:color="auto"/>
              <w:left w:val="nil"/>
              <w:bottom w:val="single" w:sz="4" w:space="0" w:color="auto"/>
              <w:right w:val="single" w:sz="4" w:space="0" w:color="auto"/>
            </w:tcBorders>
            <w:shd w:val="clear" w:color="auto" w:fill="C6EFCE"/>
            <w:noWrap/>
          </w:tcPr>
          <w:p w14:paraId="699657C4" w14:textId="77777777" w:rsidR="00553430" w:rsidRDefault="00212577">
            <w:pPr>
              <w:pStyle w:val="P68B1DB1-Normal102"/>
              <w:spacing w:after="200" w:line="276" w:lineRule="auto"/>
              <w:jc w:val="center"/>
              <w:rPr>
                <w:rFonts w:eastAsia="Calibri"/>
                <w:noProof/>
              </w:rPr>
            </w:pPr>
            <w:r>
              <w:rPr>
                <w:noProof/>
              </w:rPr>
              <w:t>C7.1 I3</w:t>
            </w:r>
          </w:p>
        </w:tc>
        <w:tc>
          <w:tcPr>
            <w:tcW w:w="1064" w:type="dxa"/>
            <w:tcBorders>
              <w:top w:val="single" w:sz="4" w:space="0" w:color="auto"/>
              <w:left w:val="nil"/>
              <w:bottom w:val="single" w:sz="4" w:space="0" w:color="auto"/>
              <w:right w:val="single" w:sz="4" w:space="0" w:color="auto"/>
            </w:tcBorders>
            <w:shd w:val="clear" w:color="auto" w:fill="C6EFCE"/>
            <w:noWrap/>
          </w:tcPr>
          <w:p w14:paraId="47B1FAB4" w14:textId="77777777" w:rsidR="00553430" w:rsidRDefault="00212577">
            <w:pPr>
              <w:pStyle w:val="P68B1DB1-Normal70"/>
              <w:spacing w:after="200" w:line="276" w:lineRule="auto"/>
              <w:jc w:val="center"/>
              <w:rPr>
                <w:noProof/>
              </w:rPr>
            </w:pPr>
            <w:r>
              <w:rPr>
                <w:noProof/>
              </w:rPr>
              <w:t>T</w:t>
            </w:r>
          </w:p>
        </w:tc>
        <w:tc>
          <w:tcPr>
            <w:tcW w:w="2378" w:type="dxa"/>
            <w:tcBorders>
              <w:top w:val="single" w:sz="4" w:space="0" w:color="auto"/>
              <w:left w:val="nil"/>
              <w:bottom w:val="single" w:sz="4" w:space="0" w:color="auto"/>
              <w:right w:val="single" w:sz="4" w:space="0" w:color="auto"/>
            </w:tcBorders>
            <w:shd w:val="clear" w:color="auto" w:fill="C6EFCE"/>
            <w:noWrap/>
          </w:tcPr>
          <w:p w14:paraId="11EBB8F0" w14:textId="77777777" w:rsidR="00553430" w:rsidRDefault="00212577">
            <w:pPr>
              <w:pStyle w:val="P68B1DB1-Normal70"/>
              <w:spacing w:after="200" w:line="276" w:lineRule="auto"/>
              <w:rPr>
                <w:noProof/>
              </w:rPr>
            </w:pPr>
            <w:r>
              <w:rPr>
                <w:noProof/>
              </w:rPr>
              <w:t>Agrandissement du terminal GNL sur l'île de Krk opérationnel</w:t>
            </w:r>
          </w:p>
        </w:tc>
        <w:tc>
          <w:tcPr>
            <w:tcW w:w="1952" w:type="dxa"/>
            <w:tcBorders>
              <w:top w:val="single" w:sz="4" w:space="0" w:color="auto"/>
              <w:left w:val="nil"/>
              <w:bottom w:val="single" w:sz="4" w:space="0" w:color="auto"/>
              <w:right w:val="single" w:sz="4" w:space="0" w:color="auto"/>
            </w:tcBorders>
            <w:shd w:val="clear" w:color="auto" w:fill="C6EFCE"/>
            <w:noWrap/>
          </w:tcPr>
          <w:p w14:paraId="1B229818" w14:textId="77777777" w:rsidR="00553430" w:rsidRDefault="00553430">
            <w:pPr>
              <w:spacing w:after="200" w:line="276" w:lineRule="auto"/>
              <w:rPr>
                <w:rFonts w:ascii="Times New Roman" w:eastAsia="Calibri" w:hAnsi="Times New Roman" w:cs="Times New Roman"/>
                <w:noProof/>
                <w:sz w:val="20"/>
                <w:szCs w:val="20"/>
              </w:rPr>
            </w:pPr>
          </w:p>
        </w:tc>
        <w:tc>
          <w:tcPr>
            <w:tcW w:w="1131" w:type="dxa"/>
            <w:tcBorders>
              <w:top w:val="single" w:sz="4" w:space="0" w:color="auto"/>
              <w:left w:val="nil"/>
              <w:bottom w:val="single" w:sz="4" w:space="0" w:color="auto"/>
              <w:right w:val="single" w:sz="4" w:space="0" w:color="auto"/>
            </w:tcBorders>
            <w:shd w:val="clear" w:color="auto" w:fill="C6EFCE"/>
            <w:noWrap/>
          </w:tcPr>
          <w:p w14:paraId="1931A072" w14:textId="77777777" w:rsidR="00553430" w:rsidRDefault="00212577">
            <w:pPr>
              <w:pStyle w:val="P68B1DB1-Normal70"/>
              <w:spacing w:after="200" w:line="276" w:lineRule="auto"/>
              <w:jc w:val="center"/>
              <w:rPr>
                <w:noProof/>
              </w:rPr>
            </w:pPr>
            <w:r>
              <w:rPr>
                <w:noProof/>
              </w:rPr>
              <w:t xml:space="preserve">m3 par heure </w:t>
            </w:r>
          </w:p>
        </w:tc>
        <w:tc>
          <w:tcPr>
            <w:tcW w:w="868" w:type="dxa"/>
            <w:tcBorders>
              <w:top w:val="single" w:sz="4" w:space="0" w:color="auto"/>
              <w:left w:val="nil"/>
              <w:bottom w:val="single" w:sz="4" w:space="0" w:color="auto"/>
              <w:right w:val="single" w:sz="4" w:space="0" w:color="auto"/>
            </w:tcBorders>
            <w:shd w:val="clear" w:color="auto" w:fill="C6EFCE"/>
            <w:noWrap/>
          </w:tcPr>
          <w:p w14:paraId="1FE4F315" w14:textId="77777777" w:rsidR="00553430" w:rsidRDefault="00212577">
            <w:pPr>
              <w:pStyle w:val="P68B1DB1-Normal70"/>
              <w:spacing w:after="200" w:line="276" w:lineRule="auto"/>
              <w:jc w:val="center"/>
              <w:rPr>
                <w:noProof/>
              </w:rPr>
            </w:pPr>
            <w:r>
              <w:rPr>
                <w:noProof/>
              </w:rPr>
              <w:t>450 000</w:t>
            </w:r>
          </w:p>
        </w:tc>
        <w:tc>
          <w:tcPr>
            <w:tcW w:w="850" w:type="dxa"/>
            <w:tcBorders>
              <w:top w:val="single" w:sz="4" w:space="0" w:color="auto"/>
              <w:left w:val="nil"/>
              <w:bottom w:val="single" w:sz="4" w:space="0" w:color="auto"/>
              <w:right w:val="single" w:sz="4" w:space="0" w:color="auto"/>
            </w:tcBorders>
            <w:shd w:val="clear" w:color="auto" w:fill="C6EFCE"/>
            <w:noWrap/>
          </w:tcPr>
          <w:p w14:paraId="2D4E32EA" w14:textId="77777777" w:rsidR="00553430" w:rsidRDefault="00212577">
            <w:pPr>
              <w:pStyle w:val="P68B1DB1-Normal70"/>
              <w:spacing w:after="200" w:line="276" w:lineRule="auto"/>
              <w:jc w:val="center"/>
              <w:rPr>
                <w:noProof/>
              </w:rPr>
            </w:pPr>
            <w:r>
              <w:rPr>
                <w:noProof/>
              </w:rPr>
              <w:t>700 000</w:t>
            </w:r>
          </w:p>
        </w:tc>
        <w:tc>
          <w:tcPr>
            <w:tcW w:w="567" w:type="dxa"/>
            <w:tcBorders>
              <w:top w:val="single" w:sz="4" w:space="0" w:color="auto"/>
              <w:left w:val="nil"/>
              <w:bottom w:val="single" w:sz="4" w:space="0" w:color="auto"/>
              <w:right w:val="single" w:sz="4" w:space="0" w:color="auto"/>
            </w:tcBorders>
            <w:shd w:val="clear" w:color="auto" w:fill="C6EFCE"/>
            <w:noWrap/>
          </w:tcPr>
          <w:p w14:paraId="2C03FD05" w14:textId="77777777" w:rsidR="00553430" w:rsidRDefault="00212577">
            <w:pPr>
              <w:pStyle w:val="P68B1DB1-Normal70"/>
              <w:spacing w:after="200" w:line="276" w:lineRule="auto"/>
              <w:jc w:val="center"/>
              <w:rPr>
                <w:noProof/>
              </w:rPr>
            </w:pPr>
            <w:r>
              <w:rPr>
                <w:noProof/>
              </w:rPr>
              <w:t>T3</w:t>
            </w:r>
          </w:p>
        </w:tc>
        <w:tc>
          <w:tcPr>
            <w:tcW w:w="567" w:type="dxa"/>
            <w:tcBorders>
              <w:top w:val="single" w:sz="4" w:space="0" w:color="auto"/>
              <w:left w:val="nil"/>
              <w:bottom w:val="single" w:sz="4" w:space="0" w:color="auto"/>
              <w:right w:val="single" w:sz="4" w:space="0" w:color="auto"/>
            </w:tcBorders>
            <w:shd w:val="clear" w:color="auto" w:fill="C6EFCE"/>
            <w:noWrap/>
          </w:tcPr>
          <w:p w14:paraId="300E83A1" w14:textId="77777777" w:rsidR="00553430" w:rsidRDefault="00212577">
            <w:pPr>
              <w:pStyle w:val="P68B1DB1-Normal70"/>
              <w:spacing w:after="200" w:line="276" w:lineRule="auto"/>
              <w:jc w:val="center"/>
              <w:rPr>
                <w:noProof/>
              </w:rPr>
            </w:pPr>
            <w:r>
              <w:rPr>
                <w:noProof/>
              </w:rPr>
              <w:t>2025</w:t>
            </w:r>
          </w:p>
        </w:tc>
        <w:tc>
          <w:tcPr>
            <w:tcW w:w="4160" w:type="dxa"/>
            <w:tcBorders>
              <w:top w:val="single" w:sz="4" w:space="0" w:color="auto"/>
              <w:left w:val="nil"/>
              <w:bottom w:val="single" w:sz="4" w:space="0" w:color="auto"/>
              <w:right w:val="single" w:sz="4" w:space="0" w:color="auto"/>
            </w:tcBorders>
            <w:shd w:val="clear" w:color="auto" w:fill="C6EFCE"/>
            <w:noWrap/>
          </w:tcPr>
          <w:p w14:paraId="37DC9706" w14:textId="01AC3C39" w:rsidR="00553430" w:rsidRDefault="00212577">
            <w:pPr>
              <w:pStyle w:val="P68B1DB1-Normal70"/>
              <w:spacing w:after="200" w:line="276" w:lineRule="auto"/>
              <w:rPr>
                <w:noProof/>
              </w:rPr>
            </w:pPr>
            <w:r>
              <w:rPr>
                <w:noProof/>
              </w:rPr>
              <w:t xml:space="preserve">L’extension du terminal GNL sur l’île de Krk est opérationnelle avec une capacité de gazéification accrue de 700 000 m3/h. La capacité du terminal GNL sur l’île de Krk passe de 450 000 m3/h à 700 000 m3/h. </w:t>
            </w:r>
          </w:p>
        </w:tc>
      </w:tr>
      <w:tr w:rsidR="00553430" w14:paraId="4D795F47"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7E11B84" w14:textId="77777777" w:rsidR="00553430" w:rsidRDefault="00212577">
            <w:pPr>
              <w:pStyle w:val="P68B1DB1-Normal89"/>
              <w:spacing w:after="0" w:line="276" w:lineRule="auto"/>
              <w:jc w:val="center"/>
              <w:rPr>
                <w:rFonts w:eastAsia="Calibri"/>
                <w:noProof/>
              </w:rPr>
            </w:pPr>
            <w:r>
              <w:rPr>
                <w:noProof/>
              </w:rPr>
              <w:t>423</w:t>
            </w:r>
          </w:p>
        </w:tc>
        <w:tc>
          <w:tcPr>
            <w:tcW w:w="1205" w:type="dxa"/>
            <w:tcBorders>
              <w:top w:val="single" w:sz="4" w:space="0" w:color="auto"/>
              <w:left w:val="nil"/>
              <w:bottom w:val="single" w:sz="4" w:space="0" w:color="auto"/>
              <w:right w:val="single" w:sz="4" w:space="0" w:color="auto"/>
            </w:tcBorders>
            <w:shd w:val="clear" w:color="auto" w:fill="C6EFCE"/>
            <w:noWrap/>
          </w:tcPr>
          <w:p w14:paraId="71E981A6" w14:textId="77777777" w:rsidR="00553430" w:rsidRDefault="00212577">
            <w:pPr>
              <w:pStyle w:val="P68B1DB1-Normal102"/>
              <w:spacing w:after="200" w:line="276" w:lineRule="auto"/>
              <w:jc w:val="center"/>
              <w:rPr>
                <w:rFonts w:eastAsia="Calibri"/>
                <w:noProof/>
              </w:rPr>
            </w:pPr>
            <w:r>
              <w:rPr>
                <w:noProof/>
              </w:rPr>
              <w:t>C7.1 I3</w:t>
            </w:r>
          </w:p>
        </w:tc>
        <w:tc>
          <w:tcPr>
            <w:tcW w:w="1064" w:type="dxa"/>
            <w:tcBorders>
              <w:top w:val="single" w:sz="4" w:space="0" w:color="auto"/>
              <w:left w:val="nil"/>
              <w:bottom w:val="single" w:sz="4" w:space="0" w:color="auto"/>
              <w:right w:val="single" w:sz="4" w:space="0" w:color="auto"/>
            </w:tcBorders>
            <w:shd w:val="clear" w:color="auto" w:fill="C6EFCE"/>
            <w:noWrap/>
          </w:tcPr>
          <w:p w14:paraId="261FB052" w14:textId="77777777" w:rsidR="00553430" w:rsidRDefault="00212577">
            <w:pPr>
              <w:pStyle w:val="P68B1DB1-Normal70"/>
              <w:spacing w:after="200" w:line="276" w:lineRule="auto"/>
              <w:jc w:val="center"/>
              <w:rPr>
                <w:noProof/>
              </w:rPr>
            </w:pPr>
            <w:r>
              <w:rPr>
                <w:noProof/>
              </w:rPr>
              <w:t>M</w:t>
            </w:r>
          </w:p>
        </w:tc>
        <w:tc>
          <w:tcPr>
            <w:tcW w:w="2378" w:type="dxa"/>
            <w:tcBorders>
              <w:top w:val="single" w:sz="4" w:space="0" w:color="auto"/>
              <w:left w:val="nil"/>
              <w:bottom w:val="single" w:sz="4" w:space="0" w:color="auto"/>
              <w:right w:val="single" w:sz="4" w:space="0" w:color="auto"/>
            </w:tcBorders>
            <w:shd w:val="clear" w:color="auto" w:fill="C6EFCE"/>
            <w:noWrap/>
          </w:tcPr>
          <w:p w14:paraId="28BC0CBD" w14:textId="77777777" w:rsidR="00553430" w:rsidRDefault="00212577">
            <w:pPr>
              <w:pStyle w:val="P68B1DB1-Normal70"/>
              <w:spacing w:after="200" w:line="276" w:lineRule="auto"/>
              <w:rPr>
                <w:noProof/>
              </w:rPr>
            </w:pPr>
            <w:r>
              <w:rPr>
                <w:noProof/>
              </w:rPr>
              <w:t xml:space="preserve">Contrat de travaux </w:t>
            </w:r>
            <w:r>
              <w:rPr>
                <w:noProof/>
              </w:rPr>
              <w:t>d’agrandissement du gazoduc Zlobin – Bosiljevo</w:t>
            </w:r>
          </w:p>
        </w:tc>
        <w:tc>
          <w:tcPr>
            <w:tcW w:w="1952" w:type="dxa"/>
            <w:tcBorders>
              <w:top w:val="single" w:sz="4" w:space="0" w:color="auto"/>
              <w:left w:val="nil"/>
              <w:bottom w:val="single" w:sz="4" w:space="0" w:color="auto"/>
              <w:right w:val="single" w:sz="4" w:space="0" w:color="auto"/>
            </w:tcBorders>
            <w:shd w:val="clear" w:color="auto" w:fill="C6EFCE"/>
            <w:noWrap/>
          </w:tcPr>
          <w:p w14:paraId="5141650F" w14:textId="77777777" w:rsidR="00553430" w:rsidRDefault="00212577">
            <w:pPr>
              <w:pStyle w:val="P68B1DB1-Normal70"/>
              <w:spacing w:after="200" w:line="276" w:lineRule="auto"/>
              <w:rPr>
                <w:noProof/>
              </w:rPr>
            </w:pPr>
            <w:r>
              <w:rPr>
                <w:noProof/>
              </w:rPr>
              <w:t>Signature du contrat de travaux</w:t>
            </w:r>
          </w:p>
        </w:tc>
        <w:tc>
          <w:tcPr>
            <w:tcW w:w="1131" w:type="dxa"/>
            <w:tcBorders>
              <w:top w:val="single" w:sz="4" w:space="0" w:color="auto"/>
              <w:left w:val="nil"/>
              <w:bottom w:val="single" w:sz="4" w:space="0" w:color="auto"/>
              <w:right w:val="single" w:sz="4" w:space="0" w:color="auto"/>
            </w:tcBorders>
            <w:shd w:val="clear" w:color="auto" w:fill="C6EFCE"/>
            <w:noWrap/>
          </w:tcPr>
          <w:p w14:paraId="54CEC558" w14:textId="77777777" w:rsidR="00553430" w:rsidRDefault="00553430">
            <w:pPr>
              <w:spacing w:after="200" w:line="276" w:lineRule="auto"/>
              <w:jc w:val="center"/>
              <w:rPr>
                <w:rFonts w:ascii="Times New Roman" w:eastAsia="Calibri" w:hAnsi="Times New Roman" w:cs="Times New Roman"/>
                <w:noProof/>
                <w:sz w:val="20"/>
                <w:szCs w:val="20"/>
              </w:rPr>
            </w:pPr>
          </w:p>
        </w:tc>
        <w:tc>
          <w:tcPr>
            <w:tcW w:w="868" w:type="dxa"/>
            <w:tcBorders>
              <w:top w:val="single" w:sz="4" w:space="0" w:color="auto"/>
              <w:left w:val="nil"/>
              <w:bottom w:val="single" w:sz="4" w:space="0" w:color="auto"/>
              <w:right w:val="single" w:sz="4" w:space="0" w:color="auto"/>
            </w:tcBorders>
            <w:shd w:val="clear" w:color="auto" w:fill="C6EFCE"/>
            <w:noWrap/>
          </w:tcPr>
          <w:p w14:paraId="1B759318" w14:textId="77777777" w:rsidR="00553430" w:rsidRDefault="00553430">
            <w:pPr>
              <w:spacing w:after="200" w:line="276" w:lineRule="auto"/>
              <w:jc w:val="center"/>
              <w:rPr>
                <w:rFonts w:ascii="Times New Roman" w:eastAsia="Calibri" w:hAnsi="Times New Roman" w:cs="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0898B632" w14:textId="77777777" w:rsidR="00553430" w:rsidRDefault="00553430">
            <w:pPr>
              <w:spacing w:after="200" w:line="276" w:lineRule="auto"/>
              <w:jc w:val="center"/>
              <w:rPr>
                <w:rFonts w:ascii="Times New Roman" w:eastAsia="Calibri" w:hAnsi="Times New Roman" w:cs="Times New Roman"/>
                <w:noProof/>
                <w:sz w:val="20"/>
                <w:szCs w:val="20"/>
              </w:rPr>
            </w:pPr>
          </w:p>
        </w:tc>
        <w:tc>
          <w:tcPr>
            <w:tcW w:w="567" w:type="dxa"/>
            <w:tcBorders>
              <w:top w:val="single" w:sz="4" w:space="0" w:color="auto"/>
              <w:left w:val="nil"/>
              <w:bottom w:val="single" w:sz="4" w:space="0" w:color="auto"/>
              <w:right w:val="single" w:sz="4" w:space="0" w:color="auto"/>
            </w:tcBorders>
            <w:shd w:val="clear" w:color="auto" w:fill="C6EFCE"/>
            <w:noWrap/>
          </w:tcPr>
          <w:p w14:paraId="659251A9" w14:textId="77777777" w:rsidR="00553430" w:rsidRDefault="00212577">
            <w:pPr>
              <w:pStyle w:val="P68B1DB1-Normal70"/>
              <w:spacing w:after="200" w:line="276" w:lineRule="auto"/>
              <w:jc w:val="center"/>
              <w:rPr>
                <w:noProof/>
              </w:rPr>
            </w:pPr>
            <w:r>
              <w:rPr>
                <w:noProof/>
              </w:rPr>
              <w:t>T3</w:t>
            </w:r>
          </w:p>
        </w:tc>
        <w:tc>
          <w:tcPr>
            <w:tcW w:w="567" w:type="dxa"/>
            <w:tcBorders>
              <w:top w:val="single" w:sz="4" w:space="0" w:color="auto"/>
              <w:left w:val="nil"/>
              <w:bottom w:val="single" w:sz="4" w:space="0" w:color="auto"/>
              <w:right w:val="single" w:sz="4" w:space="0" w:color="auto"/>
            </w:tcBorders>
            <w:shd w:val="clear" w:color="auto" w:fill="C6EFCE"/>
            <w:noWrap/>
          </w:tcPr>
          <w:p w14:paraId="3953B4C2" w14:textId="77777777" w:rsidR="00553430" w:rsidRDefault="00212577">
            <w:pPr>
              <w:pStyle w:val="P68B1DB1-Normal70"/>
              <w:spacing w:after="200" w:line="276" w:lineRule="auto"/>
              <w:jc w:val="center"/>
              <w:rPr>
                <w:noProof/>
              </w:rPr>
            </w:pPr>
            <w:r>
              <w:rPr>
                <w:noProof/>
              </w:rPr>
              <w:t>2023</w:t>
            </w:r>
          </w:p>
        </w:tc>
        <w:tc>
          <w:tcPr>
            <w:tcW w:w="4160" w:type="dxa"/>
            <w:tcBorders>
              <w:top w:val="single" w:sz="4" w:space="0" w:color="auto"/>
              <w:left w:val="nil"/>
              <w:bottom w:val="single" w:sz="4" w:space="0" w:color="auto"/>
              <w:right w:val="single" w:sz="4" w:space="0" w:color="auto"/>
            </w:tcBorders>
            <w:shd w:val="clear" w:color="auto" w:fill="C6EFCE"/>
            <w:noWrap/>
          </w:tcPr>
          <w:p w14:paraId="5B4A53B0" w14:textId="77777777" w:rsidR="00553430" w:rsidRDefault="00212577">
            <w:pPr>
              <w:pStyle w:val="P68B1DB1-Normal70"/>
              <w:spacing w:after="200" w:line="276" w:lineRule="auto"/>
              <w:rPr>
                <w:noProof/>
              </w:rPr>
            </w:pPr>
            <w:r>
              <w:rPr>
                <w:noProof/>
              </w:rPr>
              <w:t>Un contrat de travaux est signé pour l’agrandissement du gazoduc Zlobin – Bosiljevo.</w:t>
            </w:r>
          </w:p>
        </w:tc>
      </w:tr>
      <w:tr w:rsidR="00553430" w14:paraId="77F01852"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4449068D" w14:textId="77777777" w:rsidR="00553430" w:rsidRDefault="00212577">
            <w:pPr>
              <w:pStyle w:val="P68B1DB1-Normal89"/>
              <w:spacing w:after="0" w:line="276" w:lineRule="auto"/>
              <w:jc w:val="center"/>
              <w:rPr>
                <w:rFonts w:eastAsia="Calibri"/>
                <w:noProof/>
              </w:rPr>
            </w:pPr>
            <w:r>
              <w:rPr>
                <w:noProof/>
              </w:rPr>
              <w:t>424</w:t>
            </w:r>
          </w:p>
        </w:tc>
        <w:tc>
          <w:tcPr>
            <w:tcW w:w="1205" w:type="dxa"/>
            <w:tcBorders>
              <w:top w:val="single" w:sz="4" w:space="0" w:color="auto"/>
              <w:left w:val="nil"/>
              <w:bottom w:val="single" w:sz="4" w:space="0" w:color="auto"/>
              <w:right w:val="single" w:sz="4" w:space="0" w:color="auto"/>
            </w:tcBorders>
            <w:shd w:val="clear" w:color="auto" w:fill="C6EFCE"/>
            <w:noWrap/>
          </w:tcPr>
          <w:p w14:paraId="408D2E4F" w14:textId="77777777" w:rsidR="00553430" w:rsidRDefault="00212577">
            <w:pPr>
              <w:pStyle w:val="P68B1DB1-Normal102"/>
              <w:spacing w:after="200" w:line="276" w:lineRule="auto"/>
              <w:jc w:val="center"/>
              <w:rPr>
                <w:noProof/>
                <w:color w:val="000000" w:themeColor="text1"/>
              </w:rPr>
            </w:pPr>
            <w:r>
              <w:rPr>
                <w:noProof/>
              </w:rPr>
              <w:t>C7.1 I3</w:t>
            </w:r>
          </w:p>
        </w:tc>
        <w:tc>
          <w:tcPr>
            <w:tcW w:w="1064" w:type="dxa"/>
            <w:tcBorders>
              <w:top w:val="single" w:sz="4" w:space="0" w:color="auto"/>
              <w:left w:val="nil"/>
              <w:bottom w:val="single" w:sz="4" w:space="0" w:color="auto"/>
              <w:right w:val="single" w:sz="4" w:space="0" w:color="auto"/>
            </w:tcBorders>
            <w:shd w:val="clear" w:color="auto" w:fill="C6EFCE"/>
            <w:noWrap/>
          </w:tcPr>
          <w:p w14:paraId="03365370" w14:textId="77777777" w:rsidR="00553430" w:rsidRDefault="00212577">
            <w:pPr>
              <w:pStyle w:val="P68B1DB1-Normal70"/>
              <w:spacing w:after="200" w:line="276" w:lineRule="auto"/>
              <w:jc w:val="center"/>
              <w:rPr>
                <w:noProof/>
              </w:rPr>
            </w:pPr>
            <w:r>
              <w:rPr>
                <w:noProof/>
              </w:rPr>
              <w:t>T</w:t>
            </w:r>
          </w:p>
        </w:tc>
        <w:tc>
          <w:tcPr>
            <w:tcW w:w="2378" w:type="dxa"/>
            <w:tcBorders>
              <w:top w:val="single" w:sz="4" w:space="0" w:color="auto"/>
              <w:left w:val="nil"/>
              <w:bottom w:val="single" w:sz="4" w:space="0" w:color="auto"/>
              <w:right w:val="single" w:sz="4" w:space="0" w:color="auto"/>
            </w:tcBorders>
            <w:shd w:val="clear" w:color="auto" w:fill="C6EFCE"/>
            <w:noWrap/>
          </w:tcPr>
          <w:p w14:paraId="562B8EC8" w14:textId="77777777" w:rsidR="00553430" w:rsidRDefault="00212577">
            <w:pPr>
              <w:pStyle w:val="P68B1DB1-Normal70"/>
              <w:spacing w:after="200" w:line="276" w:lineRule="auto"/>
              <w:rPr>
                <w:noProof/>
              </w:rPr>
            </w:pPr>
            <w:r>
              <w:rPr>
                <w:noProof/>
              </w:rPr>
              <w:t xml:space="preserve">Construction du gazoduc élargi Zlobin – Bosiljevo </w:t>
            </w:r>
          </w:p>
        </w:tc>
        <w:tc>
          <w:tcPr>
            <w:tcW w:w="1952" w:type="dxa"/>
            <w:tcBorders>
              <w:top w:val="single" w:sz="4" w:space="0" w:color="auto"/>
              <w:left w:val="nil"/>
              <w:bottom w:val="single" w:sz="4" w:space="0" w:color="auto"/>
              <w:right w:val="single" w:sz="4" w:space="0" w:color="auto"/>
            </w:tcBorders>
            <w:shd w:val="clear" w:color="auto" w:fill="C6EFCE"/>
            <w:noWrap/>
          </w:tcPr>
          <w:p w14:paraId="6011771B" w14:textId="77777777" w:rsidR="00553430" w:rsidRDefault="00553430">
            <w:pPr>
              <w:spacing w:after="200" w:line="276" w:lineRule="auto"/>
              <w:rPr>
                <w:rFonts w:ascii="Times New Roman" w:eastAsia="Calibri" w:hAnsi="Times New Roman" w:cs="Times New Roman"/>
                <w:noProof/>
                <w:sz w:val="20"/>
                <w:szCs w:val="20"/>
              </w:rPr>
            </w:pPr>
          </w:p>
        </w:tc>
        <w:tc>
          <w:tcPr>
            <w:tcW w:w="1131" w:type="dxa"/>
            <w:tcBorders>
              <w:top w:val="single" w:sz="4" w:space="0" w:color="auto"/>
              <w:left w:val="nil"/>
              <w:bottom w:val="single" w:sz="4" w:space="0" w:color="auto"/>
              <w:right w:val="single" w:sz="4" w:space="0" w:color="auto"/>
            </w:tcBorders>
            <w:shd w:val="clear" w:color="auto" w:fill="C6EFCE"/>
            <w:noWrap/>
          </w:tcPr>
          <w:p w14:paraId="19133F98" w14:textId="77777777" w:rsidR="00553430" w:rsidRDefault="00212577">
            <w:pPr>
              <w:pStyle w:val="P68B1DB1-Normal70"/>
              <w:spacing w:after="200" w:line="276" w:lineRule="auto"/>
              <w:jc w:val="center"/>
              <w:rPr>
                <w:noProof/>
              </w:rPr>
            </w:pPr>
            <w:r>
              <w:rPr>
                <w:noProof/>
              </w:rPr>
              <w:t>kilomètres</w:t>
            </w:r>
          </w:p>
        </w:tc>
        <w:tc>
          <w:tcPr>
            <w:tcW w:w="868" w:type="dxa"/>
            <w:tcBorders>
              <w:top w:val="single" w:sz="4" w:space="0" w:color="auto"/>
              <w:left w:val="nil"/>
              <w:bottom w:val="single" w:sz="4" w:space="0" w:color="auto"/>
              <w:right w:val="single" w:sz="4" w:space="0" w:color="auto"/>
            </w:tcBorders>
            <w:shd w:val="clear" w:color="auto" w:fill="C6EFCE"/>
            <w:noWrap/>
          </w:tcPr>
          <w:p w14:paraId="127B7C91" w14:textId="77777777" w:rsidR="00553430" w:rsidRDefault="00212577">
            <w:pPr>
              <w:pStyle w:val="P68B1DB1-Normal70"/>
              <w:spacing w:after="200" w:line="276" w:lineRule="auto"/>
              <w:jc w:val="center"/>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2666920E" w14:textId="77777777" w:rsidR="00553430" w:rsidRDefault="00212577">
            <w:pPr>
              <w:pStyle w:val="P68B1DB1-Normal70"/>
              <w:spacing w:after="200" w:line="276" w:lineRule="auto"/>
              <w:jc w:val="center"/>
              <w:rPr>
                <w:noProof/>
              </w:rPr>
            </w:pPr>
            <w:r>
              <w:rPr>
                <w:noProof/>
              </w:rPr>
              <w:t>58</w:t>
            </w:r>
          </w:p>
        </w:tc>
        <w:tc>
          <w:tcPr>
            <w:tcW w:w="567" w:type="dxa"/>
            <w:tcBorders>
              <w:top w:val="single" w:sz="4" w:space="0" w:color="auto"/>
              <w:left w:val="nil"/>
              <w:bottom w:val="single" w:sz="4" w:space="0" w:color="auto"/>
              <w:right w:val="single" w:sz="4" w:space="0" w:color="auto"/>
            </w:tcBorders>
            <w:shd w:val="clear" w:color="auto" w:fill="C6EFCE"/>
            <w:noWrap/>
          </w:tcPr>
          <w:p w14:paraId="47FDF296" w14:textId="77777777" w:rsidR="00553430" w:rsidRDefault="00212577">
            <w:pPr>
              <w:pStyle w:val="P68B1DB1-Normal70"/>
              <w:spacing w:after="200" w:line="276" w:lineRule="auto"/>
              <w:jc w:val="center"/>
              <w:rPr>
                <w:noProof/>
              </w:rPr>
            </w:pPr>
            <w:r>
              <w:rPr>
                <w:noProof/>
              </w:rPr>
              <w:t>T2</w:t>
            </w:r>
          </w:p>
        </w:tc>
        <w:tc>
          <w:tcPr>
            <w:tcW w:w="567" w:type="dxa"/>
            <w:tcBorders>
              <w:top w:val="single" w:sz="4" w:space="0" w:color="auto"/>
              <w:left w:val="nil"/>
              <w:bottom w:val="single" w:sz="4" w:space="0" w:color="auto"/>
              <w:right w:val="single" w:sz="4" w:space="0" w:color="auto"/>
            </w:tcBorders>
            <w:shd w:val="clear" w:color="auto" w:fill="C6EFCE"/>
            <w:noWrap/>
          </w:tcPr>
          <w:p w14:paraId="7450339D" w14:textId="77777777" w:rsidR="00553430" w:rsidRDefault="00212577">
            <w:pPr>
              <w:pStyle w:val="P68B1DB1-Normal70"/>
              <w:spacing w:after="200" w:line="276" w:lineRule="auto"/>
              <w:jc w:val="center"/>
              <w:rPr>
                <w:noProof/>
              </w:rPr>
            </w:pPr>
            <w:r>
              <w:rPr>
                <w:noProof/>
              </w:rPr>
              <w:t>2025</w:t>
            </w:r>
          </w:p>
        </w:tc>
        <w:tc>
          <w:tcPr>
            <w:tcW w:w="4160" w:type="dxa"/>
            <w:tcBorders>
              <w:top w:val="single" w:sz="4" w:space="0" w:color="auto"/>
              <w:left w:val="nil"/>
              <w:bottom w:val="single" w:sz="4" w:space="0" w:color="auto"/>
              <w:right w:val="single" w:sz="4" w:space="0" w:color="auto"/>
            </w:tcBorders>
            <w:shd w:val="clear" w:color="auto" w:fill="C6EFCE"/>
            <w:noWrap/>
          </w:tcPr>
          <w:p w14:paraId="43D9070B" w14:textId="77777777" w:rsidR="00553430" w:rsidRDefault="00212577">
            <w:pPr>
              <w:pStyle w:val="P68B1DB1-Normal70"/>
              <w:spacing w:after="200" w:line="276" w:lineRule="auto"/>
              <w:rPr>
                <w:noProof/>
              </w:rPr>
            </w:pPr>
            <w:r>
              <w:rPr>
                <w:noProof/>
              </w:rPr>
              <w:t>Le gazoduc Zlobin – Bosiljevo agrandi, d’une longueur de 58 km, sera construit.</w:t>
            </w:r>
          </w:p>
        </w:tc>
      </w:tr>
      <w:tr w:rsidR="00553430" w14:paraId="5FF6C913"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0E1EE22" w14:textId="77777777" w:rsidR="00553430" w:rsidRDefault="00212577">
            <w:pPr>
              <w:pStyle w:val="P68B1DB1-Normal89"/>
              <w:spacing w:after="0" w:line="276" w:lineRule="auto"/>
              <w:jc w:val="center"/>
              <w:rPr>
                <w:rFonts w:eastAsia="Calibri"/>
                <w:noProof/>
              </w:rPr>
            </w:pPr>
            <w:r>
              <w:rPr>
                <w:noProof/>
              </w:rPr>
              <w:t>425</w:t>
            </w:r>
          </w:p>
        </w:tc>
        <w:tc>
          <w:tcPr>
            <w:tcW w:w="1205" w:type="dxa"/>
            <w:tcBorders>
              <w:top w:val="single" w:sz="4" w:space="0" w:color="auto"/>
              <w:left w:val="nil"/>
              <w:bottom w:val="single" w:sz="4" w:space="0" w:color="auto"/>
              <w:right w:val="single" w:sz="4" w:space="0" w:color="auto"/>
            </w:tcBorders>
            <w:shd w:val="clear" w:color="auto" w:fill="C6EFCE"/>
            <w:noWrap/>
          </w:tcPr>
          <w:p w14:paraId="0679815F" w14:textId="77777777" w:rsidR="00553430" w:rsidRDefault="00212577">
            <w:pPr>
              <w:pStyle w:val="P68B1DB1-Normal102"/>
              <w:spacing w:after="200" w:line="276" w:lineRule="auto"/>
              <w:jc w:val="center"/>
              <w:rPr>
                <w:noProof/>
                <w:color w:val="000000" w:themeColor="text1"/>
              </w:rPr>
            </w:pPr>
            <w:r>
              <w:rPr>
                <w:noProof/>
              </w:rPr>
              <w:t>C7.1 I3</w:t>
            </w:r>
          </w:p>
        </w:tc>
        <w:tc>
          <w:tcPr>
            <w:tcW w:w="1064" w:type="dxa"/>
            <w:tcBorders>
              <w:top w:val="single" w:sz="4" w:space="0" w:color="auto"/>
              <w:left w:val="nil"/>
              <w:bottom w:val="single" w:sz="4" w:space="0" w:color="auto"/>
              <w:right w:val="single" w:sz="4" w:space="0" w:color="auto"/>
            </w:tcBorders>
            <w:shd w:val="clear" w:color="auto" w:fill="C6EFCE"/>
            <w:noWrap/>
          </w:tcPr>
          <w:p w14:paraId="7E64C604" w14:textId="77777777" w:rsidR="00553430" w:rsidRDefault="00212577">
            <w:pPr>
              <w:pStyle w:val="P68B1DB1-Normal70"/>
              <w:spacing w:after="200" w:line="276" w:lineRule="auto"/>
              <w:jc w:val="center"/>
              <w:rPr>
                <w:noProof/>
              </w:rPr>
            </w:pPr>
            <w:r>
              <w:rPr>
                <w:noProof/>
              </w:rPr>
              <w:t>M</w:t>
            </w:r>
          </w:p>
        </w:tc>
        <w:tc>
          <w:tcPr>
            <w:tcW w:w="2378" w:type="dxa"/>
            <w:tcBorders>
              <w:top w:val="single" w:sz="4" w:space="0" w:color="auto"/>
              <w:left w:val="nil"/>
              <w:bottom w:val="single" w:sz="4" w:space="0" w:color="auto"/>
              <w:right w:val="single" w:sz="4" w:space="0" w:color="auto"/>
            </w:tcBorders>
            <w:shd w:val="clear" w:color="auto" w:fill="C6EFCE"/>
            <w:noWrap/>
          </w:tcPr>
          <w:p w14:paraId="7B0D839B" w14:textId="77777777" w:rsidR="00553430" w:rsidRDefault="00212577">
            <w:pPr>
              <w:pStyle w:val="P68B1DB1-Normal70"/>
              <w:spacing w:after="200" w:line="276" w:lineRule="auto"/>
              <w:rPr>
                <w:noProof/>
              </w:rPr>
            </w:pPr>
            <w:r>
              <w:rPr>
                <w:noProof/>
              </w:rPr>
              <w:t>Appel d’offres pour l’acquisition de conduites pour l’agrandissement du gazoduc Bosiljevo – Sisak – Kozarac</w:t>
            </w:r>
          </w:p>
        </w:tc>
        <w:tc>
          <w:tcPr>
            <w:tcW w:w="1952" w:type="dxa"/>
            <w:tcBorders>
              <w:top w:val="single" w:sz="4" w:space="0" w:color="auto"/>
              <w:left w:val="nil"/>
              <w:bottom w:val="single" w:sz="4" w:space="0" w:color="auto"/>
              <w:right w:val="single" w:sz="4" w:space="0" w:color="auto"/>
            </w:tcBorders>
            <w:shd w:val="clear" w:color="auto" w:fill="C6EFCE"/>
            <w:noWrap/>
          </w:tcPr>
          <w:p w14:paraId="507ED0C3" w14:textId="77777777" w:rsidR="00553430" w:rsidRDefault="00212577">
            <w:pPr>
              <w:pStyle w:val="P68B1DB1-Normal70"/>
              <w:spacing w:after="200" w:line="276" w:lineRule="auto"/>
              <w:rPr>
                <w:noProof/>
              </w:rPr>
            </w:pPr>
            <w:r>
              <w:rPr>
                <w:noProof/>
              </w:rPr>
              <w:t xml:space="preserve">Appel d’offres pour l’achat de tuyaux </w:t>
            </w:r>
            <w:r>
              <w:rPr>
                <w:noProof/>
              </w:rPr>
              <w:t>lancés</w:t>
            </w:r>
          </w:p>
        </w:tc>
        <w:tc>
          <w:tcPr>
            <w:tcW w:w="1131" w:type="dxa"/>
            <w:tcBorders>
              <w:top w:val="single" w:sz="4" w:space="0" w:color="auto"/>
              <w:left w:val="nil"/>
              <w:bottom w:val="single" w:sz="4" w:space="0" w:color="auto"/>
              <w:right w:val="single" w:sz="4" w:space="0" w:color="auto"/>
            </w:tcBorders>
            <w:shd w:val="clear" w:color="auto" w:fill="C6EFCE"/>
            <w:noWrap/>
          </w:tcPr>
          <w:p w14:paraId="2C1BA1A2" w14:textId="77777777" w:rsidR="00553430" w:rsidRDefault="00553430">
            <w:pPr>
              <w:spacing w:after="200" w:line="276" w:lineRule="auto"/>
              <w:jc w:val="center"/>
              <w:rPr>
                <w:rFonts w:ascii="Times New Roman" w:eastAsia="Calibri" w:hAnsi="Times New Roman" w:cs="Times New Roman"/>
                <w:noProof/>
                <w:sz w:val="20"/>
                <w:szCs w:val="20"/>
              </w:rPr>
            </w:pPr>
          </w:p>
        </w:tc>
        <w:tc>
          <w:tcPr>
            <w:tcW w:w="868" w:type="dxa"/>
            <w:tcBorders>
              <w:top w:val="single" w:sz="4" w:space="0" w:color="auto"/>
              <w:left w:val="nil"/>
              <w:bottom w:val="single" w:sz="4" w:space="0" w:color="auto"/>
              <w:right w:val="single" w:sz="4" w:space="0" w:color="auto"/>
            </w:tcBorders>
            <w:shd w:val="clear" w:color="auto" w:fill="C6EFCE"/>
            <w:noWrap/>
          </w:tcPr>
          <w:p w14:paraId="3B1480B2" w14:textId="77777777" w:rsidR="00553430" w:rsidRDefault="00553430">
            <w:pPr>
              <w:spacing w:after="200" w:line="276" w:lineRule="auto"/>
              <w:jc w:val="center"/>
              <w:rPr>
                <w:rFonts w:ascii="Times New Roman" w:eastAsia="Calibri" w:hAnsi="Times New Roman" w:cs="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1C99F306" w14:textId="77777777" w:rsidR="00553430" w:rsidRDefault="00553430">
            <w:pPr>
              <w:spacing w:after="200" w:line="276" w:lineRule="auto"/>
              <w:jc w:val="center"/>
              <w:rPr>
                <w:rFonts w:ascii="Times New Roman" w:eastAsia="Calibri" w:hAnsi="Times New Roman" w:cs="Times New Roman"/>
                <w:noProof/>
                <w:sz w:val="20"/>
                <w:szCs w:val="20"/>
              </w:rPr>
            </w:pPr>
          </w:p>
        </w:tc>
        <w:tc>
          <w:tcPr>
            <w:tcW w:w="567" w:type="dxa"/>
            <w:tcBorders>
              <w:top w:val="single" w:sz="4" w:space="0" w:color="auto"/>
              <w:left w:val="nil"/>
              <w:bottom w:val="single" w:sz="4" w:space="0" w:color="auto"/>
              <w:right w:val="single" w:sz="4" w:space="0" w:color="auto"/>
            </w:tcBorders>
            <w:shd w:val="clear" w:color="auto" w:fill="C6EFCE"/>
            <w:noWrap/>
          </w:tcPr>
          <w:p w14:paraId="590CF629" w14:textId="77777777" w:rsidR="00553430" w:rsidRDefault="00212577">
            <w:pPr>
              <w:pStyle w:val="P68B1DB1-Normal70"/>
              <w:spacing w:after="200" w:line="276" w:lineRule="auto"/>
              <w:jc w:val="center"/>
              <w:rPr>
                <w:noProof/>
              </w:rPr>
            </w:pPr>
            <w:r>
              <w:rPr>
                <w:noProof/>
              </w:rPr>
              <w:t>T1</w:t>
            </w:r>
          </w:p>
        </w:tc>
        <w:tc>
          <w:tcPr>
            <w:tcW w:w="567" w:type="dxa"/>
            <w:tcBorders>
              <w:top w:val="single" w:sz="4" w:space="0" w:color="auto"/>
              <w:left w:val="nil"/>
              <w:bottom w:val="single" w:sz="4" w:space="0" w:color="auto"/>
              <w:right w:val="single" w:sz="4" w:space="0" w:color="auto"/>
            </w:tcBorders>
            <w:shd w:val="clear" w:color="auto" w:fill="C6EFCE"/>
            <w:noWrap/>
          </w:tcPr>
          <w:p w14:paraId="614C5996" w14:textId="77777777" w:rsidR="00553430" w:rsidRDefault="00212577">
            <w:pPr>
              <w:pStyle w:val="P68B1DB1-Normal70"/>
              <w:spacing w:after="200" w:line="276" w:lineRule="auto"/>
              <w:jc w:val="center"/>
              <w:rPr>
                <w:noProof/>
              </w:rPr>
            </w:pPr>
            <w:r>
              <w:rPr>
                <w:noProof/>
              </w:rPr>
              <w:t>2024</w:t>
            </w:r>
          </w:p>
        </w:tc>
        <w:tc>
          <w:tcPr>
            <w:tcW w:w="4160" w:type="dxa"/>
            <w:tcBorders>
              <w:top w:val="single" w:sz="4" w:space="0" w:color="auto"/>
              <w:left w:val="nil"/>
              <w:bottom w:val="single" w:sz="4" w:space="0" w:color="auto"/>
              <w:right w:val="single" w:sz="4" w:space="0" w:color="auto"/>
            </w:tcBorders>
            <w:shd w:val="clear" w:color="auto" w:fill="C6EFCE"/>
            <w:noWrap/>
          </w:tcPr>
          <w:p w14:paraId="4915AF66" w14:textId="77777777" w:rsidR="00553430" w:rsidRDefault="00212577">
            <w:pPr>
              <w:pStyle w:val="P68B1DB1-Normal70"/>
              <w:spacing w:after="200" w:line="276" w:lineRule="auto"/>
              <w:rPr>
                <w:noProof/>
              </w:rPr>
            </w:pPr>
            <w:r>
              <w:rPr>
                <w:noProof/>
              </w:rPr>
              <w:t>L’appel d’offres pour l’acquisition de conduites est lancé pour l’agrandissement du gazoduc Bosiljevo – Sisak – Kozarac.</w:t>
            </w:r>
          </w:p>
        </w:tc>
      </w:tr>
      <w:tr w:rsidR="00553430" w14:paraId="204F0D74"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98CC2C2" w14:textId="77777777" w:rsidR="00553430" w:rsidRDefault="00212577">
            <w:pPr>
              <w:pStyle w:val="P68B1DB1-Normal89"/>
              <w:spacing w:after="0" w:line="276" w:lineRule="auto"/>
              <w:jc w:val="center"/>
              <w:rPr>
                <w:rFonts w:eastAsia="Calibri"/>
                <w:noProof/>
              </w:rPr>
            </w:pPr>
            <w:r>
              <w:rPr>
                <w:noProof/>
              </w:rPr>
              <w:t>426</w:t>
            </w:r>
          </w:p>
        </w:tc>
        <w:tc>
          <w:tcPr>
            <w:tcW w:w="1205" w:type="dxa"/>
            <w:tcBorders>
              <w:top w:val="single" w:sz="4" w:space="0" w:color="auto"/>
              <w:left w:val="nil"/>
              <w:bottom w:val="single" w:sz="4" w:space="0" w:color="auto"/>
              <w:right w:val="single" w:sz="4" w:space="0" w:color="auto"/>
            </w:tcBorders>
            <w:shd w:val="clear" w:color="auto" w:fill="C6EFCE"/>
            <w:noWrap/>
          </w:tcPr>
          <w:p w14:paraId="481852AF" w14:textId="77777777" w:rsidR="00553430" w:rsidRDefault="00212577">
            <w:pPr>
              <w:pStyle w:val="P68B1DB1-Normal102"/>
              <w:spacing w:after="200" w:line="276" w:lineRule="auto"/>
              <w:jc w:val="center"/>
              <w:rPr>
                <w:noProof/>
                <w:color w:val="000000" w:themeColor="text1"/>
              </w:rPr>
            </w:pPr>
            <w:r>
              <w:rPr>
                <w:noProof/>
              </w:rPr>
              <w:t>C7.1 I3</w:t>
            </w:r>
          </w:p>
        </w:tc>
        <w:tc>
          <w:tcPr>
            <w:tcW w:w="1064" w:type="dxa"/>
            <w:tcBorders>
              <w:top w:val="single" w:sz="4" w:space="0" w:color="auto"/>
              <w:left w:val="nil"/>
              <w:bottom w:val="single" w:sz="4" w:space="0" w:color="auto"/>
              <w:right w:val="single" w:sz="4" w:space="0" w:color="auto"/>
            </w:tcBorders>
            <w:shd w:val="clear" w:color="auto" w:fill="C6EFCE"/>
            <w:noWrap/>
          </w:tcPr>
          <w:p w14:paraId="6828E4FB" w14:textId="77777777" w:rsidR="00553430" w:rsidRDefault="00212577">
            <w:pPr>
              <w:pStyle w:val="P68B1DB1-Normal70"/>
              <w:spacing w:after="200" w:line="276" w:lineRule="auto"/>
              <w:jc w:val="center"/>
              <w:rPr>
                <w:noProof/>
              </w:rPr>
            </w:pPr>
            <w:r>
              <w:rPr>
                <w:noProof/>
              </w:rPr>
              <w:t>T</w:t>
            </w:r>
          </w:p>
        </w:tc>
        <w:tc>
          <w:tcPr>
            <w:tcW w:w="2378" w:type="dxa"/>
            <w:tcBorders>
              <w:top w:val="single" w:sz="4" w:space="0" w:color="auto"/>
              <w:left w:val="nil"/>
              <w:bottom w:val="single" w:sz="4" w:space="0" w:color="auto"/>
              <w:right w:val="single" w:sz="4" w:space="0" w:color="auto"/>
            </w:tcBorders>
            <w:shd w:val="clear" w:color="auto" w:fill="C6EFCE"/>
            <w:noWrap/>
          </w:tcPr>
          <w:p w14:paraId="03E5501F" w14:textId="0A1E1DC7" w:rsidR="00553430" w:rsidRDefault="00212577">
            <w:pPr>
              <w:pStyle w:val="P68B1DB1-Normal70"/>
              <w:spacing w:after="200" w:line="276" w:lineRule="auto"/>
              <w:rPr>
                <w:noProof/>
              </w:rPr>
            </w:pPr>
            <w:r>
              <w:rPr>
                <w:noProof/>
              </w:rPr>
              <w:t xml:space="preserve">Construction du gazoduc Bosiljevo - Sisak - Kozarac </w:t>
            </w:r>
          </w:p>
        </w:tc>
        <w:tc>
          <w:tcPr>
            <w:tcW w:w="1952" w:type="dxa"/>
            <w:tcBorders>
              <w:top w:val="single" w:sz="4" w:space="0" w:color="auto"/>
              <w:left w:val="nil"/>
              <w:bottom w:val="single" w:sz="4" w:space="0" w:color="auto"/>
              <w:right w:val="single" w:sz="4" w:space="0" w:color="auto"/>
            </w:tcBorders>
            <w:shd w:val="clear" w:color="auto" w:fill="C6EFCE"/>
            <w:noWrap/>
          </w:tcPr>
          <w:p w14:paraId="0F3F6E10" w14:textId="77777777" w:rsidR="00553430" w:rsidRDefault="00553430">
            <w:pPr>
              <w:spacing w:after="200" w:line="276" w:lineRule="auto"/>
              <w:rPr>
                <w:rFonts w:ascii="Times New Roman" w:eastAsia="Calibri" w:hAnsi="Times New Roman" w:cs="Times New Roman"/>
                <w:noProof/>
                <w:sz w:val="20"/>
                <w:szCs w:val="20"/>
              </w:rPr>
            </w:pPr>
          </w:p>
        </w:tc>
        <w:tc>
          <w:tcPr>
            <w:tcW w:w="1131" w:type="dxa"/>
            <w:tcBorders>
              <w:top w:val="single" w:sz="4" w:space="0" w:color="auto"/>
              <w:left w:val="nil"/>
              <w:bottom w:val="single" w:sz="4" w:space="0" w:color="auto"/>
              <w:right w:val="single" w:sz="4" w:space="0" w:color="auto"/>
            </w:tcBorders>
            <w:shd w:val="clear" w:color="auto" w:fill="C6EFCE"/>
            <w:noWrap/>
          </w:tcPr>
          <w:p w14:paraId="0F6E0327" w14:textId="77777777" w:rsidR="00553430" w:rsidRDefault="00212577">
            <w:pPr>
              <w:pStyle w:val="P68B1DB1-Normal70"/>
              <w:spacing w:after="200" w:line="276" w:lineRule="auto"/>
              <w:jc w:val="center"/>
              <w:rPr>
                <w:noProof/>
              </w:rPr>
            </w:pPr>
            <w:r>
              <w:rPr>
                <w:noProof/>
              </w:rPr>
              <w:t>kilomètres</w:t>
            </w:r>
          </w:p>
        </w:tc>
        <w:tc>
          <w:tcPr>
            <w:tcW w:w="868" w:type="dxa"/>
            <w:tcBorders>
              <w:top w:val="single" w:sz="4" w:space="0" w:color="auto"/>
              <w:left w:val="nil"/>
              <w:bottom w:val="single" w:sz="4" w:space="0" w:color="auto"/>
              <w:right w:val="single" w:sz="4" w:space="0" w:color="auto"/>
            </w:tcBorders>
            <w:shd w:val="clear" w:color="auto" w:fill="C6EFCE"/>
            <w:noWrap/>
          </w:tcPr>
          <w:p w14:paraId="0A7BB082" w14:textId="77777777" w:rsidR="00553430" w:rsidRDefault="00212577">
            <w:pPr>
              <w:pStyle w:val="P68B1DB1-Normal70"/>
              <w:spacing w:after="200" w:line="276" w:lineRule="auto"/>
              <w:jc w:val="center"/>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462F2DB0" w14:textId="77777777" w:rsidR="00553430" w:rsidRDefault="00212577">
            <w:pPr>
              <w:pStyle w:val="P68B1DB1-Normal70"/>
              <w:spacing w:after="200" w:line="276" w:lineRule="auto"/>
              <w:jc w:val="center"/>
              <w:rPr>
                <w:noProof/>
              </w:rPr>
            </w:pPr>
            <w:r>
              <w:rPr>
                <w:noProof/>
              </w:rPr>
              <w:t>122</w:t>
            </w:r>
          </w:p>
        </w:tc>
        <w:tc>
          <w:tcPr>
            <w:tcW w:w="567" w:type="dxa"/>
            <w:tcBorders>
              <w:top w:val="single" w:sz="4" w:space="0" w:color="auto"/>
              <w:left w:val="nil"/>
              <w:bottom w:val="single" w:sz="4" w:space="0" w:color="auto"/>
              <w:right w:val="single" w:sz="4" w:space="0" w:color="auto"/>
            </w:tcBorders>
            <w:shd w:val="clear" w:color="auto" w:fill="C6EFCE"/>
            <w:noWrap/>
          </w:tcPr>
          <w:p w14:paraId="1AF89733" w14:textId="77777777" w:rsidR="00553430" w:rsidRDefault="00212577">
            <w:pPr>
              <w:pStyle w:val="P68B1DB1-Normal70"/>
              <w:spacing w:after="200" w:line="276" w:lineRule="auto"/>
              <w:jc w:val="center"/>
              <w:rPr>
                <w:noProof/>
              </w:rPr>
            </w:pPr>
            <w:r>
              <w:rPr>
                <w:noProof/>
              </w:rPr>
              <w:t>T2</w:t>
            </w:r>
          </w:p>
        </w:tc>
        <w:tc>
          <w:tcPr>
            <w:tcW w:w="567" w:type="dxa"/>
            <w:tcBorders>
              <w:top w:val="single" w:sz="4" w:space="0" w:color="auto"/>
              <w:left w:val="nil"/>
              <w:bottom w:val="single" w:sz="4" w:space="0" w:color="auto"/>
              <w:right w:val="single" w:sz="4" w:space="0" w:color="auto"/>
            </w:tcBorders>
            <w:shd w:val="clear" w:color="auto" w:fill="C6EFCE"/>
            <w:noWrap/>
          </w:tcPr>
          <w:p w14:paraId="4DCD4656" w14:textId="77777777" w:rsidR="00553430" w:rsidRDefault="00212577">
            <w:pPr>
              <w:pStyle w:val="P68B1DB1-Normal70"/>
              <w:spacing w:after="200" w:line="276" w:lineRule="auto"/>
              <w:jc w:val="center"/>
              <w:rPr>
                <w:noProof/>
              </w:rPr>
            </w:pPr>
            <w:r>
              <w:rPr>
                <w:noProof/>
              </w:rPr>
              <w:t>2026</w:t>
            </w:r>
          </w:p>
        </w:tc>
        <w:tc>
          <w:tcPr>
            <w:tcW w:w="4160" w:type="dxa"/>
            <w:tcBorders>
              <w:top w:val="single" w:sz="4" w:space="0" w:color="auto"/>
              <w:left w:val="nil"/>
              <w:bottom w:val="single" w:sz="4" w:space="0" w:color="auto"/>
              <w:right w:val="single" w:sz="4" w:space="0" w:color="auto"/>
            </w:tcBorders>
            <w:shd w:val="clear" w:color="auto" w:fill="C6EFCE"/>
            <w:noWrap/>
          </w:tcPr>
          <w:p w14:paraId="57101DAB" w14:textId="34591860" w:rsidR="00553430" w:rsidRDefault="00212577">
            <w:pPr>
              <w:pStyle w:val="P68B1DB1-Normal70"/>
              <w:spacing w:after="200" w:line="276" w:lineRule="auto"/>
              <w:rPr>
                <w:noProof/>
              </w:rPr>
            </w:pPr>
            <w:r>
              <w:rPr>
                <w:noProof/>
              </w:rPr>
              <w:t xml:space="preserve">Le gazoduc Bosiljevo – </w:t>
            </w:r>
            <w:r>
              <w:rPr>
                <w:noProof/>
              </w:rPr>
              <w:t>Sisak – Kozarac, d’une longueur de 122 km, sera construit, ce qui portera la capacité de transport de gaz vers la Hongrie à 400 000 sm3/h.</w:t>
            </w:r>
          </w:p>
        </w:tc>
      </w:tr>
      <w:tr w:rsidR="00553430" w14:paraId="53313967"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3C3D6F0" w14:textId="77777777" w:rsidR="00553430" w:rsidRDefault="00212577">
            <w:pPr>
              <w:pStyle w:val="P68B1DB1-Normal89"/>
              <w:spacing w:after="0" w:line="276" w:lineRule="auto"/>
              <w:jc w:val="center"/>
              <w:rPr>
                <w:rFonts w:eastAsia="Calibri"/>
                <w:noProof/>
              </w:rPr>
            </w:pPr>
            <w:r>
              <w:rPr>
                <w:noProof/>
              </w:rPr>
              <w:t>427</w:t>
            </w:r>
          </w:p>
        </w:tc>
        <w:tc>
          <w:tcPr>
            <w:tcW w:w="1205" w:type="dxa"/>
            <w:tcBorders>
              <w:top w:val="single" w:sz="4" w:space="0" w:color="auto"/>
              <w:left w:val="nil"/>
              <w:bottom w:val="single" w:sz="4" w:space="0" w:color="auto"/>
              <w:right w:val="single" w:sz="4" w:space="0" w:color="auto"/>
            </w:tcBorders>
            <w:shd w:val="clear" w:color="auto" w:fill="C6EFCE"/>
            <w:noWrap/>
          </w:tcPr>
          <w:p w14:paraId="5B1966B7" w14:textId="77777777" w:rsidR="00553430" w:rsidRDefault="00212577">
            <w:pPr>
              <w:pStyle w:val="P68B1DB1-Normal102"/>
              <w:spacing w:after="200" w:line="276" w:lineRule="auto"/>
              <w:jc w:val="center"/>
              <w:rPr>
                <w:noProof/>
                <w:color w:val="000000" w:themeColor="text1"/>
              </w:rPr>
            </w:pPr>
            <w:r>
              <w:rPr>
                <w:noProof/>
              </w:rPr>
              <w:t>C7.1 I3</w:t>
            </w:r>
          </w:p>
        </w:tc>
        <w:tc>
          <w:tcPr>
            <w:tcW w:w="1064" w:type="dxa"/>
            <w:tcBorders>
              <w:top w:val="single" w:sz="4" w:space="0" w:color="auto"/>
              <w:left w:val="nil"/>
              <w:bottom w:val="single" w:sz="4" w:space="0" w:color="auto"/>
              <w:right w:val="single" w:sz="4" w:space="0" w:color="auto"/>
            </w:tcBorders>
            <w:shd w:val="clear" w:color="auto" w:fill="C6EFCE"/>
            <w:noWrap/>
          </w:tcPr>
          <w:p w14:paraId="788656CA" w14:textId="77777777" w:rsidR="00553430" w:rsidRDefault="00212577">
            <w:pPr>
              <w:pStyle w:val="P68B1DB1-Normal70"/>
              <w:spacing w:after="200" w:line="276" w:lineRule="auto"/>
              <w:jc w:val="center"/>
              <w:rPr>
                <w:noProof/>
              </w:rPr>
            </w:pPr>
            <w:r>
              <w:rPr>
                <w:noProof/>
              </w:rPr>
              <w:t>M</w:t>
            </w:r>
          </w:p>
        </w:tc>
        <w:tc>
          <w:tcPr>
            <w:tcW w:w="2378" w:type="dxa"/>
            <w:tcBorders>
              <w:top w:val="single" w:sz="4" w:space="0" w:color="auto"/>
              <w:left w:val="nil"/>
              <w:bottom w:val="single" w:sz="4" w:space="0" w:color="auto"/>
              <w:right w:val="single" w:sz="4" w:space="0" w:color="auto"/>
            </w:tcBorders>
            <w:shd w:val="clear" w:color="auto" w:fill="C6EFCE"/>
            <w:noWrap/>
          </w:tcPr>
          <w:p w14:paraId="54BC7B31" w14:textId="77777777" w:rsidR="00553430" w:rsidRDefault="00212577">
            <w:pPr>
              <w:pStyle w:val="P68B1DB1-Normal70"/>
              <w:spacing w:after="200" w:line="276" w:lineRule="auto"/>
              <w:rPr>
                <w:noProof/>
              </w:rPr>
            </w:pPr>
            <w:r>
              <w:rPr>
                <w:noProof/>
              </w:rPr>
              <w:t xml:space="preserve">Appel d’offres pour l’acquisition de tuyaux pour l’agrandissement de la section Lučko – Zabok de </w:t>
            </w:r>
            <w:r>
              <w:rPr>
                <w:noProof/>
              </w:rPr>
              <w:t>l’interconnexion Croatie – Slovénie</w:t>
            </w:r>
          </w:p>
        </w:tc>
        <w:tc>
          <w:tcPr>
            <w:tcW w:w="1952" w:type="dxa"/>
            <w:tcBorders>
              <w:top w:val="single" w:sz="4" w:space="0" w:color="auto"/>
              <w:left w:val="nil"/>
              <w:bottom w:val="single" w:sz="4" w:space="0" w:color="auto"/>
              <w:right w:val="single" w:sz="4" w:space="0" w:color="auto"/>
            </w:tcBorders>
            <w:shd w:val="clear" w:color="auto" w:fill="C6EFCE"/>
            <w:noWrap/>
          </w:tcPr>
          <w:p w14:paraId="5DCEF1B9" w14:textId="77777777" w:rsidR="00553430" w:rsidRDefault="00212577">
            <w:pPr>
              <w:pStyle w:val="P68B1DB1-Normal70"/>
              <w:spacing w:after="200" w:line="276" w:lineRule="auto"/>
              <w:rPr>
                <w:noProof/>
              </w:rPr>
            </w:pPr>
            <w:r>
              <w:rPr>
                <w:noProof/>
              </w:rPr>
              <w:t>Appel d’offres pour l’achat de tuyaux lancés</w:t>
            </w:r>
          </w:p>
        </w:tc>
        <w:tc>
          <w:tcPr>
            <w:tcW w:w="1131" w:type="dxa"/>
            <w:tcBorders>
              <w:top w:val="single" w:sz="4" w:space="0" w:color="auto"/>
              <w:left w:val="nil"/>
              <w:bottom w:val="single" w:sz="4" w:space="0" w:color="auto"/>
              <w:right w:val="single" w:sz="4" w:space="0" w:color="auto"/>
            </w:tcBorders>
            <w:shd w:val="clear" w:color="auto" w:fill="C6EFCE"/>
            <w:noWrap/>
          </w:tcPr>
          <w:p w14:paraId="671C27C3" w14:textId="77777777" w:rsidR="00553430" w:rsidRDefault="00553430">
            <w:pPr>
              <w:spacing w:after="200" w:line="276" w:lineRule="auto"/>
              <w:jc w:val="center"/>
              <w:rPr>
                <w:rFonts w:ascii="Times New Roman" w:eastAsia="Calibri" w:hAnsi="Times New Roman" w:cs="Times New Roman"/>
                <w:noProof/>
                <w:sz w:val="20"/>
                <w:szCs w:val="20"/>
              </w:rPr>
            </w:pPr>
          </w:p>
        </w:tc>
        <w:tc>
          <w:tcPr>
            <w:tcW w:w="868" w:type="dxa"/>
            <w:tcBorders>
              <w:top w:val="single" w:sz="4" w:space="0" w:color="auto"/>
              <w:left w:val="nil"/>
              <w:bottom w:val="single" w:sz="4" w:space="0" w:color="auto"/>
              <w:right w:val="single" w:sz="4" w:space="0" w:color="auto"/>
            </w:tcBorders>
            <w:shd w:val="clear" w:color="auto" w:fill="C6EFCE"/>
            <w:noWrap/>
          </w:tcPr>
          <w:p w14:paraId="3E2E50B6" w14:textId="77777777" w:rsidR="00553430" w:rsidRDefault="00553430">
            <w:pPr>
              <w:spacing w:after="200" w:line="276" w:lineRule="auto"/>
              <w:jc w:val="center"/>
              <w:rPr>
                <w:rFonts w:ascii="Times New Roman" w:eastAsia="Calibri" w:hAnsi="Times New Roman" w:cs="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11DB2D0A" w14:textId="77777777" w:rsidR="00553430" w:rsidRDefault="00553430">
            <w:pPr>
              <w:spacing w:after="200" w:line="276" w:lineRule="auto"/>
              <w:jc w:val="center"/>
              <w:rPr>
                <w:rFonts w:ascii="Times New Roman" w:eastAsia="Calibri" w:hAnsi="Times New Roman" w:cs="Times New Roman"/>
                <w:noProof/>
                <w:sz w:val="20"/>
                <w:szCs w:val="20"/>
              </w:rPr>
            </w:pPr>
          </w:p>
        </w:tc>
        <w:tc>
          <w:tcPr>
            <w:tcW w:w="567" w:type="dxa"/>
            <w:tcBorders>
              <w:top w:val="single" w:sz="4" w:space="0" w:color="auto"/>
              <w:left w:val="nil"/>
              <w:bottom w:val="single" w:sz="4" w:space="0" w:color="auto"/>
              <w:right w:val="single" w:sz="4" w:space="0" w:color="auto"/>
            </w:tcBorders>
            <w:shd w:val="clear" w:color="auto" w:fill="C6EFCE"/>
            <w:noWrap/>
          </w:tcPr>
          <w:p w14:paraId="205B80B9" w14:textId="77777777" w:rsidR="00553430" w:rsidRDefault="00212577">
            <w:pPr>
              <w:pStyle w:val="P68B1DB1-Normal70"/>
              <w:spacing w:after="200" w:line="276" w:lineRule="auto"/>
              <w:jc w:val="center"/>
              <w:rPr>
                <w:noProof/>
              </w:rPr>
            </w:pPr>
            <w:r>
              <w:rPr>
                <w:noProof/>
              </w:rPr>
              <w:t>T1</w:t>
            </w:r>
          </w:p>
        </w:tc>
        <w:tc>
          <w:tcPr>
            <w:tcW w:w="567" w:type="dxa"/>
            <w:tcBorders>
              <w:top w:val="single" w:sz="4" w:space="0" w:color="auto"/>
              <w:left w:val="nil"/>
              <w:bottom w:val="single" w:sz="4" w:space="0" w:color="auto"/>
              <w:right w:val="single" w:sz="4" w:space="0" w:color="auto"/>
            </w:tcBorders>
            <w:shd w:val="clear" w:color="auto" w:fill="C6EFCE"/>
            <w:noWrap/>
          </w:tcPr>
          <w:p w14:paraId="7165F380" w14:textId="77777777" w:rsidR="00553430" w:rsidRDefault="00212577">
            <w:pPr>
              <w:pStyle w:val="P68B1DB1-Normal70"/>
              <w:spacing w:after="200" w:line="276" w:lineRule="auto"/>
              <w:jc w:val="center"/>
              <w:rPr>
                <w:noProof/>
              </w:rPr>
            </w:pPr>
            <w:r>
              <w:rPr>
                <w:noProof/>
              </w:rPr>
              <w:t>2024</w:t>
            </w:r>
          </w:p>
        </w:tc>
        <w:tc>
          <w:tcPr>
            <w:tcW w:w="4160" w:type="dxa"/>
            <w:tcBorders>
              <w:top w:val="single" w:sz="4" w:space="0" w:color="auto"/>
              <w:left w:val="nil"/>
              <w:bottom w:val="single" w:sz="4" w:space="0" w:color="auto"/>
              <w:right w:val="single" w:sz="4" w:space="0" w:color="auto"/>
            </w:tcBorders>
            <w:shd w:val="clear" w:color="auto" w:fill="C6EFCE"/>
            <w:noWrap/>
          </w:tcPr>
          <w:p w14:paraId="6F3B5B7A" w14:textId="77777777" w:rsidR="00553430" w:rsidRDefault="00212577">
            <w:pPr>
              <w:pStyle w:val="P68B1DB1-Normal70"/>
              <w:spacing w:after="200" w:line="276" w:lineRule="auto"/>
              <w:rPr>
                <w:noProof/>
              </w:rPr>
            </w:pPr>
            <w:r>
              <w:rPr>
                <w:noProof/>
              </w:rPr>
              <w:t>L’appel d’offres pour l’acquisition de tuyaux est lancé pour l’agrandissement de la section Lučko – Zabok de l’interconnexion Croatie – Slovénie.</w:t>
            </w:r>
          </w:p>
        </w:tc>
      </w:tr>
      <w:tr w:rsidR="00553430" w14:paraId="1DFC5D74"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2273F56B" w14:textId="77777777" w:rsidR="00553430" w:rsidRDefault="00212577">
            <w:pPr>
              <w:pStyle w:val="P68B1DB1-Normal89"/>
              <w:spacing w:after="0" w:line="276" w:lineRule="auto"/>
              <w:jc w:val="center"/>
              <w:rPr>
                <w:rFonts w:eastAsia="Calibri"/>
                <w:noProof/>
              </w:rPr>
            </w:pPr>
            <w:r>
              <w:rPr>
                <w:noProof/>
              </w:rPr>
              <w:t>428</w:t>
            </w:r>
          </w:p>
        </w:tc>
        <w:tc>
          <w:tcPr>
            <w:tcW w:w="1205" w:type="dxa"/>
            <w:tcBorders>
              <w:top w:val="single" w:sz="4" w:space="0" w:color="auto"/>
              <w:left w:val="nil"/>
              <w:bottom w:val="single" w:sz="4" w:space="0" w:color="auto"/>
              <w:right w:val="single" w:sz="4" w:space="0" w:color="auto"/>
            </w:tcBorders>
            <w:shd w:val="clear" w:color="auto" w:fill="C6EFCE"/>
            <w:noWrap/>
          </w:tcPr>
          <w:p w14:paraId="559ACAE8" w14:textId="77777777" w:rsidR="00553430" w:rsidRDefault="00212577">
            <w:pPr>
              <w:pStyle w:val="P68B1DB1-Normal102"/>
              <w:spacing w:after="200" w:line="276" w:lineRule="auto"/>
              <w:jc w:val="center"/>
              <w:rPr>
                <w:noProof/>
                <w:color w:val="000000" w:themeColor="text1"/>
              </w:rPr>
            </w:pPr>
            <w:r>
              <w:rPr>
                <w:noProof/>
              </w:rPr>
              <w:t>C7.1 I3</w:t>
            </w:r>
          </w:p>
        </w:tc>
        <w:tc>
          <w:tcPr>
            <w:tcW w:w="1064" w:type="dxa"/>
            <w:tcBorders>
              <w:top w:val="single" w:sz="4" w:space="0" w:color="auto"/>
              <w:left w:val="nil"/>
              <w:bottom w:val="single" w:sz="4" w:space="0" w:color="auto"/>
              <w:right w:val="single" w:sz="4" w:space="0" w:color="auto"/>
            </w:tcBorders>
            <w:shd w:val="clear" w:color="auto" w:fill="C6EFCE"/>
            <w:noWrap/>
          </w:tcPr>
          <w:p w14:paraId="2E671999" w14:textId="77777777" w:rsidR="00553430" w:rsidRDefault="00212577">
            <w:pPr>
              <w:pStyle w:val="P68B1DB1-Normal70"/>
              <w:spacing w:after="200" w:line="276" w:lineRule="auto"/>
              <w:jc w:val="center"/>
              <w:rPr>
                <w:noProof/>
              </w:rPr>
            </w:pPr>
            <w:r>
              <w:rPr>
                <w:noProof/>
              </w:rPr>
              <w:t>T</w:t>
            </w:r>
          </w:p>
        </w:tc>
        <w:tc>
          <w:tcPr>
            <w:tcW w:w="2378" w:type="dxa"/>
            <w:tcBorders>
              <w:top w:val="single" w:sz="4" w:space="0" w:color="auto"/>
              <w:left w:val="nil"/>
              <w:bottom w:val="single" w:sz="4" w:space="0" w:color="auto"/>
              <w:right w:val="single" w:sz="4" w:space="0" w:color="auto"/>
            </w:tcBorders>
            <w:shd w:val="clear" w:color="auto" w:fill="C6EFCE"/>
            <w:noWrap/>
          </w:tcPr>
          <w:p w14:paraId="444DCAF6" w14:textId="17630485" w:rsidR="00553430" w:rsidRDefault="00212577">
            <w:pPr>
              <w:pStyle w:val="P68B1DB1-Normal70"/>
              <w:spacing w:after="200" w:line="276" w:lineRule="auto"/>
              <w:rPr>
                <w:noProof/>
              </w:rPr>
            </w:pPr>
            <w:r>
              <w:rPr>
                <w:noProof/>
              </w:rPr>
              <w:t>Construction du tronçon Lučko – Zabok de l’interconnexion Croatie – Slovénie</w:t>
            </w:r>
          </w:p>
        </w:tc>
        <w:tc>
          <w:tcPr>
            <w:tcW w:w="1952" w:type="dxa"/>
            <w:tcBorders>
              <w:top w:val="single" w:sz="4" w:space="0" w:color="auto"/>
              <w:left w:val="nil"/>
              <w:bottom w:val="single" w:sz="4" w:space="0" w:color="auto"/>
              <w:right w:val="single" w:sz="4" w:space="0" w:color="auto"/>
            </w:tcBorders>
            <w:shd w:val="clear" w:color="auto" w:fill="C6EFCE"/>
            <w:noWrap/>
          </w:tcPr>
          <w:p w14:paraId="77702B09" w14:textId="77777777" w:rsidR="00553430" w:rsidRDefault="00553430">
            <w:pPr>
              <w:spacing w:after="200" w:line="276" w:lineRule="auto"/>
              <w:rPr>
                <w:rFonts w:ascii="Times New Roman" w:eastAsia="Calibri" w:hAnsi="Times New Roman" w:cs="Times New Roman"/>
                <w:noProof/>
                <w:sz w:val="20"/>
                <w:szCs w:val="20"/>
              </w:rPr>
            </w:pPr>
          </w:p>
        </w:tc>
        <w:tc>
          <w:tcPr>
            <w:tcW w:w="1131" w:type="dxa"/>
            <w:tcBorders>
              <w:top w:val="single" w:sz="4" w:space="0" w:color="auto"/>
              <w:left w:val="nil"/>
              <w:bottom w:val="single" w:sz="4" w:space="0" w:color="auto"/>
              <w:right w:val="single" w:sz="4" w:space="0" w:color="auto"/>
            </w:tcBorders>
            <w:shd w:val="clear" w:color="auto" w:fill="C6EFCE"/>
            <w:noWrap/>
          </w:tcPr>
          <w:p w14:paraId="252FF926" w14:textId="77777777" w:rsidR="00553430" w:rsidRDefault="00212577">
            <w:pPr>
              <w:pStyle w:val="P68B1DB1-Normal70"/>
              <w:spacing w:after="200" w:line="276" w:lineRule="auto"/>
              <w:jc w:val="center"/>
              <w:rPr>
                <w:noProof/>
              </w:rPr>
            </w:pPr>
            <w:r>
              <w:rPr>
                <w:noProof/>
              </w:rPr>
              <w:t>kilomètres</w:t>
            </w:r>
          </w:p>
        </w:tc>
        <w:tc>
          <w:tcPr>
            <w:tcW w:w="868" w:type="dxa"/>
            <w:tcBorders>
              <w:top w:val="single" w:sz="4" w:space="0" w:color="auto"/>
              <w:left w:val="nil"/>
              <w:bottom w:val="single" w:sz="4" w:space="0" w:color="auto"/>
              <w:right w:val="single" w:sz="4" w:space="0" w:color="auto"/>
            </w:tcBorders>
            <w:shd w:val="clear" w:color="auto" w:fill="C6EFCE"/>
            <w:noWrap/>
          </w:tcPr>
          <w:p w14:paraId="3C75EA77" w14:textId="77777777" w:rsidR="00553430" w:rsidRDefault="00212577">
            <w:pPr>
              <w:pStyle w:val="P68B1DB1-Normal70"/>
              <w:spacing w:after="200" w:line="276" w:lineRule="auto"/>
              <w:jc w:val="center"/>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12B0B1E6" w14:textId="77777777" w:rsidR="00553430" w:rsidRDefault="00212577">
            <w:pPr>
              <w:pStyle w:val="P68B1DB1-Normal70"/>
              <w:spacing w:after="200" w:line="276" w:lineRule="auto"/>
              <w:jc w:val="center"/>
              <w:rPr>
                <w:noProof/>
              </w:rPr>
            </w:pPr>
            <w:r>
              <w:rPr>
                <w:noProof/>
              </w:rPr>
              <w:t>36</w:t>
            </w:r>
          </w:p>
        </w:tc>
        <w:tc>
          <w:tcPr>
            <w:tcW w:w="567" w:type="dxa"/>
            <w:tcBorders>
              <w:top w:val="single" w:sz="4" w:space="0" w:color="auto"/>
              <w:left w:val="nil"/>
              <w:bottom w:val="single" w:sz="4" w:space="0" w:color="auto"/>
              <w:right w:val="single" w:sz="4" w:space="0" w:color="auto"/>
            </w:tcBorders>
            <w:shd w:val="clear" w:color="auto" w:fill="C6EFCE"/>
            <w:noWrap/>
          </w:tcPr>
          <w:p w14:paraId="1FA56FCA" w14:textId="77777777" w:rsidR="00553430" w:rsidRDefault="00212577">
            <w:pPr>
              <w:pStyle w:val="P68B1DB1-Normal70"/>
              <w:spacing w:after="200" w:line="276" w:lineRule="auto"/>
              <w:jc w:val="center"/>
              <w:rPr>
                <w:noProof/>
              </w:rPr>
            </w:pPr>
            <w:r>
              <w:rPr>
                <w:noProof/>
              </w:rPr>
              <w:t>T2</w:t>
            </w:r>
          </w:p>
        </w:tc>
        <w:tc>
          <w:tcPr>
            <w:tcW w:w="567" w:type="dxa"/>
            <w:tcBorders>
              <w:top w:val="single" w:sz="4" w:space="0" w:color="auto"/>
              <w:left w:val="nil"/>
              <w:bottom w:val="single" w:sz="4" w:space="0" w:color="auto"/>
              <w:right w:val="single" w:sz="4" w:space="0" w:color="auto"/>
            </w:tcBorders>
            <w:shd w:val="clear" w:color="auto" w:fill="C6EFCE"/>
            <w:noWrap/>
          </w:tcPr>
          <w:p w14:paraId="28BE6ACE" w14:textId="77777777" w:rsidR="00553430" w:rsidRDefault="00212577">
            <w:pPr>
              <w:pStyle w:val="P68B1DB1-Normal70"/>
              <w:spacing w:after="200" w:line="276" w:lineRule="auto"/>
              <w:jc w:val="center"/>
              <w:rPr>
                <w:noProof/>
              </w:rPr>
            </w:pPr>
            <w:r>
              <w:rPr>
                <w:noProof/>
              </w:rPr>
              <w:t>2026</w:t>
            </w:r>
          </w:p>
        </w:tc>
        <w:tc>
          <w:tcPr>
            <w:tcW w:w="4160" w:type="dxa"/>
            <w:tcBorders>
              <w:top w:val="single" w:sz="4" w:space="0" w:color="auto"/>
              <w:left w:val="nil"/>
              <w:bottom w:val="single" w:sz="4" w:space="0" w:color="auto"/>
              <w:right w:val="single" w:sz="4" w:space="0" w:color="auto"/>
            </w:tcBorders>
            <w:shd w:val="clear" w:color="auto" w:fill="C6EFCE"/>
            <w:noWrap/>
          </w:tcPr>
          <w:p w14:paraId="2C14332F" w14:textId="7494D551" w:rsidR="00553430" w:rsidRDefault="00212577">
            <w:pPr>
              <w:pStyle w:val="P68B1DB1-Normal70"/>
              <w:spacing w:after="200" w:line="276" w:lineRule="auto"/>
              <w:rPr>
                <w:noProof/>
              </w:rPr>
            </w:pPr>
            <w:r>
              <w:rPr>
                <w:noProof/>
              </w:rPr>
              <w:t>La section Lučko – Zabok de l’interconnexion gazière Croatie – Slovénie, d’une longueur de 36 km, sera construite, ce qui portera la capacité de transport</w:t>
            </w:r>
            <w:r>
              <w:rPr>
                <w:noProof/>
              </w:rPr>
              <w:t xml:space="preserve"> de gaz vers la Slovénie à 170 000 sm3/h. </w:t>
            </w:r>
          </w:p>
        </w:tc>
      </w:tr>
    </w:tbl>
    <w:p w14:paraId="7599FAA3" w14:textId="77777777" w:rsidR="00553430" w:rsidRDefault="00553430">
      <w:pPr>
        <w:rPr>
          <w:rFonts w:ascii="Times New Roman" w:eastAsia="Times New Roman" w:hAnsi="Times New Roman" w:cs="Times New Roman"/>
          <w:noProof/>
          <w:sz w:val="20"/>
          <w:szCs w:val="20"/>
        </w:rPr>
      </w:pPr>
    </w:p>
    <w:p w14:paraId="0DBFB00A" w14:textId="77777777" w:rsidR="00553430" w:rsidRDefault="00553430">
      <w:pPr>
        <w:pStyle w:val="paragraph"/>
        <w:spacing w:before="0" w:beforeAutospacing="0" w:after="240" w:afterAutospacing="0"/>
        <w:jc w:val="both"/>
        <w:textAlignment w:val="baseline"/>
        <w:rPr>
          <w:rFonts w:eastAsia="Calibri"/>
          <w:b/>
          <w:noProof/>
        </w:rPr>
        <w:sectPr w:rsidR="00553430" w:rsidSect="00FA29B2">
          <w:headerReference w:type="even" r:id="rId429"/>
          <w:headerReference w:type="default" r:id="rId430"/>
          <w:footerReference w:type="even" r:id="rId431"/>
          <w:footerReference w:type="default" r:id="rId432"/>
          <w:headerReference w:type="first" r:id="rId433"/>
          <w:footerReference w:type="first" r:id="rId434"/>
          <w:pgSz w:w="16838" w:h="11906" w:orient="landscape"/>
          <w:pgMar w:top="1134" w:right="1134" w:bottom="1134" w:left="1134" w:header="567" w:footer="567" w:gutter="0"/>
          <w:cols w:space="708"/>
          <w:docGrid w:linePitch="360"/>
        </w:sectPr>
      </w:pPr>
    </w:p>
    <w:p w14:paraId="0DD13086" w14:textId="77777777" w:rsidR="00553430" w:rsidRDefault="00212577">
      <w:pPr>
        <w:pStyle w:val="P68B1DB1-paragraph66"/>
        <w:spacing w:before="0" w:beforeAutospacing="0" w:after="240" w:afterAutospacing="0"/>
        <w:jc w:val="both"/>
        <w:textAlignment w:val="baseline"/>
        <w:rPr>
          <w:noProof/>
        </w:rPr>
      </w:pPr>
      <w:r>
        <w:rPr>
          <w:noProof/>
        </w:rPr>
        <w:t>X. ÉLÉMENT 7.2: RÉNOVATION ÉNERGÉTIQUE DES BÂTIMENTS (Chapitre REPowerEU)</w:t>
      </w:r>
    </w:p>
    <w:p w14:paraId="2D3F43B2" w14:textId="77777777" w:rsidR="00553430" w:rsidRDefault="00212577">
      <w:pPr>
        <w:pStyle w:val="paragraph"/>
        <w:spacing w:before="0" w:beforeAutospacing="0" w:after="0" w:afterAutospacing="0"/>
        <w:jc w:val="both"/>
        <w:textAlignment w:val="baseline"/>
        <w:rPr>
          <w:noProof/>
        </w:rPr>
      </w:pPr>
      <w:r>
        <w:rPr>
          <w:noProof/>
        </w:rPr>
        <w:t>L’objectif principal de ce volet est de réduire la dépendance à l’égard des combustibles fossiles et d’accélérer la transition écologique dans l’ensemble de l’économie.</w:t>
      </w:r>
      <w:r>
        <w:rPr>
          <w:noProof/>
          <w:color w:val="000000" w:themeColor="text1"/>
        </w:rPr>
        <w:t xml:space="preserve"> Cet objectif devrait être atteint au moyen de mesures </w:t>
      </w:r>
      <w:r>
        <w:rPr>
          <w:noProof/>
        </w:rPr>
        <w:t xml:space="preserve">liées à la rénovation des </w:t>
      </w:r>
      <w:r>
        <w:rPr>
          <w:noProof/>
        </w:rPr>
        <w:t>bâtiments, à la lutte contre la précarité énergétique et au renforcement des compétences vertes. Les mesures mentionnées visent à renforcer l’efficacité énergétique des bâtiments, à réduire la dépendance à l’égard des combustibles fossiles, à lutter contre</w:t>
      </w:r>
      <w:r>
        <w:rPr>
          <w:noProof/>
        </w:rPr>
        <w:t xml:space="preserve"> la précarité énergétique, à contribuer à accroître la sécurité énergétique et à soutenir la requalification de la main-d’œuvre en compétences vertes. </w:t>
      </w:r>
    </w:p>
    <w:p w14:paraId="6F14D449" w14:textId="77777777" w:rsidR="00553430" w:rsidRDefault="00212577">
      <w:pPr>
        <w:pStyle w:val="paragraph"/>
        <w:spacing w:after="0"/>
        <w:jc w:val="both"/>
        <w:textAlignment w:val="baseline"/>
        <w:rPr>
          <w:noProof/>
        </w:rPr>
      </w:pPr>
      <w:r>
        <w:rPr>
          <w:noProof/>
        </w:rPr>
        <w:t>Sur les cinq mesures relevant de ce volet, deux ont une dimension transfrontière ou plurinationale, à sa</w:t>
      </w:r>
      <w:r>
        <w:rPr>
          <w:noProof/>
        </w:rPr>
        <w:t>voir les investissements dans la rénovation énergétique des bâtiments et la rénovation des bâtiments endommagés par des tremblements de terre du fait de la rénovation énergétique.</w:t>
      </w:r>
    </w:p>
    <w:p w14:paraId="0D20DF72" w14:textId="77777777" w:rsidR="00553430" w:rsidRDefault="00212577">
      <w:pPr>
        <w:pStyle w:val="paragraph"/>
        <w:spacing w:before="0" w:beforeAutospacing="0" w:after="0" w:afterAutospacing="0"/>
        <w:jc w:val="both"/>
        <w:textAlignment w:val="baseline"/>
        <w:rPr>
          <w:noProof/>
        </w:rPr>
      </w:pPr>
      <w:r>
        <w:rPr>
          <w:noProof/>
        </w:rPr>
        <w:t>Les investissements et les réformes contribuent à donner suite aux recommand</w:t>
      </w:r>
      <w:r>
        <w:rPr>
          <w:noProof/>
        </w:rPr>
        <w:t>ations par pays adressées à la Croatie concernant la nécessité de réduire la demande d’énergie en améliorant l’efficacité énergétique, principalement dans les bâtiments résidentiels (recommandations 2019.3.3, 2022.3.4, 2023.3.1 et 3.5), la nécessité de dép</w:t>
      </w:r>
      <w:r>
        <w:rPr>
          <w:noProof/>
        </w:rPr>
        <w:t>loyer des efforts stratégiques visant à fournir et à acquérir les compétences nécessaires à la transition écologique (recommandations 2023.3.7) et d’accroître le déploiement et l’adoption des sources d’énergie renouvelables (recommandations 2019.3.3, 2020.</w:t>
      </w:r>
      <w:r>
        <w:rPr>
          <w:noProof/>
        </w:rPr>
        <w:t>3.8, 2022.3.2, 2023.3.1 et 3.2).</w:t>
      </w:r>
    </w:p>
    <w:p w14:paraId="4128D3AF" w14:textId="77777777" w:rsidR="00553430" w:rsidRDefault="00553430">
      <w:pPr>
        <w:pStyle w:val="paragraph"/>
        <w:spacing w:before="0" w:beforeAutospacing="0" w:after="0" w:afterAutospacing="0"/>
        <w:jc w:val="both"/>
        <w:textAlignment w:val="baseline"/>
        <w:rPr>
          <w:noProof/>
          <w:color w:val="000000" w:themeColor="text1"/>
        </w:rPr>
      </w:pPr>
    </w:p>
    <w:p w14:paraId="564DAE0D" w14:textId="77777777" w:rsidR="00553430" w:rsidRDefault="00212577">
      <w:pPr>
        <w:pStyle w:val="P68B1DB1-paragraph58"/>
        <w:spacing w:before="0" w:beforeAutospacing="0" w:after="0" w:afterAutospacing="0"/>
        <w:jc w:val="both"/>
        <w:textAlignment w:val="baseline"/>
        <w:rPr>
          <w:noProof/>
        </w:rPr>
      </w:pPr>
      <w:r>
        <w:rPr>
          <w:noProof/>
        </w:rPr>
        <w:t>Aucune mesure de cette composante ne devrait causer de préjudice important aux objectifs environnementaux au sens de l’article 17 du règlement (UE) 2020/852, compte tenu de la description des mesures et des mesures d’attén</w:t>
      </w:r>
      <w:r>
        <w:rPr>
          <w:noProof/>
        </w:rPr>
        <w:t>uation énoncées dans le plan pour la reprise et la résilience conformément aux orientations techniques «Ne pas causer de préjudice important» [C(2023) 6454 final].</w:t>
      </w:r>
    </w:p>
    <w:p w14:paraId="7D1AFB84" w14:textId="77777777" w:rsidR="00553430" w:rsidRDefault="00553430">
      <w:pPr>
        <w:pStyle w:val="paragraph"/>
        <w:spacing w:before="0" w:beforeAutospacing="0" w:after="0" w:afterAutospacing="0"/>
        <w:jc w:val="both"/>
        <w:textAlignment w:val="baseline"/>
        <w:rPr>
          <w:noProof/>
        </w:rPr>
      </w:pPr>
    </w:p>
    <w:p w14:paraId="0F2FEC25" w14:textId="77777777" w:rsidR="00553430" w:rsidRDefault="00212577">
      <w:pPr>
        <w:pStyle w:val="paragraph"/>
        <w:spacing w:before="0" w:beforeAutospacing="0" w:after="0" w:afterAutospacing="0"/>
        <w:jc w:val="both"/>
        <w:textAlignment w:val="baseline"/>
        <w:rPr>
          <w:noProof/>
          <w:u w:val="single"/>
        </w:rPr>
      </w:pPr>
      <w:r>
        <w:rPr>
          <w:rStyle w:val="normaltextrun"/>
          <w:b/>
          <w:noProof/>
          <w:u w:val="single"/>
        </w:rPr>
        <w:t xml:space="preserve">X.1. </w:t>
      </w:r>
      <w:r>
        <w:rPr>
          <w:rStyle w:val="tabchar"/>
          <w:noProof/>
          <w:u w:val="single"/>
        </w:rPr>
        <w:t xml:space="preserve"> </w:t>
      </w:r>
      <w:r>
        <w:rPr>
          <w:rStyle w:val="normaltextrun"/>
          <w:b/>
          <w:noProof/>
          <w:u w:val="single"/>
        </w:rPr>
        <w:t>Description des réformes et des investissements pour le soutien financier non rembour</w:t>
      </w:r>
      <w:r>
        <w:rPr>
          <w:rStyle w:val="normaltextrun"/>
          <w:b/>
          <w:noProof/>
          <w:u w:val="single"/>
        </w:rPr>
        <w:t>sable</w:t>
      </w:r>
      <w:r>
        <w:rPr>
          <w:rStyle w:val="eop"/>
          <w:noProof/>
          <w:u w:val="single"/>
        </w:rPr>
        <w:t> </w:t>
      </w:r>
    </w:p>
    <w:p w14:paraId="3C82FE37" w14:textId="77777777" w:rsidR="00553430" w:rsidRDefault="00553430">
      <w:pPr>
        <w:pStyle w:val="paragraph"/>
        <w:spacing w:before="0" w:beforeAutospacing="0" w:after="0" w:afterAutospacing="0"/>
        <w:jc w:val="both"/>
        <w:textAlignment w:val="baseline"/>
        <w:rPr>
          <w:rStyle w:val="normaltextrun"/>
          <w:noProof/>
        </w:rPr>
      </w:pPr>
    </w:p>
    <w:p w14:paraId="085F555B" w14:textId="77777777" w:rsidR="00553430" w:rsidRDefault="00212577">
      <w:pPr>
        <w:pStyle w:val="P68B1DB1-paragraph57"/>
        <w:spacing w:before="0" w:beforeAutospacing="0" w:after="0" w:afterAutospacing="0"/>
        <w:ind w:left="720"/>
        <w:jc w:val="both"/>
        <w:rPr>
          <w:noProof/>
          <w:color w:val="000000" w:themeColor="text1"/>
        </w:rPr>
      </w:pPr>
      <w:r>
        <w:rPr>
          <w:noProof/>
          <w:color w:val="000000" w:themeColor="text1"/>
          <w:shd w:val="clear" w:color="auto" w:fill="FFFFFF" w:themeFill="background1"/>
        </w:rPr>
        <w:t>Réforme C7.2 R1</w:t>
      </w:r>
      <w:r>
        <w:rPr>
          <w:noProof/>
          <w:color w:val="000000" w:themeColor="text1"/>
        </w:rPr>
        <w:t xml:space="preserve"> - </w:t>
      </w:r>
      <w:r>
        <w:rPr>
          <w:noProof/>
        </w:rPr>
        <w:t>Mesure renforcée:</w:t>
      </w:r>
      <w:r>
        <w:rPr>
          <w:noProof/>
          <w:color w:val="000000" w:themeColor="text1"/>
        </w:rPr>
        <w:t xml:space="preserve"> Accroître l’efficacité, réduire la charge administrative et numériser le processus de rénovation</w:t>
      </w:r>
    </w:p>
    <w:p w14:paraId="4C5A4193" w14:textId="77777777" w:rsidR="00553430" w:rsidRDefault="00553430">
      <w:pPr>
        <w:pStyle w:val="paragraph"/>
        <w:spacing w:before="0" w:beforeAutospacing="0" w:after="0" w:afterAutospacing="0"/>
        <w:jc w:val="both"/>
        <w:textAlignment w:val="baseline"/>
        <w:rPr>
          <w:rStyle w:val="eop"/>
          <w:noProof/>
        </w:rPr>
      </w:pPr>
    </w:p>
    <w:p w14:paraId="3D92831D" w14:textId="77777777" w:rsidR="00553430" w:rsidRDefault="00212577">
      <w:pPr>
        <w:pStyle w:val="P68B1DB1-paragraph58"/>
        <w:spacing w:before="0" w:beforeAutospacing="0" w:after="240" w:afterAutospacing="0"/>
        <w:jc w:val="both"/>
        <w:rPr>
          <w:noProof/>
        </w:rPr>
      </w:pPr>
      <w:r>
        <w:rPr>
          <w:noProof/>
        </w:rPr>
        <w:t>L’objectif de la mesure est de renforcer la réforme C6.1.R3: Accroître l’efficacité, réduire la charge administrat</w:t>
      </w:r>
      <w:r>
        <w:rPr>
          <w:noProof/>
        </w:rPr>
        <w:t>ive et numériser le processus de rénovation dans le cadre de l’initiative 6.1: Rénovation de bâtiments. La partie élargie de la mesure consiste à organiser des ateliers participatifs, à élaborer un programme et un guide à l'intention des collectivités loca</w:t>
      </w:r>
      <w:r>
        <w:rPr>
          <w:noProof/>
        </w:rPr>
        <w:t xml:space="preserve">les autonomes et à publier du matériel pédagogique. </w:t>
      </w:r>
    </w:p>
    <w:p w14:paraId="38BCB9CA" w14:textId="77777777" w:rsidR="00553430" w:rsidRDefault="00212577">
      <w:pPr>
        <w:pStyle w:val="P68B1DB1-paragraph59"/>
        <w:spacing w:before="0" w:beforeAutospacing="0" w:after="0" w:afterAutospacing="0"/>
        <w:ind w:left="720"/>
        <w:jc w:val="both"/>
        <w:rPr>
          <w:noProof/>
        </w:rPr>
      </w:pPr>
      <w:r>
        <w:rPr>
          <w:noProof/>
        </w:rPr>
        <w:t xml:space="preserve">Réforme C7.2 R2 - Mesure renforcée: Introduction d'un nouveau modèle de stratégies de rénovation urbaine verte et mise en œuvre d'un projet pilote pour le développement d'infrastructures vertes et la </w:t>
      </w:r>
      <w:r>
        <w:rPr>
          <w:noProof/>
        </w:rPr>
        <w:t>gestion circulaire des bâtiments et des espaces</w:t>
      </w:r>
    </w:p>
    <w:p w14:paraId="3B305472" w14:textId="77777777" w:rsidR="00553430" w:rsidRDefault="00553430">
      <w:pPr>
        <w:pStyle w:val="paragraph"/>
        <w:spacing w:before="0" w:beforeAutospacing="0" w:after="0" w:afterAutospacing="0"/>
        <w:jc w:val="both"/>
        <w:rPr>
          <w:noProof/>
          <w:color w:val="000000" w:themeColor="text1"/>
          <w:u w:val="single"/>
        </w:rPr>
      </w:pPr>
    </w:p>
    <w:p w14:paraId="48247FFE" w14:textId="77857FF1" w:rsidR="00553430" w:rsidRDefault="00212577">
      <w:pPr>
        <w:pStyle w:val="P68B1DB1-paragraph58"/>
        <w:spacing w:before="0" w:beforeAutospacing="0" w:after="240" w:afterAutospacing="0"/>
        <w:jc w:val="both"/>
        <w:rPr>
          <w:noProof/>
        </w:rPr>
      </w:pPr>
      <w:r>
        <w:rPr>
          <w:noProof/>
        </w:rPr>
        <w:t>L’objectif de la mesure est de renforcer la réforme C6.1.R5: Introduction d’un nouveau modèle de stratégies de rénovation urbaine verte et mise en œuvre d’un projet pilote pour le développement d’infrastruct</w:t>
      </w:r>
      <w:r>
        <w:rPr>
          <w:noProof/>
        </w:rPr>
        <w:t xml:space="preserve">ures vertes et la gestion circulaire des bâtiments et des espaces dans le cadre de l’initiative 6.1: Rénovation de bâtiments. </w:t>
      </w:r>
      <w:bookmarkStart w:id="10" w:name="_Hlk204084808"/>
      <w:r>
        <w:rPr>
          <w:noProof/>
        </w:rPr>
        <w:t>La partie renforcée de la mesure consiste à adopter des stratégies supplémentaires de rénovation urbaine verte et à mettre en œuvr</w:t>
      </w:r>
      <w:r>
        <w:rPr>
          <w:noProof/>
        </w:rPr>
        <w:t>e des projets pilotes supplémentaires.</w:t>
      </w:r>
    </w:p>
    <w:bookmarkEnd w:id="10"/>
    <w:p w14:paraId="3B4F004D" w14:textId="77777777" w:rsidR="00553430" w:rsidRDefault="00212577">
      <w:pPr>
        <w:pStyle w:val="P68B1DB1-paragraph57"/>
        <w:spacing w:before="0" w:beforeAutospacing="0" w:after="0" w:afterAutospacing="0"/>
        <w:ind w:left="720"/>
        <w:jc w:val="both"/>
        <w:textAlignment w:val="baseline"/>
        <w:rPr>
          <w:noProof/>
        </w:rPr>
      </w:pPr>
      <w:r>
        <w:rPr>
          <w:noProof/>
        </w:rPr>
        <w:t xml:space="preserve">Investissement C7.2 I3 Rénovation de bâtiments endommagés par des tremblements de terre grâce à la rénovation énergétique </w:t>
      </w:r>
    </w:p>
    <w:p w14:paraId="60CB5952" w14:textId="77777777" w:rsidR="00553430" w:rsidRDefault="00553430">
      <w:pPr>
        <w:pStyle w:val="paragraph"/>
        <w:spacing w:before="0" w:beforeAutospacing="0" w:after="0" w:afterAutospacing="0"/>
        <w:jc w:val="both"/>
        <w:textAlignment w:val="baseline"/>
        <w:rPr>
          <w:b/>
          <w:bCs/>
          <w:noProof/>
          <w:u w:val="single"/>
        </w:rPr>
      </w:pPr>
    </w:p>
    <w:p w14:paraId="742E8656" w14:textId="77777777" w:rsidR="00553430" w:rsidRDefault="00212577">
      <w:pPr>
        <w:pStyle w:val="P68B1DB1-Normal139"/>
        <w:jc w:val="both"/>
        <w:rPr>
          <w:noProof/>
        </w:rPr>
      </w:pPr>
      <w:r>
        <w:rPr>
          <w:noProof/>
        </w:rPr>
        <w:t>L’objectif de la mesure est de réparer les dommages causés aux bâtiments publics par les trem</w:t>
      </w:r>
      <w:r>
        <w:rPr>
          <w:noProof/>
        </w:rPr>
        <w:t>blements de terre de 2020, d’accroître la résilience sismique des bâtiments et d’accroître leur efficacité énergétique. L'investissement consiste en la rénovation énergétique de bâtiments publics endommagés par des tremblements de terre.</w:t>
      </w:r>
    </w:p>
    <w:p w14:paraId="37E4927F" w14:textId="6E9255E5" w:rsidR="00553430" w:rsidRDefault="00212577">
      <w:pPr>
        <w:pStyle w:val="P68B1DB1-paragraph58"/>
        <w:jc w:val="both"/>
        <w:rPr>
          <w:noProof/>
        </w:rPr>
      </w:pPr>
      <w:r>
        <w:rPr>
          <w:noProof/>
        </w:rPr>
        <w:t xml:space="preserve">La rénovation des </w:t>
      </w:r>
      <w:r>
        <w:rPr>
          <w:noProof/>
        </w:rPr>
        <w:t>bâtiments dans leur état d’origine avant dommages est financée par le Fonds de solidarité de l’Union européenne, le cas échéant, tandis que la différence par rapport à la rénovation complète, y compris l’augmentation de l’efficacité énergétique des bâtimen</w:t>
      </w:r>
      <w:r>
        <w:rPr>
          <w:noProof/>
        </w:rPr>
        <w:t xml:space="preserve">ts et l’augmentation de leur résilience sismique (principe «reconstruire en mieux»), est financée par cet investissement. </w:t>
      </w:r>
    </w:p>
    <w:p w14:paraId="56D4D259" w14:textId="77777777" w:rsidR="00553430" w:rsidRDefault="00553430">
      <w:pPr>
        <w:rPr>
          <w:rFonts w:eastAsia="Times New Roman"/>
          <w:b/>
          <w:bCs/>
          <w:noProof/>
          <w:szCs w:val="20"/>
          <w:u w:val="single"/>
        </w:rPr>
      </w:pPr>
    </w:p>
    <w:p w14:paraId="3D9693B9" w14:textId="77777777" w:rsidR="00553430" w:rsidRDefault="00553430">
      <w:pPr>
        <w:rPr>
          <w:rFonts w:eastAsia="Times New Roman"/>
          <w:b/>
          <w:bCs/>
          <w:noProof/>
          <w:szCs w:val="20"/>
          <w:u w:val="single"/>
        </w:rPr>
      </w:pPr>
    </w:p>
    <w:p w14:paraId="54ADEF8E" w14:textId="77777777" w:rsidR="00553430" w:rsidRDefault="00553430">
      <w:pPr>
        <w:rPr>
          <w:noProof/>
        </w:rPr>
        <w:sectPr w:rsidR="00553430" w:rsidSect="00FA29B2">
          <w:headerReference w:type="even" r:id="rId435"/>
          <w:headerReference w:type="default" r:id="rId436"/>
          <w:footerReference w:type="even" r:id="rId437"/>
          <w:footerReference w:type="default" r:id="rId438"/>
          <w:headerReference w:type="first" r:id="rId439"/>
          <w:footerReference w:type="first" r:id="rId440"/>
          <w:pgSz w:w="11906" w:h="16838"/>
          <w:pgMar w:top="1134" w:right="1134" w:bottom="1134" w:left="1134" w:header="567" w:footer="567" w:gutter="0"/>
          <w:cols w:space="708"/>
          <w:docGrid w:linePitch="360"/>
        </w:sectPr>
      </w:pPr>
    </w:p>
    <w:p w14:paraId="2FCC0223" w14:textId="77777777" w:rsidR="00553430" w:rsidRDefault="00212577">
      <w:pPr>
        <w:pStyle w:val="paragraph"/>
        <w:spacing w:before="0" w:beforeAutospacing="0" w:after="0" w:afterAutospacing="0"/>
        <w:jc w:val="both"/>
        <w:textAlignment w:val="baseline"/>
        <w:rPr>
          <w:rFonts w:ascii="Segoe UI" w:hAnsi="Segoe UI" w:cs="Segoe UI"/>
          <w:noProof/>
          <w:sz w:val="18"/>
          <w:szCs w:val="18"/>
          <w:u w:val="single"/>
        </w:rPr>
      </w:pPr>
      <w:r>
        <w:rPr>
          <w:rStyle w:val="normaltextrun"/>
          <w:b/>
          <w:noProof/>
          <w:u w:val="single"/>
        </w:rPr>
        <w:t xml:space="preserve">X.2. </w:t>
      </w:r>
      <w:r>
        <w:rPr>
          <w:rStyle w:val="tabchar"/>
          <w:rFonts w:ascii="Calibri" w:hAnsi="Calibri" w:cs="Calibri"/>
          <w:noProof/>
          <w:u w:val="single"/>
        </w:rPr>
        <w:t xml:space="preserve"> </w:t>
      </w:r>
      <w:r>
        <w:rPr>
          <w:rStyle w:val="normaltextrun"/>
          <w:b/>
          <w:noProof/>
          <w:u w:val="single"/>
        </w:rPr>
        <w:t xml:space="preserve">Étapes, cibles, indicateurs et calendrier pour le suivi et la </w:t>
      </w:r>
      <w:r>
        <w:rPr>
          <w:rStyle w:val="normaltextrun"/>
          <w:b/>
          <w:noProof/>
          <w:u w:val="single"/>
        </w:rPr>
        <w:t>mise en œuvre du soutien financier non remboursable</w:t>
      </w:r>
      <w:r>
        <w:rPr>
          <w:rStyle w:val="eop"/>
          <w:noProof/>
          <w:u w:val="single"/>
        </w:rPr>
        <w:t> </w:t>
      </w:r>
    </w:p>
    <w:p w14:paraId="407AD39A" w14:textId="77777777" w:rsidR="00553430" w:rsidRDefault="00553430">
      <w:pPr>
        <w:pStyle w:val="paragraph"/>
        <w:spacing w:before="0" w:beforeAutospacing="0" w:after="0" w:afterAutospacing="0"/>
        <w:jc w:val="both"/>
        <w:textAlignment w:val="baseline"/>
        <w:rPr>
          <w:rFonts w:ascii="Segoe UI" w:hAnsi="Segoe UI" w:cs="Segoe UI"/>
          <w:noProof/>
          <w:sz w:val="18"/>
          <w:szCs w:val="18"/>
        </w:rPr>
      </w:pPr>
    </w:p>
    <w:tbl>
      <w:tblPr>
        <w:tblW w:w="14936" w:type="dxa"/>
        <w:jc w:val="center"/>
        <w:tblCellMar>
          <w:top w:w="28" w:type="dxa"/>
          <w:left w:w="28" w:type="dxa"/>
          <w:bottom w:w="28" w:type="dxa"/>
          <w:right w:w="28" w:type="dxa"/>
        </w:tblCellMar>
        <w:tblLook w:val="04A0" w:firstRow="1" w:lastRow="0" w:firstColumn="1" w:lastColumn="0" w:noHBand="0" w:noVBand="1"/>
      </w:tblPr>
      <w:tblGrid>
        <w:gridCol w:w="768"/>
        <w:gridCol w:w="1130"/>
        <w:gridCol w:w="1097"/>
        <w:gridCol w:w="2334"/>
        <w:gridCol w:w="1717"/>
        <w:gridCol w:w="944"/>
        <w:gridCol w:w="852"/>
        <w:gridCol w:w="850"/>
        <w:gridCol w:w="893"/>
        <w:gridCol w:w="662"/>
        <w:gridCol w:w="4157"/>
      </w:tblGrid>
      <w:tr w:rsidR="00553430" w14:paraId="2BA7CA3E" w14:textId="77777777">
        <w:trPr>
          <w:tblHeader/>
          <w:jc w:val="center"/>
        </w:trPr>
        <w:tc>
          <w:tcPr>
            <w:tcW w:w="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314A173" w14:textId="77777777" w:rsidR="00553430" w:rsidRDefault="00212577">
            <w:pPr>
              <w:pStyle w:val="P68B1DB1-Normal58"/>
              <w:spacing w:after="0" w:line="276" w:lineRule="auto"/>
              <w:jc w:val="center"/>
              <w:rPr>
                <w:bCs/>
                <w:noProof/>
              </w:rPr>
            </w:pPr>
            <w:r>
              <w:rPr>
                <w:noProof/>
              </w:rPr>
              <w:t>Numéro</w:t>
            </w:r>
          </w:p>
        </w:tc>
        <w:tc>
          <w:tcPr>
            <w:tcW w:w="11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827ED7" w14:textId="77777777" w:rsidR="00553430" w:rsidRDefault="00212577">
            <w:pPr>
              <w:pStyle w:val="P68B1DB1-Normal58"/>
              <w:spacing w:after="0" w:line="276" w:lineRule="auto"/>
              <w:jc w:val="center"/>
              <w:rPr>
                <w:bCs/>
                <w:noProof/>
              </w:rPr>
            </w:pPr>
            <w:r>
              <w:rPr>
                <w:noProof/>
              </w:rPr>
              <w:t>Mesure</w:t>
            </w:r>
          </w:p>
        </w:tc>
        <w:tc>
          <w:tcPr>
            <w:tcW w:w="10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E48AB36" w14:textId="77777777" w:rsidR="00553430" w:rsidRDefault="00212577">
            <w:pPr>
              <w:pStyle w:val="P68B1DB1-Normal58"/>
              <w:spacing w:after="0" w:line="276" w:lineRule="auto"/>
              <w:jc w:val="center"/>
              <w:rPr>
                <w:bCs/>
                <w:noProof/>
              </w:rPr>
            </w:pPr>
            <w:r>
              <w:rPr>
                <w:noProof/>
              </w:rPr>
              <w:t>Étape/cible</w:t>
            </w:r>
          </w:p>
        </w:tc>
        <w:tc>
          <w:tcPr>
            <w:tcW w:w="23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4DD1DCA" w14:textId="77777777" w:rsidR="00553430" w:rsidRDefault="00212577">
            <w:pPr>
              <w:pStyle w:val="P68B1DB1-Normal58"/>
              <w:spacing w:after="0" w:line="276" w:lineRule="auto"/>
              <w:jc w:val="center"/>
              <w:rPr>
                <w:bCs/>
                <w:noProof/>
              </w:rPr>
            </w:pPr>
            <w:r>
              <w:rPr>
                <w:noProof/>
              </w:rPr>
              <w:t>Nom</w:t>
            </w:r>
          </w:p>
        </w:tc>
        <w:tc>
          <w:tcPr>
            <w:tcW w:w="17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CCD33B"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qualitatifs</w:t>
            </w:r>
            <w:r>
              <w:rPr>
                <w:rFonts w:ascii="Times New Roman" w:eastAsia="Calibri" w:hAnsi="Times New Roman" w:cs="Times New Roman"/>
                <w:noProof/>
              </w:rPr>
              <w:br/>
            </w:r>
            <w:r>
              <w:rPr>
                <w:rFonts w:ascii="Times New Roman" w:eastAsia="Times New Roman" w:hAnsi="Times New Roman" w:cs="Times New Roman"/>
                <w:b/>
                <w:noProof/>
              </w:rPr>
              <w:t>(pour les jalons)</w:t>
            </w:r>
          </w:p>
        </w:tc>
        <w:tc>
          <w:tcPr>
            <w:tcW w:w="264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9D05A39"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eastAsia="Calibri" w:hAnsi="Times New Roman" w:cs="Times New Roman"/>
                <w:noProof/>
              </w:rPr>
              <w:br/>
            </w:r>
            <w:r>
              <w:rPr>
                <w:rFonts w:ascii="Times New Roman" w:eastAsia="Times New Roman" w:hAnsi="Times New Roman" w:cs="Times New Roman"/>
                <w:b/>
                <w:noProof/>
              </w:rPr>
              <w:t>(pour les objectifs)</w:t>
            </w:r>
          </w:p>
        </w:tc>
        <w:tc>
          <w:tcPr>
            <w:tcW w:w="1088" w:type="dxa"/>
            <w:gridSpan w:val="2"/>
            <w:tcBorders>
              <w:top w:val="single" w:sz="4" w:space="0" w:color="auto"/>
              <w:left w:val="nil"/>
              <w:bottom w:val="single" w:sz="4" w:space="0" w:color="auto"/>
              <w:right w:val="single" w:sz="4" w:space="0" w:color="auto"/>
            </w:tcBorders>
            <w:shd w:val="clear" w:color="auto" w:fill="BDD7EE"/>
            <w:vAlign w:val="center"/>
            <w:hideMark/>
          </w:tcPr>
          <w:p w14:paraId="192203BE" w14:textId="77777777" w:rsidR="00553430" w:rsidRDefault="00212577">
            <w:pPr>
              <w:pStyle w:val="P68B1DB1-Normal58"/>
              <w:spacing w:after="0" w:line="276" w:lineRule="auto"/>
              <w:jc w:val="center"/>
              <w:rPr>
                <w:bCs/>
                <w:noProof/>
              </w:rPr>
            </w:pPr>
            <w:r>
              <w:rPr>
                <w:noProof/>
              </w:rPr>
              <w:t>Temps</w:t>
            </w:r>
          </w:p>
        </w:tc>
        <w:tc>
          <w:tcPr>
            <w:tcW w:w="415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F64AFE" w14:textId="77777777" w:rsidR="00553430" w:rsidRDefault="00212577">
            <w:pPr>
              <w:pStyle w:val="P68B1DB1-Normal58"/>
              <w:spacing w:after="0" w:line="276" w:lineRule="auto"/>
              <w:jc w:val="center"/>
              <w:rPr>
                <w:bCs/>
                <w:noProof/>
              </w:rPr>
            </w:pPr>
            <w:r>
              <w:rPr>
                <w:noProof/>
              </w:rPr>
              <w:t>Description de chaque jalon et cible</w:t>
            </w:r>
          </w:p>
        </w:tc>
      </w:tr>
      <w:tr w:rsidR="00553430" w14:paraId="1B38AD23" w14:textId="77777777">
        <w:trPr>
          <w:tblHeader/>
          <w:jc w:val="center"/>
        </w:trPr>
        <w:tc>
          <w:tcPr>
            <w:tcW w:w="768" w:type="dxa"/>
            <w:vMerge/>
            <w:tcBorders>
              <w:top w:val="single" w:sz="4" w:space="0" w:color="auto"/>
              <w:left w:val="single" w:sz="4" w:space="0" w:color="auto"/>
              <w:bottom w:val="single" w:sz="4" w:space="0" w:color="auto"/>
              <w:right w:val="single" w:sz="4" w:space="0" w:color="auto"/>
            </w:tcBorders>
            <w:hideMark/>
          </w:tcPr>
          <w:p w14:paraId="5F066970"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130" w:type="dxa"/>
            <w:vMerge/>
            <w:tcBorders>
              <w:top w:val="single" w:sz="4" w:space="0" w:color="auto"/>
              <w:left w:val="single" w:sz="4" w:space="0" w:color="auto"/>
              <w:bottom w:val="single" w:sz="4" w:space="0" w:color="auto"/>
              <w:right w:val="single" w:sz="4" w:space="0" w:color="auto"/>
            </w:tcBorders>
            <w:hideMark/>
          </w:tcPr>
          <w:p w14:paraId="1407E161"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097" w:type="dxa"/>
            <w:vMerge/>
            <w:tcBorders>
              <w:top w:val="single" w:sz="4" w:space="0" w:color="auto"/>
              <w:left w:val="single" w:sz="4" w:space="0" w:color="auto"/>
              <w:bottom w:val="single" w:sz="4" w:space="0" w:color="auto"/>
              <w:right w:val="single" w:sz="4" w:space="0" w:color="auto"/>
            </w:tcBorders>
            <w:hideMark/>
          </w:tcPr>
          <w:p w14:paraId="0D5E0B1A"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2334" w:type="dxa"/>
            <w:vMerge/>
            <w:tcBorders>
              <w:top w:val="single" w:sz="4" w:space="0" w:color="auto"/>
              <w:left w:val="single" w:sz="4" w:space="0" w:color="auto"/>
              <w:bottom w:val="single" w:sz="4" w:space="0" w:color="auto"/>
              <w:right w:val="single" w:sz="4" w:space="0" w:color="auto"/>
            </w:tcBorders>
            <w:hideMark/>
          </w:tcPr>
          <w:p w14:paraId="6BDC9525" w14:textId="77777777" w:rsidR="00553430" w:rsidRDefault="00553430">
            <w:pPr>
              <w:spacing w:after="0" w:line="276" w:lineRule="auto"/>
              <w:rPr>
                <w:rFonts w:ascii="Times New Roman" w:eastAsia="Times New Roman" w:hAnsi="Times New Roman" w:cs="Times New Roman"/>
                <w:b/>
                <w:noProof/>
                <w:sz w:val="20"/>
                <w:szCs w:val="20"/>
              </w:rPr>
            </w:pPr>
          </w:p>
        </w:tc>
        <w:tc>
          <w:tcPr>
            <w:tcW w:w="0" w:type="auto"/>
            <w:vMerge/>
            <w:tcBorders>
              <w:top w:val="single" w:sz="4" w:space="0" w:color="auto"/>
              <w:left w:val="single" w:sz="4" w:space="0" w:color="auto"/>
              <w:bottom w:val="single" w:sz="4" w:space="0" w:color="auto"/>
              <w:right w:val="single" w:sz="4" w:space="0" w:color="auto"/>
            </w:tcBorders>
            <w:hideMark/>
          </w:tcPr>
          <w:p w14:paraId="0852AF32" w14:textId="77777777" w:rsidR="00553430" w:rsidRDefault="00553430">
            <w:pPr>
              <w:spacing w:after="0" w:line="276" w:lineRule="auto"/>
              <w:rPr>
                <w:rFonts w:ascii="Times New Roman" w:eastAsia="Times New Roman" w:hAnsi="Times New Roman" w:cs="Times New Roman"/>
                <w:b/>
                <w:noProof/>
                <w:sz w:val="20"/>
                <w:szCs w:val="20"/>
              </w:rPr>
            </w:pPr>
          </w:p>
        </w:tc>
        <w:tc>
          <w:tcPr>
            <w:tcW w:w="944" w:type="dxa"/>
            <w:tcBorders>
              <w:top w:val="nil"/>
              <w:left w:val="single" w:sz="4" w:space="0" w:color="auto"/>
              <w:bottom w:val="single" w:sz="4" w:space="0" w:color="auto"/>
              <w:right w:val="single" w:sz="4" w:space="0" w:color="auto"/>
            </w:tcBorders>
            <w:shd w:val="clear" w:color="auto" w:fill="BDD7EE"/>
            <w:hideMark/>
          </w:tcPr>
          <w:p w14:paraId="6717C34A" w14:textId="77777777" w:rsidR="00553430" w:rsidRDefault="00212577">
            <w:pPr>
              <w:pStyle w:val="P68B1DB1-Normal58"/>
              <w:spacing w:after="0" w:line="276" w:lineRule="auto"/>
              <w:jc w:val="center"/>
              <w:rPr>
                <w:bCs/>
                <w:noProof/>
              </w:rPr>
            </w:pPr>
            <w:r>
              <w:rPr>
                <w:noProof/>
              </w:rPr>
              <w:t>Unité</w:t>
            </w:r>
          </w:p>
        </w:tc>
        <w:tc>
          <w:tcPr>
            <w:tcW w:w="851" w:type="dxa"/>
            <w:tcBorders>
              <w:top w:val="nil"/>
              <w:left w:val="nil"/>
              <w:bottom w:val="single" w:sz="4" w:space="0" w:color="auto"/>
              <w:right w:val="single" w:sz="4" w:space="0" w:color="auto"/>
            </w:tcBorders>
            <w:shd w:val="clear" w:color="auto" w:fill="BDD7EE"/>
            <w:hideMark/>
          </w:tcPr>
          <w:p w14:paraId="15ABDB95" w14:textId="77777777" w:rsidR="00553430" w:rsidRDefault="00212577">
            <w:pPr>
              <w:pStyle w:val="P68B1DB1-Normal58"/>
              <w:spacing w:after="0" w:line="276" w:lineRule="auto"/>
              <w:jc w:val="center"/>
              <w:rPr>
                <w:bCs/>
                <w:noProof/>
              </w:rPr>
            </w:pPr>
            <w:r>
              <w:rPr>
                <w:noProof/>
              </w:rPr>
              <w:t>Données de référence</w:t>
            </w:r>
          </w:p>
        </w:tc>
        <w:tc>
          <w:tcPr>
            <w:tcW w:w="850" w:type="dxa"/>
            <w:tcBorders>
              <w:top w:val="nil"/>
              <w:left w:val="nil"/>
              <w:bottom w:val="single" w:sz="4" w:space="0" w:color="auto"/>
              <w:right w:val="single" w:sz="4" w:space="0" w:color="auto"/>
            </w:tcBorders>
            <w:shd w:val="clear" w:color="auto" w:fill="BDD7EE"/>
            <w:hideMark/>
          </w:tcPr>
          <w:p w14:paraId="7D13939B" w14:textId="77777777" w:rsidR="00553430" w:rsidRDefault="00212577">
            <w:pPr>
              <w:pStyle w:val="P68B1DB1-Normal58"/>
              <w:spacing w:after="0" w:line="276" w:lineRule="auto"/>
              <w:jc w:val="center"/>
              <w:rPr>
                <w:bCs/>
                <w:noProof/>
              </w:rPr>
            </w:pPr>
            <w:r>
              <w:rPr>
                <w:noProof/>
              </w:rPr>
              <w:t>Objectif</w:t>
            </w:r>
          </w:p>
        </w:tc>
        <w:tc>
          <w:tcPr>
            <w:tcW w:w="426" w:type="dxa"/>
            <w:tcBorders>
              <w:top w:val="nil"/>
              <w:left w:val="nil"/>
              <w:bottom w:val="single" w:sz="4" w:space="0" w:color="auto"/>
              <w:right w:val="single" w:sz="4" w:space="0" w:color="auto"/>
            </w:tcBorders>
            <w:shd w:val="clear" w:color="auto" w:fill="BDD7EE"/>
            <w:hideMark/>
          </w:tcPr>
          <w:p w14:paraId="73128F27" w14:textId="77777777" w:rsidR="00553430" w:rsidRDefault="00212577">
            <w:pPr>
              <w:pStyle w:val="P68B1DB1-Normal58"/>
              <w:spacing w:after="0" w:line="276" w:lineRule="auto"/>
              <w:jc w:val="center"/>
              <w:rPr>
                <w:bCs/>
                <w:noProof/>
              </w:rPr>
            </w:pPr>
            <w:r>
              <w:rPr>
                <w:noProof/>
              </w:rPr>
              <w:t>Trimestre</w:t>
            </w:r>
          </w:p>
        </w:tc>
        <w:tc>
          <w:tcPr>
            <w:tcW w:w="662" w:type="dxa"/>
            <w:tcBorders>
              <w:top w:val="nil"/>
              <w:left w:val="nil"/>
              <w:bottom w:val="single" w:sz="4" w:space="0" w:color="auto"/>
              <w:right w:val="single" w:sz="4" w:space="0" w:color="auto"/>
            </w:tcBorders>
            <w:shd w:val="clear" w:color="auto" w:fill="BDD7EE"/>
            <w:hideMark/>
          </w:tcPr>
          <w:p w14:paraId="2A0AB019" w14:textId="77777777" w:rsidR="00553430" w:rsidRDefault="00212577">
            <w:pPr>
              <w:pStyle w:val="P68B1DB1-Normal58"/>
              <w:spacing w:after="0" w:line="276" w:lineRule="auto"/>
              <w:jc w:val="center"/>
              <w:rPr>
                <w:bCs/>
                <w:noProof/>
              </w:rPr>
            </w:pPr>
            <w:r>
              <w:rPr>
                <w:noProof/>
              </w:rPr>
              <w:t>Année</w:t>
            </w:r>
          </w:p>
        </w:tc>
        <w:tc>
          <w:tcPr>
            <w:tcW w:w="4157" w:type="dxa"/>
            <w:vMerge/>
            <w:tcBorders>
              <w:bottom w:val="single" w:sz="4" w:space="0" w:color="auto"/>
              <w:right w:val="single" w:sz="4" w:space="0" w:color="auto"/>
            </w:tcBorders>
            <w:hideMark/>
          </w:tcPr>
          <w:p w14:paraId="77127C54"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3E244F19"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856CCB0" w14:textId="77777777" w:rsidR="00553430" w:rsidRDefault="00212577">
            <w:pPr>
              <w:pStyle w:val="P68B1DB1-Normal89"/>
              <w:spacing w:after="0" w:line="276" w:lineRule="auto"/>
              <w:jc w:val="center"/>
              <w:rPr>
                <w:noProof/>
              </w:rPr>
            </w:pPr>
            <w:r>
              <w:rPr>
                <w:noProof/>
              </w:rPr>
              <w:t>429</w:t>
            </w:r>
          </w:p>
          <w:p w14:paraId="64F765E2" w14:textId="77777777" w:rsidR="00553430" w:rsidRDefault="00553430">
            <w:pPr>
              <w:spacing w:after="0" w:line="276" w:lineRule="auto"/>
              <w:jc w:val="center"/>
              <w:rPr>
                <w:rFonts w:ascii="Times New Roman" w:hAnsi="Times New Roman" w:cs="Times New Roman"/>
                <w:noProof/>
                <w:sz w:val="20"/>
                <w:szCs w:val="20"/>
              </w:rPr>
            </w:pPr>
          </w:p>
        </w:tc>
        <w:tc>
          <w:tcPr>
            <w:tcW w:w="1130" w:type="dxa"/>
            <w:tcBorders>
              <w:top w:val="single" w:sz="4" w:space="0" w:color="auto"/>
              <w:left w:val="nil"/>
              <w:bottom w:val="single" w:sz="4" w:space="0" w:color="auto"/>
              <w:right w:val="single" w:sz="4" w:space="0" w:color="auto"/>
            </w:tcBorders>
            <w:shd w:val="clear" w:color="auto" w:fill="C6EFCE"/>
            <w:noWrap/>
          </w:tcPr>
          <w:p w14:paraId="020C892A" w14:textId="77777777" w:rsidR="00553430" w:rsidRDefault="00212577">
            <w:pPr>
              <w:pStyle w:val="P68B1DB1-Normal102"/>
              <w:spacing w:after="200" w:line="276" w:lineRule="auto"/>
              <w:jc w:val="center"/>
              <w:rPr>
                <w:noProof/>
                <w:color w:val="000000" w:themeColor="text1"/>
              </w:rPr>
            </w:pPr>
            <w:r>
              <w:rPr>
                <w:noProof/>
              </w:rPr>
              <w:t>C7.2 R1</w:t>
            </w:r>
          </w:p>
        </w:tc>
        <w:tc>
          <w:tcPr>
            <w:tcW w:w="1097" w:type="dxa"/>
            <w:tcBorders>
              <w:top w:val="single" w:sz="4" w:space="0" w:color="auto"/>
              <w:left w:val="nil"/>
              <w:bottom w:val="single" w:sz="4" w:space="0" w:color="auto"/>
              <w:right w:val="single" w:sz="4" w:space="0" w:color="auto"/>
            </w:tcBorders>
            <w:shd w:val="clear" w:color="auto" w:fill="C6EFCE"/>
            <w:noWrap/>
          </w:tcPr>
          <w:p w14:paraId="35F6BF9D" w14:textId="77777777" w:rsidR="00553430" w:rsidRDefault="00212577">
            <w:pPr>
              <w:pStyle w:val="P68B1DB1-Normal70"/>
              <w:spacing w:after="200" w:line="276" w:lineRule="auto"/>
              <w:jc w:val="center"/>
              <w:rPr>
                <w:noProof/>
                <w:highlight w:val="yellow"/>
              </w:rPr>
            </w:pPr>
            <w:r>
              <w:rPr>
                <w:noProof/>
              </w:rPr>
              <w:t>T</w:t>
            </w:r>
          </w:p>
        </w:tc>
        <w:tc>
          <w:tcPr>
            <w:tcW w:w="2334" w:type="dxa"/>
            <w:tcBorders>
              <w:top w:val="single" w:sz="4" w:space="0" w:color="auto"/>
              <w:left w:val="nil"/>
              <w:bottom w:val="single" w:sz="4" w:space="0" w:color="auto"/>
              <w:right w:val="single" w:sz="4" w:space="0" w:color="auto"/>
            </w:tcBorders>
            <w:shd w:val="clear" w:color="auto" w:fill="C6EFCE"/>
            <w:noWrap/>
          </w:tcPr>
          <w:p w14:paraId="5621BC15" w14:textId="77777777" w:rsidR="00553430" w:rsidRDefault="00212577">
            <w:pPr>
              <w:pStyle w:val="P68B1DB1-Normal76"/>
              <w:spacing w:after="200" w:line="276" w:lineRule="auto"/>
              <w:rPr>
                <w:noProof/>
              </w:rPr>
            </w:pPr>
            <w:r>
              <w:rPr>
                <w:noProof/>
              </w:rPr>
              <w:t xml:space="preserve">Ateliers participatifs organisés </w:t>
            </w:r>
          </w:p>
        </w:tc>
        <w:tc>
          <w:tcPr>
            <w:tcW w:w="1717" w:type="dxa"/>
            <w:tcBorders>
              <w:top w:val="single" w:sz="4" w:space="0" w:color="auto"/>
              <w:left w:val="nil"/>
              <w:bottom w:val="single" w:sz="4" w:space="0" w:color="auto"/>
              <w:right w:val="single" w:sz="4" w:space="0" w:color="auto"/>
            </w:tcBorders>
            <w:shd w:val="clear" w:color="auto" w:fill="C6EFCE"/>
            <w:noWrap/>
          </w:tcPr>
          <w:p w14:paraId="67395E7F" w14:textId="77777777" w:rsidR="00553430" w:rsidRDefault="00553430">
            <w:pPr>
              <w:spacing w:after="200" w:line="276" w:lineRule="auto"/>
              <w:rPr>
                <w:rFonts w:ascii="Times New Roman" w:eastAsia="Calibri" w:hAnsi="Times New Roman" w:cs="Times New Roman"/>
                <w:noProof/>
                <w:sz w:val="20"/>
                <w:szCs w:val="20"/>
              </w:rPr>
            </w:pPr>
          </w:p>
        </w:tc>
        <w:tc>
          <w:tcPr>
            <w:tcW w:w="944" w:type="dxa"/>
            <w:tcBorders>
              <w:top w:val="single" w:sz="4" w:space="0" w:color="auto"/>
              <w:left w:val="nil"/>
              <w:bottom w:val="single" w:sz="4" w:space="0" w:color="auto"/>
              <w:right w:val="single" w:sz="4" w:space="0" w:color="auto"/>
            </w:tcBorders>
            <w:shd w:val="clear" w:color="auto" w:fill="C6EFCE"/>
            <w:noWrap/>
          </w:tcPr>
          <w:p w14:paraId="1EEB2B6B" w14:textId="77777777" w:rsidR="00553430" w:rsidRDefault="00212577">
            <w:pPr>
              <w:pStyle w:val="P68B1DB1-Normal70"/>
              <w:spacing w:after="200" w:line="276" w:lineRule="auto"/>
              <w:jc w:val="center"/>
              <w:rPr>
                <w:noProof/>
              </w:rPr>
            </w:pPr>
            <w:r>
              <w:rPr>
                <w:noProof/>
              </w:rPr>
              <w:t>Numéro</w:t>
            </w:r>
          </w:p>
        </w:tc>
        <w:tc>
          <w:tcPr>
            <w:tcW w:w="851" w:type="dxa"/>
            <w:tcBorders>
              <w:top w:val="single" w:sz="4" w:space="0" w:color="auto"/>
              <w:left w:val="nil"/>
              <w:bottom w:val="single" w:sz="4" w:space="0" w:color="auto"/>
              <w:right w:val="single" w:sz="4" w:space="0" w:color="auto"/>
            </w:tcBorders>
            <w:shd w:val="clear" w:color="auto" w:fill="C6EFCE"/>
            <w:noWrap/>
          </w:tcPr>
          <w:p w14:paraId="3EED7652" w14:textId="77777777" w:rsidR="00553430" w:rsidRDefault="00212577">
            <w:pPr>
              <w:pStyle w:val="P68B1DB1-Normal70"/>
              <w:spacing w:after="200" w:line="276" w:lineRule="auto"/>
              <w:jc w:val="center"/>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36E10873" w14:textId="77777777" w:rsidR="00553430" w:rsidRDefault="00212577">
            <w:pPr>
              <w:pStyle w:val="P68B1DB1-Normal70"/>
              <w:spacing w:after="200" w:line="276" w:lineRule="auto"/>
              <w:jc w:val="center"/>
              <w:rPr>
                <w:noProof/>
              </w:rPr>
            </w:pPr>
            <w:r>
              <w:rPr>
                <w:noProof/>
              </w:rPr>
              <w:t>6</w:t>
            </w:r>
          </w:p>
        </w:tc>
        <w:tc>
          <w:tcPr>
            <w:tcW w:w="426" w:type="dxa"/>
            <w:tcBorders>
              <w:top w:val="single" w:sz="4" w:space="0" w:color="auto"/>
              <w:left w:val="nil"/>
              <w:bottom w:val="single" w:sz="4" w:space="0" w:color="auto"/>
              <w:right w:val="single" w:sz="4" w:space="0" w:color="auto"/>
            </w:tcBorders>
            <w:shd w:val="clear" w:color="auto" w:fill="C6EFCE"/>
            <w:noWrap/>
          </w:tcPr>
          <w:p w14:paraId="720DE364" w14:textId="77777777" w:rsidR="00553430" w:rsidRDefault="00212577">
            <w:pPr>
              <w:pStyle w:val="P68B1DB1-Normal66"/>
              <w:spacing w:after="200" w:line="276" w:lineRule="auto"/>
              <w:jc w:val="center"/>
              <w:rPr>
                <w:noProof/>
              </w:rPr>
            </w:pPr>
            <w:r>
              <w:rPr>
                <w:noProof/>
              </w:rPr>
              <w:t>T3</w:t>
            </w:r>
          </w:p>
        </w:tc>
        <w:tc>
          <w:tcPr>
            <w:tcW w:w="662" w:type="dxa"/>
            <w:tcBorders>
              <w:top w:val="single" w:sz="4" w:space="0" w:color="auto"/>
              <w:left w:val="nil"/>
              <w:bottom w:val="single" w:sz="4" w:space="0" w:color="auto"/>
              <w:right w:val="single" w:sz="4" w:space="0" w:color="auto"/>
            </w:tcBorders>
            <w:shd w:val="clear" w:color="auto" w:fill="C6EFCE"/>
            <w:noWrap/>
          </w:tcPr>
          <w:p w14:paraId="19D95556" w14:textId="77777777" w:rsidR="00553430" w:rsidRDefault="00212577">
            <w:pPr>
              <w:pStyle w:val="P68B1DB1-Normal66"/>
              <w:spacing w:after="200" w:line="276" w:lineRule="auto"/>
              <w:jc w:val="center"/>
              <w:rPr>
                <w:noProof/>
              </w:rPr>
            </w:pPr>
            <w:r>
              <w:rPr>
                <w:noProof/>
              </w:rPr>
              <w:t>2025</w:t>
            </w:r>
          </w:p>
        </w:tc>
        <w:tc>
          <w:tcPr>
            <w:tcW w:w="4157" w:type="dxa"/>
            <w:tcBorders>
              <w:top w:val="single" w:sz="4" w:space="0" w:color="auto"/>
              <w:left w:val="nil"/>
              <w:bottom w:val="single" w:sz="4" w:space="0" w:color="auto"/>
              <w:right w:val="single" w:sz="4" w:space="0" w:color="auto"/>
            </w:tcBorders>
            <w:shd w:val="clear" w:color="auto" w:fill="C6EFCE"/>
            <w:noWrap/>
          </w:tcPr>
          <w:p w14:paraId="41AB8E32" w14:textId="77777777" w:rsidR="00553430" w:rsidRDefault="00212577">
            <w:pPr>
              <w:pStyle w:val="P68B1DB1-Normal76"/>
              <w:spacing w:after="200" w:line="276" w:lineRule="auto"/>
              <w:rPr>
                <w:noProof/>
              </w:rPr>
            </w:pPr>
            <w:r>
              <w:rPr>
                <w:noProof/>
              </w:rPr>
              <w:t xml:space="preserve">Au moins six ateliers participatifs sur le développement de la rénovation énergétique et des infrastructures vertes sont organisés dans différentes unités autonomes. </w:t>
            </w:r>
          </w:p>
          <w:p w14:paraId="6D7AF8B7" w14:textId="42B963E3" w:rsidR="00553430" w:rsidRDefault="00212577">
            <w:pPr>
              <w:pStyle w:val="P68B1DB1-Normal76"/>
              <w:spacing w:after="200" w:line="276" w:lineRule="auto"/>
              <w:rPr>
                <w:noProof/>
              </w:rPr>
            </w:pPr>
            <w:r>
              <w:rPr>
                <w:noProof/>
              </w:rPr>
              <w:t xml:space="preserve">Un programme et un guide sur l'organisation d'ateliers participatifs à l'intention des représentants des collectivités locales autonomes seront élaborés. </w:t>
            </w:r>
          </w:p>
          <w:p w14:paraId="21A47B8B" w14:textId="77777777" w:rsidR="00553430" w:rsidRDefault="00212577">
            <w:pPr>
              <w:pStyle w:val="P68B1DB1-Normal76"/>
              <w:spacing w:after="200" w:line="276" w:lineRule="auto"/>
              <w:rPr>
                <w:noProof/>
              </w:rPr>
            </w:pPr>
            <w:r>
              <w:rPr>
                <w:noProof/>
              </w:rPr>
              <w:t>Le matériel pédagogique des ateliers est mis à la disposition du public au moins sur le portail du gu</w:t>
            </w:r>
            <w:r>
              <w:rPr>
                <w:noProof/>
              </w:rPr>
              <w:t>ichet unique.</w:t>
            </w:r>
          </w:p>
        </w:tc>
      </w:tr>
      <w:tr w:rsidR="00553430" w14:paraId="693F315E"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1FB567D" w14:textId="77777777" w:rsidR="00553430" w:rsidRDefault="00212577">
            <w:pPr>
              <w:pStyle w:val="P68B1DB1-Normal89"/>
              <w:spacing w:after="0" w:line="276" w:lineRule="auto"/>
              <w:jc w:val="center"/>
              <w:rPr>
                <w:noProof/>
              </w:rPr>
            </w:pPr>
            <w:r>
              <w:rPr>
                <w:noProof/>
              </w:rPr>
              <w:t>430</w:t>
            </w:r>
          </w:p>
        </w:tc>
        <w:tc>
          <w:tcPr>
            <w:tcW w:w="1130" w:type="dxa"/>
            <w:tcBorders>
              <w:top w:val="single" w:sz="4" w:space="0" w:color="auto"/>
              <w:left w:val="nil"/>
              <w:bottom w:val="single" w:sz="4" w:space="0" w:color="auto"/>
              <w:right w:val="single" w:sz="4" w:space="0" w:color="auto"/>
            </w:tcBorders>
            <w:shd w:val="clear" w:color="auto" w:fill="C6EFCE"/>
            <w:noWrap/>
          </w:tcPr>
          <w:p w14:paraId="7231BC2B" w14:textId="77777777" w:rsidR="00553430" w:rsidRDefault="00212577">
            <w:pPr>
              <w:pStyle w:val="P68B1DB1-Normal102"/>
              <w:spacing w:after="200" w:line="276" w:lineRule="auto"/>
              <w:jc w:val="center"/>
              <w:rPr>
                <w:noProof/>
                <w:color w:val="000000" w:themeColor="text1"/>
              </w:rPr>
            </w:pPr>
            <w:r>
              <w:rPr>
                <w:noProof/>
              </w:rPr>
              <w:t>C7.2 R2</w:t>
            </w:r>
          </w:p>
        </w:tc>
        <w:tc>
          <w:tcPr>
            <w:tcW w:w="1097" w:type="dxa"/>
            <w:tcBorders>
              <w:top w:val="single" w:sz="4" w:space="0" w:color="auto"/>
              <w:left w:val="nil"/>
              <w:bottom w:val="single" w:sz="4" w:space="0" w:color="auto"/>
              <w:right w:val="single" w:sz="4" w:space="0" w:color="auto"/>
            </w:tcBorders>
            <w:shd w:val="clear" w:color="auto" w:fill="C6EFCE"/>
            <w:noWrap/>
          </w:tcPr>
          <w:p w14:paraId="790CB7C0" w14:textId="77777777" w:rsidR="00553430" w:rsidRDefault="00212577">
            <w:pPr>
              <w:pStyle w:val="P68B1DB1-Normal70"/>
              <w:spacing w:after="200" w:line="276" w:lineRule="auto"/>
              <w:jc w:val="center"/>
              <w:rPr>
                <w:noProof/>
              </w:rPr>
            </w:pPr>
            <w:r>
              <w:rPr>
                <w:noProof/>
              </w:rPr>
              <w:t>T</w:t>
            </w:r>
          </w:p>
        </w:tc>
        <w:tc>
          <w:tcPr>
            <w:tcW w:w="2334" w:type="dxa"/>
            <w:tcBorders>
              <w:top w:val="single" w:sz="4" w:space="0" w:color="auto"/>
              <w:left w:val="nil"/>
              <w:bottom w:val="single" w:sz="4" w:space="0" w:color="auto"/>
              <w:right w:val="single" w:sz="4" w:space="0" w:color="auto"/>
            </w:tcBorders>
            <w:shd w:val="clear" w:color="auto" w:fill="C6EFCE"/>
            <w:noWrap/>
          </w:tcPr>
          <w:p w14:paraId="77F243F2" w14:textId="77777777" w:rsidR="00553430" w:rsidRDefault="00212577">
            <w:pPr>
              <w:pStyle w:val="P68B1DB1-Normal76"/>
              <w:spacing w:after="200" w:line="276" w:lineRule="auto"/>
              <w:rPr>
                <w:noProof/>
              </w:rPr>
            </w:pPr>
            <w:r>
              <w:rPr>
                <w:noProof/>
              </w:rPr>
              <w:t>Adoption de stratégies de rénovation urbaine verte</w:t>
            </w:r>
          </w:p>
          <w:p w14:paraId="24259D37" w14:textId="77777777" w:rsidR="00553430" w:rsidRDefault="00553430">
            <w:pPr>
              <w:spacing w:after="200" w:line="276" w:lineRule="auto"/>
              <w:rPr>
                <w:rFonts w:ascii="Times New Roman" w:eastAsia="Calibri" w:hAnsi="Times New Roman" w:cs="Times New Roman"/>
                <w:noProof/>
                <w:sz w:val="20"/>
                <w:szCs w:val="20"/>
              </w:rPr>
            </w:pPr>
          </w:p>
        </w:tc>
        <w:tc>
          <w:tcPr>
            <w:tcW w:w="1717" w:type="dxa"/>
            <w:tcBorders>
              <w:top w:val="single" w:sz="4" w:space="0" w:color="auto"/>
              <w:left w:val="nil"/>
              <w:bottom w:val="single" w:sz="4" w:space="0" w:color="auto"/>
              <w:right w:val="single" w:sz="4" w:space="0" w:color="auto"/>
            </w:tcBorders>
            <w:shd w:val="clear" w:color="auto" w:fill="C6EFCE"/>
            <w:noWrap/>
          </w:tcPr>
          <w:p w14:paraId="520D1C06" w14:textId="77777777" w:rsidR="00553430" w:rsidRDefault="00553430">
            <w:pPr>
              <w:spacing w:after="200" w:line="276" w:lineRule="auto"/>
              <w:rPr>
                <w:rFonts w:ascii="Times New Roman" w:eastAsia="Calibri" w:hAnsi="Times New Roman" w:cs="Times New Roman"/>
                <w:noProof/>
                <w:sz w:val="20"/>
                <w:szCs w:val="20"/>
              </w:rPr>
            </w:pPr>
          </w:p>
        </w:tc>
        <w:tc>
          <w:tcPr>
            <w:tcW w:w="944" w:type="dxa"/>
            <w:tcBorders>
              <w:top w:val="single" w:sz="4" w:space="0" w:color="auto"/>
              <w:left w:val="nil"/>
              <w:bottom w:val="single" w:sz="4" w:space="0" w:color="auto"/>
              <w:right w:val="single" w:sz="4" w:space="0" w:color="auto"/>
            </w:tcBorders>
            <w:shd w:val="clear" w:color="auto" w:fill="C6EFCE"/>
            <w:noWrap/>
          </w:tcPr>
          <w:p w14:paraId="5BF8F23D" w14:textId="77777777" w:rsidR="00553430" w:rsidRDefault="00212577">
            <w:pPr>
              <w:pStyle w:val="P68B1DB1-Normal70"/>
              <w:spacing w:after="200" w:line="276" w:lineRule="auto"/>
              <w:jc w:val="center"/>
              <w:rPr>
                <w:noProof/>
              </w:rPr>
            </w:pPr>
            <w:r>
              <w:rPr>
                <w:noProof/>
              </w:rPr>
              <w:t>Numéro</w:t>
            </w:r>
          </w:p>
        </w:tc>
        <w:tc>
          <w:tcPr>
            <w:tcW w:w="851" w:type="dxa"/>
            <w:tcBorders>
              <w:top w:val="single" w:sz="4" w:space="0" w:color="auto"/>
              <w:left w:val="nil"/>
              <w:bottom w:val="single" w:sz="4" w:space="0" w:color="auto"/>
              <w:right w:val="single" w:sz="4" w:space="0" w:color="auto"/>
            </w:tcBorders>
            <w:shd w:val="clear" w:color="auto" w:fill="C6EFCE"/>
            <w:noWrap/>
          </w:tcPr>
          <w:p w14:paraId="7871E2C0" w14:textId="77777777" w:rsidR="00553430" w:rsidRDefault="00212577">
            <w:pPr>
              <w:pStyle w:val="P68B1DB1-Normal70"/>
              <w:spacing w:after="200" w:line="276" w:lineRule="auto"/>
              <w:jc w:val="center"/>
              <w:rPr>
                <w:noProof/>
                <w:highlight w:val="yellow"/>
              </w:rPr>
            </w:pPr>
            <w:r>
              <w:rPr>
                <w:noProof/>
              </w:rPr>
              <w:t>10</w:t>
            </w:r>
          </w:p>
        </w:tc>
        <w:tc>
          <w:tcPr>
            <w:tcW w:w="850" w:type="dxa"/>
            <w:tcBorders>
              <w:top w:val="single" w:sz="4" w:space="0" w:color="auto"/>
              <w:left w:val="nil"/>
              <w:bottom w:val="single" w:sz="4" w:space="0" w:color="auto"/>
              <w:right w:val="single" w:sz="4" w:space="0" w:color="auto"/>
            </w:tcBorders>
            <w:shd w:val="clear" w:color="auto" w:fill="C6EFCE"/>
            <w:noWrap/>
          </w:tcPr>
          <w:p w14:paraId="4414E2BA" w14:textId="77777777" w:rsidR="00553430" w:rsidRDefault="00212577">
            <w:pPr>
              <w:pStyle w:val="P68B1DB1-Normal70"/>
              <w:spacing w:after="200" w:line="276" w:lineRule="auto"/>
              <w:jc w:val="center"/>
              <w:rPr>
                <w:noProof/>
              </w:rPr>
            </w:pPr>
            <w:r>
              <w:rPr>
                <w:noProof/>
              </w:rPr>
              <w:t>70</w:t>
            </w:r>
          </w:p>
        </w:tc>
        <w:tc>
          <w:tcPr>
            <w:tcW w:w="426" w:type="dxa"/>
            <w:tcBorders>
              <w:top w:val="single" w:sz="4" w:space="0" w:color="auto"/>
              <w:left w:val="nil"/>
              <w:bottom w:val="single" w:sz="4" w:space="0" w:color="auto"/>
              <w:right w:val="single" w:sz="4" w:space="0" w:color="auto"/>
            </w:tcBorders>
            <w:shd w:val="clear" w:color="auto" w:fill="C6EFCE"/>
            <w:noWrap/>
          </w:tcPr>
          <w:p w14:paraId="704AC086" w14:textId="77777777" w:rsidR="00553430" w:rsidRDefault="00212577">
            <w:pPr>
              <w:pStyle w:val="P68B1DB1-Normal70"/>
              <w:spacing w:after="200" w:line="276" w:lineRule="auto"/>
              <w:jc w:val="center"/>
              <w:rPr>
                <w:noProof/>
                <w:highlight w:val="yellow"/>
              </w:rPr>
            </w:pPr>
            <w:r>
              <w:rPr>
                <w:noProof/>
              </w:rPr>
              <w:t>T3</w:t>
            </w:r>
          </w:p>
        </w:tc>
        <w:tc>
          <w:tcPr>
            <w:tcW w:w="662" w:type="dxa"/>
            <w:tcBorders>
              <w:top w:val="single" w:sz="4" w:space="0" w:color="auto"/>
              <w:left w:val="nil"/>
              <w:bottom w:val="single" w:sz="4" w:space="0" w:color="auto"/>
              <w:right w:val="single" w:sz="4" w:space="0" w:color="auto"/>
            </w:tcBorders>
            <w:shd w:val="clear" w:color="auto" w:fill="C6EFCE"/>
            <w:noWrap/>
          </w:tcPr>
          <w:p w14:paraId="7EC8D567" w14:textId="77777777" w:rsidR="00553430" w:rsidRDefault="00212577">
            <w:pPr>
              <w:pStyle w:val="P68B1DB1-Normal70"/>
              <w:spacing w:after="200" w:line="276" w:lineRule="auto"/>
              <w:jc w:val="center"/>
              <w:rPr>
                <w:noProof/>
              </w:rPr>
            </w:pPr>
            <w:r>
              <w:rPr>
                <w:noProof/>
              </w:rPr>
              <w:t>2025</w:t>
            </w:r>
          </w:p>
        </w:tc>
        <w:tc>
          <w:tcPr>
            <w:tcW w:w="4157" w:type="dxa"/>
            <w:tcBorders>
              <w:top w:val="single" w:sz="4" w:space="0" w:color="auto"/>
              <w:left w:val="nil"/>
              <w:bottom w:val="single" w:sz="4" w:space="0" w:color="auto"/>
              <w:right w:val="single" w:sz="4" w:space="0" w:color="auto"/>
            </w:tcBorders>
            <w:shd w:val="clear" w:color="auto" w:fill="C6EFCE"/>
            <w:noWrap/>
          </w:tcPr>
          <w:p w14:paraId="79AFD304" w14:textId="77777777" w:rsidR="00553430" w:rsidRDefault="00212577">
            <w:pPr>
              <w:pStyle w:val="P68B1DB1-Normal76"/>
              <w:spacing w:after="200" w:line="276" w:lineRule="auto"/>
              <w:rPr>
                <w:noProof/>
              </w:rPr>
            </w:pPr>
            <w:r>
              <w:rPr>
                <w:noProof/>
              </w:rPr>
              <w:t xml:space="preserve">Au moins 60 stratégies de rénovation urbaine verte sont adoptées. </w:t>
            </w:r>
          </w:p>
        </w:tc>
      </w:tr>
      <w:tr w:rsidR="00553430" w14:paraId="34F1B876"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855D929" w14:textId="77777777" w:rsidR="00553430" w:rsidRDefault="00212577">
            <w:pPr>
              <w:pStyle w:val="P68B1DB1-Normal89"/>
              <w:spacing w:after="0" w:line="276" w:lineRule="auto"/>
              <w:jc w:val="center"/>
              <w:rPr>
                <w:noProof/>
                <w:highlight w:val="yellow"/>
              </w:rPr>
            </w:pPr>
            <w:r>
              <w:rPr>
                <w:noProof/>
              </w:rPr>
              <w:t>431</w:t>
            </w:r>
          </w:p>
        </w:tc>
        <w:tc>
          <w:tcPr>
            <w:tcW w:w="1130" w:type="dxa"/>
            <w:tcBorders>
              <w:top w:val="single" w:sz="4" w:space="0" w:color="auto"/>
              <w:left w:val="nil"/>
              <w:bottom w:val="single" w:sz="4" w:space="0" w:color="auto"/>
              <w:right w:val="single" w:sz="4" w:space="0" w:color="auto"/>
            </w:tcBorders>
            <w:shd w:val="clear" w:color="auto" w:fill="C6EFCE"/>
            <w:noWrap/>
          </w:tcPr>
          <w:p w14:paraId="5078D6F4" w14:textId="77777777" w:rsidR="00553430" w:rsidRDefault="00212577">
            <w:pPr>
              <w:pStyle w:val="P68B1DB1-Normal102"/>
              <w:spacing w:after="200" w:line="276" w:lineRule="auto"/>
              <w:jc w:val="center"/>
              <w:rPr>
                <w:noProof/>
                <w:color w:val="000000" w:themeColor="text1"/>
                <w:highlight w:val="yellow"/>
              </w:rPr>
            </w:pPr>
            <w:r>
              <w:rPr>
                <w:noProof/>
              </w:rPr>
              <w:t>C7.2 R2</w:t>
            </w:r>
          </w:p>
        </w:tc>
        <w:tc>
          <w:tcPr>
            <w:tcW w:w="1097" w:type="dxa"/>
            <w:tcBorders>
              <w:top w:val="single" w:sz="4" w:space="0" w:color="auto"/>
              <w:left w:val="nil"/>
              <w:bottom w:val="single" w:sz="4" w:space="0" w:color="auto"/>
              <w:right w:val="single" w:sz="4" w:space="0" w:color="auto"/>
            </w:tcBorders>
            <w:shd w:val="clear" w:color="auto" w:fill="C6EFCE"/>
            <w:noWrap/>
          </w:tcPr>
          <w:p w14:paraId="46DB3F68" w14:textId="77777777" w:rsidR="00553430" w:rsidRDefault="00212577">
            <w:pPr>
              <w:pStyle w:val="P68B1DB1-Normal70"/>
              <w:spacing w:after="200" w:line="276" w:lineRule="auto"/>
              <w:jc w:val="center"/>
              <w:rPr>
                <w:noProof/>
              </w:rPr>
            </w:pPr>
            <w:r>
              <w:rPr>
                <w:noProof/>
              </w:rPr>
              <w:t>T</w:t>
            </w:r>
          </w:p>
        </w:tc>
        <w:tc>
          <w:tcPr>
            <w:tcW w:w="2334" w:type="dxa"/>
            <w:tcBorders>
              <w:top w:val="single" w:sz="4" w:space="0" w:color="auto"/>
              <w:left w:val="nil"/>
              <w:bottom w:val="single" w:sz="4" w:space="0" w:color="auto"/>
              <w:right w:val="single" w:sz="4" w:space="0" w:color="auto"/>
            </w:tcBorders>
            <w:shd w:val="clear" w:color="auto" w:fill="C6EFCE"/>
            <w:noWrap/>
          </w:tcPr>
          <w:p w14:paraId="641C60C8" w14:textId="77777777" w:rsidR="00553430" w:rsidRDefault="00212577">
            <w:pPr>
              <w:pStyle w:val="P68B1DB1-Normal76"/>
              <w:spacing w:after="200" w:line="276" w:lineRule="auto"/>
              <w:rPr>
                <w:noProof/>
              </w:rPr>
            </w:pPr>
            <w:r>
              <w:rPr>
                <w:noProof/>
              </w:rPr>
              <w:t xml:space="preserve">Finalisation des projets pilotes identifiés dans le cadre des stratégies de rénovation urbaine verte </w:t>
            </w:r>
          </w:p>
        </w:tc>
        <w:tc>
          <w:tcPr>
            <w:tcW w:w="1717" w:type="dxa"/>
            <w:tcBorders>
              <w:top w:val="single" w:sz="4" w:space="0" w:color="auto"/>
              <w:left w:val="nil"/>
              <w:bottom w:val="single" w:sz="4" w:space="0" w:color="auto"/>
              <w:right w:val="single" w:sz="4" w:space="0" w:color="auto"/>
            </w:tcBorders>
            <w:shd w:val="clear" w:color="auto" w:fill="C6EFCE"/>
            <w:noWrap/>
          </w:tcPr>
          <w:p w14:paraId="2FB9B6FE" w14:textId="77777777" w:rsidR="00553430" w:rsidRDefault="00553430">
            <w:pPr>
              <w:spacing w:after="200" w:line="276" w:lineRule="auto"/>
              <w:rPr>
                <w:rFonts w:ascii="Times New Roman" w:eastAsia="Calibri" w:hAnsi="Times New Roman" w:cs="Times New Roman"/>
                <w:noProof/>
                <w:sz w:val="20"/>
                <w:szCs w:val="20"/>
              </w:rPr>
            </w:pPr>
          </w:p>
        </w:tc>
        <w:tc>
          <w:tcPr>
            <w:tcW w:w="944" w:type="dxa"/>
            <w:tcBorders>
              <w:top w:val="single" w:sz="4" w:space="0" w:color="auto"/>
              <w:left w:val="nil"/>
              <w:bottom w:val="single" w:sz="4" w:space="0" w:color="auto"/>
              <w:right w:val="single" w:sz="4" w:space="0" w:color="auto"/>
            </w:tcBorders>
            <w:shd w:val="clear" w:color="auto" w:fill="C6EFCE"/>
            <w:noWrap/>
          </w:tcPr>
          <w:p w14:paraId="02ADFC0E" w14:textId="77777777" w:rsidR="00553430" w:rsidRDefault="00212577">
            <w:pPr>
              <w:pStyle w:val="P68B1DB1-Normal70"/>
              <w:spacing w:after="200" w:line="276" w:lineRule="auto"/>
              <w:jc w:val="center"/>
              <w:rPr>
                <w:noProof/>
              </w:rPr>
            </w:pPr>
            <w:r>
              <w:rPr>
                <w:noProof/>
              </w:rPr>
              <w:t>Numéro</w:t>
            </w:r>
          </w:p>
        </w:tc>
        <w:tc>
          <w:tcPr>
            <w:tcW w:w="851" w:type="dxa"/>
            <w:tcBorders>
              <w:top w:val="single" w:sz="4" w:space="0" w:color="auto"/>
              <w:left w:val="nil"/>
              <w:bottom w:val="single" w:sz="4" w:space="0" w:color="auto"/>
              <w:right w:val="single" w:sz="4" w:space="0" w:color="auto"/>
            </w:tcBorders>
            <w:shd w:val="clear" w:color="auto" w:fill="C6EFCE"/>
            <w:noWrap/>
          </w:tcPr>
          <w:p w14:paraId="67AB4707" w14:textId="77777777" w:rsidR="00553430" w:rsidRDefault="00212577">
            <w:pPr>
              <w:pStyle w:val="P68B1DB1-Normal70"/>
              <w:spacing w:after="200" w:line="276" w:lineRule="auto"/>
              <w:jc w:val="center"/>
              <w:rPr>
                <w:noProof/>
                <w:highlight w:val="yellow"/>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30D0BC40" w14:textId="77777777" w:rsidR="00553430" w:rsidRDefault="00212577">
            <w:pPr>
              <w:pStyle w:val="P68B1DB1-Normal70"/>
              <w:spacing w:after="200" w:line="276" w:lineRule="auto"/>
              <w:jc w:val="center"/>
              <w:rPr>
                <w:noProof/>
              </w:rPr>
            </w:pPr>
            <w:r>
              <w:rPr>
                <w:noProof/>
              </w:rPr>
              <w:t>15</w:t>
            </w:r>
          </w:p>
        </w:tc>
        <w:tc>
          <w:tcPr>
            <w:tcW w:w="426" w:type="dxa"/>
            <w:tcBorders>
              <w:top w:val="single" w:sz="4" w:space="0" w:color="auto"/>
              <w:left w:val="nil"/>
              <w:bottom w:val="single" w:sz="4" w:space="0" w:color="auto"/>
              <w:right w:val="single" w:sz="4" w:space="0" w:color="auto"/>
            </w:tcBorders>
            <w:shd w:val="clear" w:color="auto" w:fill="C6EFCE"/>
            <w:noWrap/>
          </w:tcPr>
          <w:p w14:paraId="52D2B286" w14:textId="77777777" w:rsidR="00553430" w:rsidRDefault="00212577">
            <w:pPr>
              <w:pStyle w:val="P68B1DB1-Normal70"/>
              <w:spacing w:after="200" w:line="276" w:lineRule="auto"/>
              <w:jc w:val="center"/>
              <w:rPr>
                <w:noProof/>
              </w:rPr>
            </w:pPr>
            <w:r>
              <w:rPr>
                <w:noProof/>
              </w:rPr>
              <w:t>T2</w:t>
            </w:r>
          </w:p>
        </w:tc>
        <w:tc>
          <w:tcPr>
            <w:tcW w:w="662" w:type="dxa"/>
            <w:tcBorders>
              <w:top w:val="single" w:sz="4" w:space="0" w:color="auto"/>
              <w:left w:val="nil"/>
              <w:bottom w:val="single" w:sz="4" w:space="0" w:color="auto"/>
              <w:right w:val="single" w:sz="4" w:space="0" w:color="auto"/>
            </w:tcBorders>
            <w:shd w:val="clear" w:color="auto" w:fill="C6EFCE"/>
            <w:noWrap/>
          </w:tcPr>
          <w:p w14:paraId="78179F42" w14:textId="77777777" w:rsidR="00553430" w:rsidRDefault="00212577">
            <w:pPr>
              <w:pStyle w:val="P68B1DB1-Normal70"/>
              <w:spacing w:after="200" w:line="276" w:lineRule="auto"/>
              <w:jc w:val="center"/>
              <w:rPr>
                <w:noProof/>
              </w:rPr>
            </w:pPr>
            <w:r>
              <w:rPr>
                <w:noProof/>
              </w:rPr>
              <w:t>2026</w:t>
            </w:r>
          </w:p>
        </w:tc>
        <w:tc>
          <w:tcPr>
            <w:tcW w:w="4157" w:type="dxa"/>
            <w:tcBorders>
              <w:top w:val="single" w:sz="4" w:space="0" w:color="auto"/>
              <w:left w:val="nil"/>
              <w:bottom w:val="single" w:sz="4" w:space="0" w:color="auto"/>
              <w:right w:val="single" w:sz="4" w:space="0" w:color="auto"/>
            </w:tcBorders>
            <w:shd w:val="clear" w:color="auto" w:fill="C6EFCE"/>
            <w:noWrap/>
          </w:tcPr>
          <w:p w14:paraId="3D45AC59" w14:textId="77777777" w:rsidR="00553430" w:rsidRDefault="00212577">
            <w:pPr>
              <w:pStyle w:val="P68B1DB1-Normal66"/>
              <w:spacing w:after="200" w:line="276" w:lineRule="auto"/>
              <w:rPr>
                <w:rFonts w:eastAsia="Times New Roman"/>
                <w:noProof/>
              </w:rPr>
            </w:pPr>
            <w:r>
              <w:rPr>
                <w:noProof/>
              </w:rPr>
              <w:t>Au moins 15 projets pilotes recensés dans le cadre des stratégies de rénovation urbaine verte sont finalisés.</w:t>
            </w:r>
          </w:p>
        </w:tc>
      </w:tr>
      <w:tr w:rsidR="00553430" w14:paraId="52C26562"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83E5073" w14:textId="77777777" w:rsidR="00553430" w:rsidRDefault="00212577">
            <w:pPr>
              <w:pStyle w:val="P68B1DB1-Normal89"/>
              <w:spacing w:after="0" w:line="276" w:lineRule="auto"/>
              <w:jc w:val="center"/>
              <w:rPr>
                <w:noProof/>
              </w:rPr>
            </w:pPr>
            <w:r>
              <w:rPr>
                <w:noProof/>
              </w:rPr>
              <w:t>448</w:t>
            </w:r>
          </w:p>
        </w:tc>
        <w:tc>
          <w:tcPr>
            <w:tcW w:w="1130" w:type="dxa"/>
            <w:tcBorders>
              <w:top w:val="single" w:sz="4" w:space="0" w:color="auto"/>
              <w:left w:val="nil"/>
              <w:bottom w:val="single" w:sz="4" w:space="0" w:color="auto"/>
              <w:right w:val="single" w:sz="4" w:space="0" w:color="auto"/>
            </w:tcBorders>
            <w:shd w:val="clear" w:color="auto" w:fill="C6EFCE"/>
            <w:noWrap/>
          </w:tcPr>
          <w:p w14:paraId="49A10D7D" w14:textId="77777777" w:rsidR="00553430" w:rsidRDefault="00212577">
            <w:pPr>
              <w:pStyle w:val="P68B1DB1-Normal102"/>
              <w:spacing w:after="200" w:line="276" w:lineRule="auto"/>
              <w:jc w:val="center"/>
              <w:rPr>
                <w:noProof/>
                <w:color w:val="000000" w:themeColor="text1"/>
              </w:rPr>
            </w:pPr>
            <w:r>
              <w:rPr>
                <w:noProof/>
              </w:rPr>
              <w:t>C7.2 I3</w:t>
            </w:r>
          </w:p>
        </w:tc>
        <w:tc>
          <w:tcPr>
            <w:tcW w:w="1097" w:type="dxa"/>
            <w:tcBorders>
              <w:top w:val="single" w:sz="4" w:space="0" w:color="auto"/>
              <w:left w:val="nil"/>
              <w:bottom w:val="single" w:sz="4" w:space="0" w:color="auto"/>
              <w:right w:val="single" w:sz="4" w:space="0" w:color="auto"/>
            </w:tcBorders>
            <w:shd w:val="clear" w:color="auto" w:fill="C6EFCE"/>
            <w:noWrap/>
          </w:tcPr>
          <w:p w14:paraId="428F59B7" w14:textId="77777777" w:rsidR="00553430" w:rsidRDefault="00212577">
            <w:pPr>
              <w:pStyle w:val="P68B1DB1-Normal70"/>
              <w:spacing w:after="200" w:line="276" w:lineRule="auto"/>
              <w:jc w:val="center"/>
              <w:rPr>
                <w:noProof/>
              </w:rPr>
            </w:pPr>
            <w:r>
              <w:rPr>
                <w:noProof/>
              </w:rPr>
              <w:t>T</w:t>
            </w:r>
          </w:p>
        </w:tc>
        <w:tc>
          <w:tcPr>
            <w:tcW w:w="2334" w:type="dxa"/>
            <w:tcBorders>
              <w:top w:val="single" w:sz="4" w:space="0" w:color="auto"/>
              <w:left w:val="nil"/>
              <w:bottom w:val="single" w:sz="4" w:space="0" w:color="auto"/>
              <w:right w:val="single" w:sz="4" w:space="0" w:color="auto"/>
            </w:tcBorders>
            <w:shd w:val="clear" w:color="auto" w:fill="C6EFCE"/>
            <w:noWrap/>
          </w:tcPr>
          <w:p w14:paraId="10718B23" w14:textId="77777777" w:rsidR="00553430" w:rsidRDefault="00212577">
            <w:pPr>
              <w:pStyle w:val="P68B1DB1-Normal76"/>
              <w:spacing w:after="200" w:line="276" w:lineRule="auto"/>
              <w:rPr>
                <w:noProof/>
              </w:rPr>
            </w:pPr>
            <w:r>
              <w:rPr>
                <w:noProof/>
              </w:rPr>
              <w:t>Rénovation énergétique et post-séisme des bâtiments publics endommagés par les tremblements de terre</w:t>
            </w:r>
          </w:p>
        </w:tc>
        <w:tc>
          <w:tcPr>
            <w:tcW w:w="1717" w:type="dxa"/>
            <w:tcBorders>
              <w:top w:val="single" w:sz="4" w:space="0" w:color="auto"/>
              <w:left w:val="nil"/>
              <w:bottom w:val="single" w:sz="4" w:space="0" w:color="auto"/>
              <w:right w:val="single" w:sz="4" w:space="0" w:color="auto"/>
            </w:tcBorders>
            <w:shd w:val="clear" w:color="auto" w:fill="C6EFCE"/>
            <w:noWrap/>
          </w:tcPr>
          <w:p w14:paraId="6EF38665" w14:textId="77777777" w:rsidR="00553430" w:rsidRDefault="00553430">
            <w:pPr>
              <w:spacing w:after="200" w:line="276" w:lineRule="auto"/>
              <w:rPr>
                <w:rFonts w:ascii="Times New Roman" w:eastAsia="Calibri" w:hAnsi="Times New Roman" w:cs="Times New Roman"/>
                <w:noProof/>
                <w:sz w:val="20"/>
                <w:szCs w:val="20"/>
              </w:rPr>
            </w:pPr>
          </w:p>
        </w:tc>
        <w:tc>
          <w:tcPr>
            <w:tcW w:w="944" w:type="dxa"/>
            <w:tcBorders>
              <w:top w:val="single" w:sz="4" w:space="0" w:color="auto"/>
              <w:left w:val="nil"/>
              <w:bottom w:val="single" w:sz="4" w:space="0" w:color="auto"/>
              <w:right w:val="single" w:sz="4" w:space="0" w:color="auto"/>
            </w:tcBorders>
            <w:shd w:val="clear" w:color="auto" w:fill="C6EFCE"/>
            <w:noWrap/>
          </w:tcPr>
          <w:p w14:paraId="0F77B1E0" w14:textId="77777777" w:rsidR="00553430" w:rsidRDefault="00212577">
            <w:pPr>
              <w:pStyle w:val="P68B1DB1-Normal70"/>
              <w:spacing w:after="200" w:line="276" w:lineRule="auto"/>
              <w:jc w:val="center"/>
              <w:rPr>
                <w:noProof/>
              </w:rPr>
            </w:pPr>
            <w:r>
              <w:rPr>
                <w:noProof/>
              </w:rPr>
              <w:t>Numéro (m2)</w:t>
            </w:r>
          </w:p>
        </w:tc>
        <w:tc>
          <w:tcPr>
            <w:tcW w:w="851" w:type="dxa"/>
            <w:tcBorders>
              <w:top w:val="single" w:sz="4" w:space="0" w:color="auto"/>
              <w:left w:val="nil"/>
              <w:bottom w:val="single" w:sz="4" w:space="0" w:color="auto"/>
              <w:right w:val="single" w:sz="4" w:space="0" w:color="auto"/>
            </w:tcBorders>
            <w:shd w:val="clear" w:color="auto" w:fill="C6EFCE"/>
            <w:noWrap/>
          </w:tcPr>
          <w:p w14:paraId="7DEFA87A" w14:textId="77777777" w:rsidR="00553430" w:rsidRDefault="00212577">
            <w:pPr>
              <w:pStyle w:val="P68B1DB1-Normal70"/>
              <w:spacing w:after="200" w:line="276" w:lineRule="auto"/>
              <w:jc w:val="center"/>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6E1F42CF" w14:textId="77777777" w:rsidR="00553430" w:rsidRDefault="00212577">
            <w:pPr>
              <w:pStyle w:val="P68B1DB1-Normal70"/>
              <w:spacing w:after="200" w:line="276" w:lineRule="auto"/>
              <w:jc w:val="center"/>
              <w:rPr>
                <w:noProof/>
              </w:rPr>
            </w:pPr>
            <w:r>
              <w:rPr>
                <w:noProof/>
              </w:rPr>
              <w:t>22 178</w:t>
            </w:r>
          </w:p>
        </w:tc>
        <w:tc>
          <w:tcPr>
            <w:tcW w:w="426" w:type="dxa"/>
            <w:tcBorders>
              <w:top w:val="single" w:sz="4" w:space="0" w:color="auto"/>
              <w:left w:val="nil"/>
              <w:bottom w:val="single" w:sz="4" w:space="0" w:color="auto"/>
              <w:right w:val="single" w:sz="4" w:space="0" w:color="auto"/>
            </w:tcBorders>
            <w:shd w:val="clear" w:color="auto" w:fill="C6EFCE"/>
            <w:noWrap/>
          </w:tcPr>
          <w:p w14:paraId="4052EE05" w14:textId="77777777" w:rsidR="00553430" w:rsidRDefault="00212577">
            <w:pPr>
              <w:pStyle w:val="P68B1DB1-Normal70"/>
              <w:spacing w:after="200" w:line="276" w:lineRule="auto"/>
              <w:jc w:val="center"/>
              <w:rPr>
                <w:noProof/>
              </w:rPr>
            </w:pPr>
            <w:r>
              <w:rPr>
                <w:noProof/>
              </w:rPr>
              <w:t>T2</w:t>
            </w:r>
          </w:p>
        </w:tc>
        <w:tc>
          <w:tcPr>
            <w:tcW w:w="662" w:type="dxa"/>
            <w:tcBorders>
              <w:top w:val="single" w:sz="4" w:space="0" w:color="auto"/>
              <w:left w:val="nil"/>
              <w:bottom w:val="single" w:sz="4" w:space="0" w:color="auto"/>
              <w:right w:val="single" w:sz="4" w:space="0" w:color="auto"/>
            </w:tcBorders>
            <w:shd w:val="clear" w:color="auto" w:fill="C6EFCE"/>
            <w:noWrap/>
          </w:tcPr>
          <w:p w14:paraId="4882022B" w14:textId="77777777" w:rsidR="00553430" w:rsidRDefault="00212577">
            <w:pPr>
              <w:pStyle w:val="P68B1DB1-Normal70"/>
              <w:spacing w:after="200" w:line="276" w:lineRule="auto"/>
              <w:jc w:val="center"/>
              <w:rPr>
                <w:noProof/>
              </w:rPr>
            </w:pPr>
            <w:r>
              <w:rPr>
                <w:noProof/>
              </w:rPr>
              <w:t>2026</w:t>
            </w:r>
          </w:p>
        </w:tc>
        <w:tc>
          <w:tcPr>
            <w:tcW w:w="4157" w:type="dxa"/>
            <w:tcBorders>
              <w:top w:val="single" w:sz="4" w:space="0" w:color="auto"/>
              <w:left w:val="nil"/>
              <w:bottom w:val="single" w:sz="4" w:space="0" w:color="auto"/>
              <w:right w:val="single" w:sz="4" w:space="0" w:color="auto"/>
            </w:tcBorders>
            <w:shd w:val="clear" w:color="auto" w:fill="C6EFCE"/>
            <w:noWrap/>
          </w:tcPr>
          <w:p w14:paraId="3E9A08FB" w14:textId="77777777" w:rsidR="00553430" w:rsidRDefault="00212577">
            <w:pPr>
              <w:pStyle w:val="P68B1DB1-Normal66"/>
              <w:spacing w:after="200" w:line="276" w:lineRule="auto"/>
              <w:rPr>
                <w:noProof/>
                <w:color w:val="000000" w:themeColor="text1"/>
              </w:rPr>
            </w:pPr>
            <w:r>
              <w:rPr>
                <w:noProof/>
              </w:rPr>
              <w:t>Rénovation énergétique et post-séisme d'au moins 22178 m2 de bâtiments publics endommagés par les tremblements de terre (dans</w:t>
            </w:r>
            <w:r>
              <w:rPr>
                <w:noProof/>
              </w:rPr>
              <w:t xml:space="preserve"> une ou plusieurs des zones suivantes: la ville de Zagreb, le comitat de Krapina-Zagorje, le comitat de Zagreb, le comitat de Sisak-Moslavina, le comitat de Karlovac, le comitat de Varaždin, le comitat de Međimurje, le comitat de Brod-Posavina, le comitat </w:t>
            </w:r>
            <w:r>
              <w:rPr>
                <w:noProof/>
              </w:rPr>
              <w:t>de Koprivnica-Križevci et le comitat de Bjelovar-Bilogora), la réalisation d’une exigence minimale de réduction de la consommation d’énergie pour le chauffage d’au moins 50 % par rapport à la consommation annuelle d’énergie pour le chauffage avant la rénov</w:t>
            </w:r>
            <w:r>
              <w:rPr>
                <w:noProof/>
              </w:rPr>
              <w:t xml:space="preserve">ation de chaque bâtiment (à l’exception des bâtiments ayant un statut de bien culturel), ce qui entraînera une augmentation de 30 % des économies d’énergie primaire au niveau de l’objectif par rapport à l’état de prérénovation et sera conforme au principe </w:t>
            </w:r>
            <w:r>
              <w:rPr>
                <w:noProof/>
              </w:rPr>
              <w:t xml:space="preserve">DNSH. </w:t>
            </w:r>
          </w:p>
          <w:p w14:paraId="36576B76" w14:textId="77777777" w:rsidR="00553430" w:rsidRDefault="00212577">
            <w:pPr>
              <w:pStyle w:val="P68B1DB1-Normal66"/>
              <w:spacing w:after="200" w:line="276" w:lineRule="auto"/>
              <w:rPr>
                <w:noProof/>
                <w:color w:val="000000" w:themeColor="text1"/>
              </w:rPr>
            </w:pPr>
            <w:r>
              <w:rPr>
                <w:noProof/>
              </w:rPr>
              <w:t>Le coût d'installation des chaudières à condensation de gaz remplaçant les chaudières à gaz, à charbon et à mazout existantes représente au maximum 20 % du coût de rénovation.</w:t>
            </w:r>
          </w:p>
        </w:tc>
      </w:tr>
    </w:tbl>
    <w:p w14:paraId="06B84070" w14:textId="77777777" w:rsidR="00553430" w:rsidRDefault="00553430">
      <w:pPr>
        <w:pStyle w:val="paragraph"/>
        <w:spacing w:before="0" w:beforeAutospacing="0" w:after="0" w:afterAutospacing="0"/>
        <w:jc w:val="both"/>
        <w:textAlignment w:val="baseline"/>
        <w:rPr>
          <w:noProof/>
          <w:sz w:val="20"/>
        </w:rPr>
      </w:pPr>
    </w:p>
    <w:p w14:paraId="658CC860" w14:textId="77777777" w:rsidR="00553430" w:rsidRDefault="00553430">
      <w:pPr>
        <w:rPr>
          <w:noProof/>
        </w:rPr>
        <w:sectPr w:rsidR="00553430" w:rsidSect="00FA29B2">
          <w:headerReference w:type="even" r:id="rId441"/>
          <w:headerReference w:type="default" r:id="rId442"/>
          <w:footerReference w:type="even" r:id="rId443"/>
          <w:footerReference w:type="default" r:id="rId444"/>
          <w:headerReference w:type="first" r:id="rId445"/>
          <w:footerReference w:type="first" r:id="rId446"/>
          <w:pgSz w:w="16839" w:h="11907" w:orient="landscape"/>
          <w:pgMar w:top="1134" w:right="1134" w:bottom="1134" w:left="1134" w:header="567" w:footer="567" w:gutter="0"/>
          <w:cols w:space="708"/>
          <w:docGrid w:linePitch="360"/>
        </w:sectPr>
      </w:pPr>
    </w:p>
    <w:p w14:paraId="64EFF3D9" w14:textId="110348A1" w:rsidR="00553430" w:rsidRDefault="00212577">
      <w:pPr>
        <w:pStyle w:val="paragraph"/>
        <w:spacing w:before="0" w:beforeAutospacing="0" w:after="0" w:afterAutospacing="0"/>
        <w:ind w:firstLine="709"/>
        <w:jc w:val="both"/>
        <w:textAlignment w:val="baseline"/>
        <w:rPr>
          <w:rFonts w:ascii="Segoe UI" w:hAnsi="Segoe UI" w:cs="Segoe UI"/>
          <w:noProof/>
          <w:sz w:val="18"/>
          <w:szCs w:val="18"/>
        </w:rPr>
      </w:pPr>
      <w:r>
        <w:rPr>
          <w:rStyle w:val="normaltextrun"/>
          <w:b/>
          <w:noProof/>
        </w:rPr>
        <w:t xml:space="preserve">X.3. Description des réformes et des investissements pour le prêt </w:t>
      </w:r>
    </w:p>
    <w:p w14:paraId="646AB807" w14:textId="77777777" w:rsidR="00553430" w:rsidRDefault="00553430">
      <w:pPr>
        <w:pStyle w:val="paragraph"/>
        <w:spacing w:before="0" w:beforeAutospacing="0" w:after="0" w:afterAutospacing="0"/>
        <w:jc w:val="both"/>
        <w:textAlignment w:val="baseline"/>
        <w:rPr>
          <w:rStyle w:val="eop"/>
          <w:bCs/>
          <w:noProof/>
        </w:rPr>
      </w:pPr>
    </w:p>
    <w:p w14:paraId="6D22C978" w14:textId="77777777" w:rsidR="00553430" w:rsidRDefault="00212577">
      <w:pPr>
        <w:pStyle w:val="P68B1DB1-paragraph59"/>
        <w:spacing w:before="0" w:beforeAutospacing="0" w:after="0" w:afterAutospacing="0"/>
        <w:ind w:left="720"/>
        <w:jc w:val="both"/>
        <w:textAlignment w:val="baseline"/>
        <w:rPr>
          <w:noProof/>
        </w:rPr>
      </w:pPr>
      <w:r>
        <w:rPr>
          <w:noProof/>
        </w:rPr>
        <w:t>Réforme C7.2 R3 – Mesure renforcée: Introduction d'un nouveau modèle de stratégies de rénovation urbaine verte et mise en œuvre d'un projet pilote pour le développement d'infrastructures v</w:t>
      </w:r>
      <w:r>
        <w:rPr>
          <w:noProof/>
        </w:rPr>
        <w:t>ertes et la gestion circulaire des bâtiments et des espaces</w:t>
      </w:r>
    </w:p>
    <w:p w14:paraId="6A97F422" w14:textId="77777777" w:rsidR="00553430" w:rsidRDefault="00553430">
      <w:pPr>
        <w:pStyle w:val="paragraph"/>
        <w:spacing w:before="0" w:beforeAutospacing="0" w:after="0" w:afterAutospacing="0"/>
        <w:jc w:val="both"/>
        <w:textAlignment w:val="baseline"/>
        <w:rPr>
          <w:noProof/>
          <w:color w:val="000000" w:themeColor="text1"/>
          <w:u w:val="single"/>
        </w:rPr>
      </w:pPr>
    </w:p>
    <w:p w14:paraId="627D99C9" w14:textId="77777777" w:rsidR="00553430" w:rsidRDefault="00212577">
      <w:pPr>
        <w:pStyle w:val="P68B1DB1-paragraph58"/>
        <w:spacing w:before="0" w:beforeAutospacing="0" w:after="0" w:afterAutospacing="0"/>
        <w:jc w:val="both"/>
        <w:textAlignment w:val="baseline"/>
        <w:rPr>
          <w:noProof/>
        </w:rPr>
      </w:pPr>
      <w:r>
        <w:rPr>
          <w:noProof/>
        </w:rPr>
        <w:t>L’objectif de la mesure est de renforcer la réforme C6.1.R5: Introduction d'un nouveau modèle de stratégies de rénovation urbaine verte et mise en œuvre d'un projet pilote pour le développement d</w:t>
      </w:r>
      <w:r>
        <w:rPr>
          <w:noProof/>
        </w:rPr>
        <w:t>'infrastructures vertes et la gestion circulaire des bâtiments et des espaces dans le cadre de l'initiative 6.1 Rénovation des bâtiments. La partie renforcée de la mesure consiste à mettre en œuvre des projets pilotes supplémentaires.</w:t>
      </w:r>
    </w:p>
    <w:p w14:paraId="0781A145" w14:textId="77777777" w:rsidR="00553430" w:rsidRDefault="00553430">
      <w:pPr>
        <w:pStyle w:val="paragraph"/>
        <w:spacing w:before="0" w:beforeAutospacing="0" w:after="0" w:afterAutospacing="0"/>
        <w:jc w:val="both"/>
        <w:textAlignment w:val="baseline"/>
        <w:rPr>
          <w:noProof/>
          <w:color w:val="000000" w:themeColor="text1"/>
        </w:rPr>
      </w:pPr>
    </w:p>
    <w:p w14:paraId="1314811A" w14:textId="77777777" w:rsidR="00553430" w:rsidRDefault="00212577">
      <w:pPr>
        <w:pStyle w:val="P68B1DB1-paragraph59"/>
        <w:spacing w:before="0" w:beforeAutospacing="0" w:after="0" w:afterAutospacing="0"/>
        <w:ind w:left="720"/>
        <w:jc w:val="both"/>
        <w:textAlignment w:val="baseline"/>
        <w:rPr>
          <w:noProof/>
        </w:rPr>
      </w:pPr>
      <w:r>
        <w:rPr>
          <w:noProof/>
        </w:rPr>
        <w:t>Réforme C7.2 R4 – In</w:t>
      </w:r>
      <w:r>
        <w:rPr>
          <w:noProof/>
        </w:rPr>
        <w:t>troduction d’un nouveau modèle de programmes d’éducation et de formation des adultes visant à développer les aptitudes et les compétences vertes dans le secteur de la construction, y compris des modules visant à soutenir l’intégration des travailleurs de p</w:t>
      </w:r>
      <w:r>
        <w:rPr>
          <w:noProof/>
        </w:rPr>
        <w:t xml:space="preserve">ays tiers </w:t>
      </w:r>
    </w:p>
    <w:p w14:paraId="14A97C4B" w14:textId="77777777" w:rsidR="00553430" w:rsidRDefault="00553430">
      <w:pPr>
        <w:pStyle w:val="paragraph"/>
        <w:spacing w:before="0" w:beforeAutospacing="0" w:after="0" w:afterAutospacing="0"/>
        <w:jc w:val="both"/>
        <w:textAlignment w:val="baseline"/>
        <w:rPr>
          <w:noProof/>
          <w:color w:val="000000" w:themeColor="text1"/>
          <w:u w:val="single"/>
        </w:rPr>
      </w:pPr>
    </w:p>
    <w:p w14:paraId="4512056A" w14:textId="77777777" w:rsidR="00553430" w:rsidRDefault="00212577">
      <w:pPr>
        <w:pStyle w:val="paragraph"/>
        <w:spacing w:before="0" w:beforeAutospacing="0" w:after="0" w:afterAutospacing="0"/>
        <w:jc w:val="both"/>
        <w:textAlignment w:val="baseline"/>
        <w:rPr>
          <w:rStyle w:val="eop"/>
          <w:noProof/>
        </w:rPr>
      </w:pPr>
      <w:r>
        <w:rPr>
          <w:rStyle w:val="eop"/>
          <w:noProof/>
        </w:rPr>
        <w:t>L’objectif de la mesure est d’établir un cadre pour le renforcement des compétences des travailleurs des pays tiers dans le s</w:t>
      </w:r>
      <w:r>
        <w:rPr>
          <w:rStyle w:val="eop"/>
          <w:noProof/>
        </w:rPr>
        <w:t xml:space="preserve">ecteur de la construction. La mesure consiste à développer un programme d'éducation des adultes pour les travailleurs de pays tiers sur les technologies de construction économes en énergie, , développant un module de langue croate dans la profession de la </w:t>
      </w:r>
      <w:r>
        <w:rPr>
          <w:rStyle w:val="eop"/>
          <w:noProof/>
        </w:rPr>
        <w:t xml:space="preserve">construction et un module interculturel. . </w:t>
      </w:r>
    </w:p>
    <w:p w14:paraId="5F6687E0" w14:textId="77777777" w:rsidR="00553430" w:rsidRDefault="00553430">
      <w:pPr>
        <w:pStyle w:val="paragraph"/>
        <w:spacing w:before="0" w:beforeAutospacing="0" w:after="0" w:afterAutospacing="0"/>
        <w:jc w:val="both"/>
        <w:textAlignment w:val="baseline"/>
        <w:rPr>
          <w:rStyle w:val="eop"/>
          <w:noProof/>
        </w:rPr>
      </w:pPr>
    </w:p>
    <w:p w14:paraId="7B778A71" w14:textId="77777777" w:rsidR="00553430" w:rsidRDefault="00212577">
      <w:pPr>
        <w:pStyle w:val="P68B1DB1-paragraph57"/>
        <w:spacing w:before="0" w:beforeAutospacing="0" w:after="0" w:afterAutospacing="0"/>
        <w:ind w:firstLine="720"/>
        <w:jc w:val="both"/>
        <w:textAlignment w:val="baseline"/>
        <w:rPr>
          <w:noProof/>
          <w:color w:val="000000" w:themeColor="text1"/>
        </w:rPr>
      </w:pPr>
      <w:r>
        <w:rPr>
          <w:noProof/>
          <w:color w:val="000000" w:themeColor="text1"/>
        </w:rPr>
        <w:t xml:space="preserve">Investissement C7.2 I1 – </w:t>
      </w:r>
      <w:r>
        <w:rPr>
          <w:noProof/>
        </w:rPr>
        <w:t xml:space="preserve">Mesure renforcée: </w:t>
      </w:r>
      <w:r>
        <w:rPr>
          <w:noProof/>
          <w:color w:val="000000" w:themeColor="text1"/>
        </w:rPr>
        <w:t>Rénovation énergétique des bâtiments</w:t>
      </w:r>
    </w:p>
    <w:p w14:paraId="34070ABC" w14:textId="77777777" w:rsidR="00553430" w:rsidRDefault="00553430">
      <w:pPr>
        <w:pStyle w:val="paragraph"/>
        <w:spacing w:before="0" w:beforeAutospacing="0" w:after="0" w:afterAutospacing="0"/>
        <w:jc w:val="both"/>
        <w:rPr>
          <w:noProof/>
          <w:color w:val="000000" w:themeColor="text1"/>
          <w:u w:val="single"/>
        </w:rPr>
      </w:pPr>
    </w:p>
    <w:p w14:paraId="0D33A78A" w14:textId="77777777" w:rsidR="00553430" w:rsidRDefault="00212577">
      <w:pPr>
        <w:pStyle w:val="P68B1DB1-paragraph58"/>
        <w:spacing w:before="0" w:beforeAutospacing="0" w:after="0" w:afterAutospacing="0"/>
        <w:jc w:val="both"/>
        <w:rPr>
          <w:noProof/>
        </w:rPr>
      </w:pPr>
      <w:r>
        <w:rPr>
          <w:noProof/>
        </w:rPr>
        <w:t xml:space="preserve">L’objectif de la mesure est de renforcer l’investissement C6.1 R1-I1: Rénovation énergétique des bâtiments dans le cadre de l’initiative 6.1: Rénovation de bâtiments. La partie renforcée de la mesure consiste à augmenter le nombre de mètres carrés rénovés </w:t>
      </w:r>
      <w:r>
        <w:rPr>
          <w:noProof/>
        </w:rPr>
        <w:t xml:space="preserve">de bâtiments publics et de bâtiments à logements multiples et à installer des systèmes d’énergie renouvelable dans les bâtiments publics rénovés grâce à cet investissement. </w:t>
      </w:r>
    </w:p>
    <w:p w14:paraId="11AF196D" w14:textId="77777777" w:rsidR="00553430" w:rsidRDefault="00553430">
      <w:pPr>
        <w:pStyle w:val="paragraph"/>
        <w:spacing w:before="0" w:beforeAutospacing="0" w:after="0" w:afterAutospacing="0"/>
        <w:jc w:val="both"/>
        <w:rPr>
          <w:noProof/>
          <w:color w:val="000000" w:themeColor="text1"/>
          <w:u w:val="single"/>
        </w:rPr>
      </w:pPr>
    </w:p>
    <w:p w14:paraId="056F183C" w14:textId="77777777" w:rsidR="00553430" w:rsidRDefault="00212577">
      <w:pPr>
        <w:pStyle w:val="P68B1DB1-paragraph59"/>
        <w:spacing w:before="0" w:beforeAutospacing="0" w:after="0" w:afterAutospacing="0"/>
        <w:ind w:left="720"/>
        <w:jc w:val="both"/>
        <w:textAlignment w:val="baseline"/>
        <w:rPr>
          <w:bCs/>
          <w:noProof/>
        </w:rPr>
      </w:pPr>
      <w:r>
        <w:rPr>
          <w:noProof/>
        </w:rPr>
        <w:t xml:space="preserve">Investissement C7.2 I2 – Rénovation de bâtiments endommagés par des tremblements </w:t>
      </w:r>
      <w:r>
        <w:rPr>
          <w:noProof/>
        </w:rPr>
        <w:t>de terre grâce à la rénovation énergétique</w:t>
      </w:r>
    </w:p>
    <w:p w14:paraId="12015AAA" w14:textId="77777777" w:rsidR="00553430" w:rsidRDefault="00212577">
      <w:pPr>
        <w:pStyle w:val="paragraph"/>
        <w:rPr>
          <w:noProof/>
        </w:rPr>
      </w:pPr>
      <w:r>
        <w:rPr>
          <w:noProof/>
        </w:rPr>
        <w:t>L’objectif de la mesure est de réparer les dommages causés par les tremblements de terre de 2020 aux immeubles collectifs et publics, d’accroître la résilience sismique des bâtiments et d’accroître leur efficacité</w:t>
      </w:r>
      <w:r>
        <w:rPr>
          <w:noProof/>
        </w:rPr>
        <w:t xml:space="preserve"> énergétique. L’investissement consiste en la rénovation énergétique de bâtiments publics et de bâtiments à logements multiples endommagés par des tremblements de terre et en l’installation de systèmes d’énergie renouvelable dans des bâtiments publics réno</w:t>
      </w:r>
      <w:r>
        <w:rPr>
          <w:noProof/>
        </w:rPr>
        <w:t>vés grâce à cet investissement.</w:t>
      </w:r>
    </w:p>
    <w:p w14:paraId="58FFED52" w14:textId="6F0D3F7C" w:rsidR="00553430" w:rsidRDefault="00212577">
      <w:pPr>
        <w:pStyle w:val="paragraph"/>
        <w:rPr>
          <w:noProof/>
        </w:rPr>
      </w:pPr>
      <w:r>
        <w:rPr>
          <w:noProof/>
        </w:rPr>
        <w:t>La rénovation des bâtiments dans leur état d’origine avant dommages est financée par le Fonds de solidarité de l’Union européenne, le cas échéant, tandis que la différence par rapport à la rénovation complète, y compris l’au</w:t>
      </w:r>
      <w:r>
        <w:rPr>
          <w:noProof/>
        </w:rPr>
        <w:t xml:space="preserve">gmentation de l’efficacité énergétique des bâtiments et l’augmentation de leur résilience sismique (principe «reconstruire en mieux»), est financée par cet investissement. </w:t>
      </w:r>
    </w:p>
    <w:p w14:paraId="6D403A27" w14:textId="77777777" w:rsidR="00553430" w:rsidRDefault="00553430">
      <w:pPr>
        <w:pStyle w:val="paragraph"/>
        <w:spacing w:before="0" w:beforeAutospacing="0" w:after="0" w:afterAutospacing="0"/>
        <w:jc w:val="both"/>
        <w:textAlignment w:val="baseline"/>
        <w:rPr>
          <w:bCs/>
          <w:noProof/>
          <w:color w:val="000000" w:themeColor="text1"/>
        </w:rPr>
      </w:pPr>
    </w:p>
    <w:p w14:paraId="5403E26D" w14:textId="77777777" w:rsidR="00553430" w:rsidRDefault="00553430">
      <w:pPr>
        <w:pStyle w:val="paragraph"/>
        <w:spacing w:before="0" w:beforeAutospacing="0" w:after="0" w:afterAutospacing="0"/>
        <w:jc w:val="both"/>
        <w:textAlignment w:val="baseline"/>
        <w:rPr>
          <w:rFonts w:ascii="Segoe UI" w:hAnsi="Segoe UI" w:cs="Segoe UI"/>
          <w:noProof/>
          <w:sz w:val="18"/>
          <w:szCs w:val="18"/>
        </w:rPr>
      </w:pPr>
    </w:p>
    <w:p w14:paraId="34125DF8" w14:textId="77777777" w:rsidR="00553430" w:rsidRDefault="00553430">
      <w:pPr>
        <w:pStyle w:val="paragraph"/>
        <w:spacing w:before="0" w:beforeAutospacing="0" w:after="0" w:afterAutospacing="0"/>
        <w:jc w:val="both"/>
        <w:textAlignment w:val="baseline"/>
        <w:rPr>
          <w:rStyle w:val="normaltextrun"/>
          <w:b/>
          <w:bCs/>
          <w:noProof/>
        </w:rPr>
      </w:pPr>
    </w:p>
    <w:p w14:paraId="3FABBBED" w14:textId="77777777" w:rsidR="00553430" w:rsidRDefault="00553430">
      <w:pPr>
        <w:rPr>
          <w:noProof/>
        </w:rPr>
      </w:pPr>
    </w:p>
    <w:p w14:paraId="3A553BDB" w14:textId="77777777" w:rsidR="00553430" w:rsidRDefault="00553430">
      <w:pPr>
        <w:rPr>
          <w:noProof/>
        </w:rPr>
      </w:pPr>
    </w:p>
    <w:p w14:paraId="72E60258" w14:textId="77777777" w:rsidR="00553430" w:rsidRDefault="00553430">
      <w:pPr>
        <w:rPr>
          <w:noProof/>
        </w:rPr>
      </w:pPr>
    </w:p>
    <w:p w14:paraId="7CF4D63D" w14:textId="77777777" w:rsidR="00553430" w:rsidRDefault="00212577">
      <w:pPr>
        <w:tabs>
          <w:tab w:val="left" w:pos="5740"/>
        </w:tabs>
        <w:rPr>
          <w:noProof/>
        </w:rPr>
        <w:sectPr w:rsidR="00553430" w:rsidSect="00FA29B2">
          <w:headerReference w:type="even" r:id="rId447"/>
          <w:headerReference w:type="default" r:id="rId448"/>
          <w:footerReference w:type="even" r:id="rId449"/>
          <w:footerReference w:type="default" r:id="rId450"/>
          <w:headerReference w:type="first" r:id="rId451"/>
          <w:footerReference w:type="first" r:id="rId452"/>
          <w:pgSz w:w="11907" w:h="16839"/>
          <w:pgMar w:top="1134" w:right="1134" w:bottom="1134" w:left="1134" w:header="567" w:footer="567" w:gutter="0"/>
          <w:cols w:space="708"/>
          <w:docGrid w:linePitch="360"/>
        </w:sectPr>
      </w:pPr>
      <w:r>
        <w:rPr>
          <w:noProof/>
        </w:rPr>
        <w:tab/>
      </w:r>
    </w:p>
    <w:p w14:paraId="57CBCE21" w14:textId="1F0D0735" w:rsidR="00553430" w:rsidRDefault="00212577">
      <w:pPr>
        <w:pStyle w:val="paragraph"/>
        <w:spacing w:before="0" w:beforeAutospacing="0" w:after="0" w:afterAutospacing="0"/>
        <w:jc w:val="both"/>
        <w:textAlignment w:val="baseline"/>
        <w:rPr>
          <w:rFonts w:ascii="Segoe UI" w:hAnsi="Segoe UI" w:cs="Segoe UI"/>
          <w:noProof/>
          <w:sz w:val="18"/>
          <w:szCs w:val="18"/>
          <w:u w:val="single"/>
        </w:rPr>
      </w:pPr>
      <w:r>
        <w:rPr>
          <w:rStyle w:val="normaltextrun"/>
          <w:b/>
          <w:noProof/>
          <w:u w:val="single"/>
        </w:rPr>
        <w:t>X.4. Étapes, o</w:t>
      </w:r>
      <w:r>
        <w:rPr>
          <w:rStyle w:val="normaltextrun"/>
          <w:b/>
          <w:noProof/>
          <w:u w:val="single"/>
        </w:rPr>
        <w:t xml:space="preserve">bjectifs, indicateurs et calendrier du suivi et de la mise en œuvre du prêt </w:t>
      </w:r>
    </w:p>
    <w:p w14:paraId="40AFBE73" w14:textId="77777777" w:rsidR="00553430" w:rsidRDefault="00553430">
      <w:pPr>
        <w:pStyle w:val="paragraph"/>
        <w:spacing w:before="0" w:beforeAutospacing="0" w:after="0" w:afterAutospacing="0"/>
        <w:jc w:val="both"/>
        <w:textAlignment w:val="baseline"/>
        <w:rPr>
          <w:rStyle w:val="eop"/>
          <w:noProof/>
          <w:color w:val="4F81BD"/>
        </w:rPr>
      </w:pP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46"/>
        <w:gridCol w:w="1134"/>
        <w:gridCol w:w="1223"/>
        <w:gridCol w:w="2037"/>
        <w:gridCol w:w="2126"/>
        <w:gridCol w:w="851"/>
        <w:gridCol w:w="939"/>
        <w:gridCol w:w="988"/>
        <w:gridCol w:w="997"/>
        <w:gridCol w:w="708"/>
        <w:gridCol w:w="3739"/>
      </w:tblGrid>
      <w:tr w:rsidR="00553430" w14:paraId="537E533B" w14:textId="77777777" w:rsidTr="00262866">
        <w:trPr>
          <w:tblHeader/>
          <w:jc w:val="center"/>
        </w:trPr>
        <w:tc>
          <w:tcPr>
            <w:tcW w:w="846" w:type="dxa"/>
            <w:vMerge w:val="restart"/>
            <w:shd w:val="clear" w:color="auto" w:fill="BDD7EE"/>
            <w:vAlign w:val="center"/>
            <w:hideMark/>
          </w:tcPr>
          <w:p w14:paraId="312A2249" w14:textId="77777777" w:rsidR="00553430" w:rsidRDefault="00212577">
            <w:pPr>
              <w:pStyle w:val="P68B1DB1-Normal58"/>
              <w:spacing w:after="0" w:line="276" w:lineRule="auto"/>
              <w:jc w:val="center"/>
              <w:rPr>
                <w:bCs/>
                <w:noProof/>
              </w:rPr>
            </w:pPr>
            <w:r>
              <w:rPr>
                <w:noProof/>
              </w:rPr>
              <w:t>Numéro</w:t>
            </w:r>
          </w:p>
        </w:tc>
        <w:tc>
          <w:tcPr>
            <w:tcW w:w="1134" w:type="dxa"/>
            <w:vMerge w:val="restart"/>
            <w:shd w:val="clear" w:color="auto" w:fill="BDD7EE"/>
            <w:vAlign w:val="center"/>
            <w:hideMark/>
          </w:tcPr>
          <w:p w14:paraId="38722290" w14:textId="77777777" w:rsidR="00553430" w:rsidRDefault="00212577">
            <w:pPr>
              <w:pStyle w:val="P68B1DB1-Normal58"/>
              <w:spacing w:after="0" w:line="276" w:lineRule="auto"/>
              <w:jc w:val="center"/>
              <w:rPr>
                <w:bCs/>
                <w:noProof/>
              </w:rPr>
            </w:pPr>
            <w:r>
              <w:rPr>
                <w:noProof/>
              </w:rPr>
              <w:t>Mesure</w:t>
            </w:r>
          </w:p>
        </w:tc>
        <w:tc>
          <w:tcPr>
            <w:tcW w:w="1223" w:type="dxa"/>
            <w:vMerge w:val="restart"/>
            <w:shd w:val="clear" w:color="auto" w:fill="BDD7EE"/>
            <w:vAlign w:val="center"/>
            <w:hideMark/>
          </w:tcPr>
          <w:p w14:paraId="0DA4B233" w14:textId="77777777" w:rsidR="00553430" w:rsidRDefault="00212577">
            <w:pPr>
              <w:pStyle w:val="P68B1DB1-Normal58"/>
              <w:spacing w:after="0" w:line="276" w:lineRule="auto"/>
              <w:jc w:val="center"/>
              <w:rPr>
                <w:bCs/>
                <w:noProof/>
              </w:rPr>
            </w:pPr>
            <w:r>
              <w:rPr>
                <w:noProof/>
              </w:rPr>
              <w:t>Étape/cible</w:t>
            </w:r>
          </w:p>
        </w:tc>
        <w:tc>
          <w:tcPr>
            <w:tcW w:w="2037" w:type="dxa"/>
            <w:vMerge w:val="restart"/>
            <w:shd w:val="clear" w:color="auto" w:fill="BDD7EE"/>
            <w:vAlign w:val="center"/>
            <w:hideMark/>
          </w:tcPr>
          <w:p w14:paraId="025517BD" w14:textId="77777777" w:rsidR="00553430" w:rsidRDefault="00212577">
            <w:pPr>
              <w:pStyle w:val="P68B1DB1-Normal58"/>
              <w:spacing w:after="0" w:line="276" w:lineRule="auto"/>
              <w:jc w:val="center"/>
              <w:rPr>
                <w:bCs/>
                <w:noProof/>
              </w:rPr>
            </w:pPr>
            <w:r>
              <w:rPr>
                <w:noProof/>
              </w:rPr>
              <w:t>Nom</w:t>
            </w:r>
          </w:p>
        </w:tc>
        <w:tc>
          <w:tcPr>
            <w:tcW w:w="2126" w:type="dxa"/>
            <w:vMerge w:val="restart"/>
            <w:shd w:val="clear" w:color="auto" w:fill="BDD7EE"/>
            <w:vAlign w:val="center"/>
            <w:hideMark/>
          </w:tcPr>
          <w:p w14:paraId="157C4C89"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qualitatifs</w:t>
            </w:r>
            <w:r>
              <w:rPr>
                <w:rFonts w:ascii="Times New Roman" w:eastAsia="Calibri" w:hAnsi="Times New Roman" w:cs="Times New Roman"/>
                <w:noProof/>
              </w:rPr>
              <w:br/>
            </w:r>
            <w:r>
              <w:rPr>
                <w:rFonts w:ascii="Times New Roman" w:eastAsia="Times New Roman" w:hAnsi="Times New Roman" w:cs="Times New Roman"/>
                <w:b/>
                <w:noProof/>
              </w:rPr>
              <w:t>(pour les jalons)</w:t>
            </w:r>
          </w:p>
        </w:tc>
        <w:tc>
          <w:tcPr>
            <w:tcW w:w="2778" w:type="dxa"/>
            <w:gridSpan w:val="3"/>
            <w:shd w:val="clear" w:color="auto" w:fill="BDD7EE"/>
            <w:vAlign w:val="center"/>
            <w:hideMark/>
          </w:tcPr>
          <w:p w14:paraId="5C90D0F4" w14:textId="77777777" w:rsidR="00553430" w:rsidRDefault="00212577">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Indicateurs quantitatifs</w:t>
            </w:r>
            <w:r>
              <w:rPr>
                <w:rFonts w:ascii="Times New Roman" w:eastAsia="Calibri" w:hAnsi="Times New Roman" w:cs="Times New Roman"/>
                <w:noProof/>
              </w:rPr>
              <w:br/>
            </w:r>
            <w:r>
              <w:rPr>
                <w:rFonts w:ascii="Times New Roman" w:eastAsia="Times New Roman" w:hAnsi="Times New Roman" w:cs="Times New Roman"/>
                <w:b/>
                <w:noProof/>
              </w:rPr>
              <w:t>(pour les objectifs)</w:t>
            </w:r>
          </w:p>
        </w:tc>
        <w:tc>
          <w:tcPr>
            <w:tcW w:w="1705" w:type="dxa"/>
            <w:gridSpan w:val="2"/>
            <w:shd w:val="clear" w:color="auto" w:fill="BDD7EE"/>
            <w:vAlign w:val="center"/>
            <w:hideMark/>
          </w:tcPr>
          <w:p w14:paraId="3AACFF6D" w14:textId="77777777" w:rsidR="00553430" w:rsidRDefault="00212577">
            <w:pPr>
              <w:pStyle w:val="P68B1DB1-Normal58"/>
              <w:spacing w:after="0" w:line="276" w:lineRule="auto"/>
              <w:jc w:val="center"/>
              <w:rPr>
                <w:bCs/>
                <w:noProof/>
              </w:rPr>
            </w:pPr>
            <w:r>
              <w:rPr>
                <w:noProof/>
              </w:rPr>
              <w:t>Temps</w:t>
            </w:r>
          </w:p>
        </w:tc>
        <w:tc>
          <w:tcPr>
            <w:tcW w:w="3739" w:type="dxa"/>
            <w:vMerge w:val="restart"/>
            <w:shd w:val="clear" w:color="auto" w:fill="BDD7EE"/>
            <w:vAlign w:val="center"/>
            <w:hideMark/>
          </w:tcPr>
          <w:p w14:paraId="19CFC9D3" w14:textId="77777777" w:rsidR="00553430" w:rsidRDefault="00212577">
            <w:pPr>
              <w:pStyle w:val="P68B1DB1-Normal58"/>
              <w:spacing w:after="0" w:line="276" w:lineRule="auto"/>
              <w:jc w:val="center"/>
              <w:rPr>
                <w:bCs/>
                <w:noProof/>
              </w:rPr>
            </w:pPr>
            <w:r>
              <w:rPr>
                <w:noProof/>
              </w:rPr>
              <w:t>Description de chaque jalon et cible</w:t>
            </w:r>
          </w:p>
        </w:tc>
      </w:tr>
      <w:tr w:rsidR="00553430" w14:paraId="1E1C3DFE" w14:textId="77777777" w:rsidTr="00262866">
        <w:trPr>
          <w:tblHeader/>
          <w:jc w:val="center"/>
        </w:trPr>
        <w:tc>
          <w:tcPr>
            <w:tcW w:w="846" w:type="dxa"/>
            <w:vMerge/>
            <w:hideMark/>
          </w:tcPr>
          <w:p w14:paraId="304BE563"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134" w:type="dxa"/>
            <w:vMerge/>
            <w:hideMark/>
          </w:tcPr>
          <w:p w14:paraId="6AABD078"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1223" w:type="dxa"/>
            <w:vMerge/>
            <w:hideMark/>
          </w:tcPr>
          <w:p w14:paraId="5C696CB3" w14:textId="77777777" w:rsidR="00553430" w:rsidRDefault="00553430">
            <w:pPr>
              <w:spacing w:after="0" w:line="276" w:lineRule="auto"/>
              <w:jc w:val="center"/>
              <w:rPr>
                <w:rFonts w:ascii="Times New Roman" w:eastAsia="Times New Roman" w:hAnsi="Times New Roman" w:cs="Times New Roman"/>
                <w:b/>
                <w:noProof/>
                <w:sz w:val="20"/>
                <w:szCs w:val="20"/>
              </w:rPr>
            </w:pPr>
          </w:p>
        </w:tc>
        <w:tc>
          <w:tcPr>
            <w:tcW w:w="2037" w:type="dxa"/>
            <w:vMerge/>
            <w:hideMark/>
          </w:tcPr>
          <w:p w14:paraId="537BF873" w14:textId="77777777" w:rsidR="00553430" w:rsidRDefault="00553430">
            <w:pPr>
              <w:spacing w:after="0" w:line="276" w:lineRule="auto"/>
              <w:rPr>
                <w:rFonts w:ascii="Times New Roman" w:eastAsia="Times New Roman" w:hAnsi="Times New Roman" w:cs="Times New Roman"/>
                <w:b/>
                <w:noProof/>
                <w:sz w:val="20"/>
                <w:szCs w:val="20"/>
              </w:rPr>
            </w:pPr>
          </w:p>
        </w:tc>
        <w:tc>
          <w:tcPr>
            <w:tcW w:w="2126" w:type="dxa"/>
            <w:vMerge/>
            <w:hideMark/>
          </w:tcPr>
          <w:p w14:paraId="55F7436B" w14:textId="77777777" w:rsidR="00553430" w:rsidRDefault="00553430">
            <w:pPr>
              <w:spacing w:after="0" w:line="276" w:lineRule="auto"/>
              <w:rPr>
                <w:rFonts w:ascii="Times New Roman" w:eastAsia="Times New Roman" w:hAnsi="Times New Roman" w:cs="Times New Roman"/>
                <w:b/>
                <w:noProof/>
                <w:sz w:val="20"/>
                <w:szCs w:val="20"/>
              </w:rPr>
            </w:pPr>
          </w:p>
        </w:tc>
        <w:tc>
          <w:tcPr>
            <w:tcW w:w="851" w:type="dxa"/>
            <w:shd w:val="clear" w:color="auto" w:fill="BDD7EE"/>
            <w:hideMark/>
          </w:tcPr>
          <w:p w14:paraId="09E25271" w14:textId="77777777" w:rsidR="00553430" w:rsidRDefault="00212577">
            <w:pPr>
              <w:pStyle w:val="P68B1DB1-Normal58"/>
              <w:spacing w:after="0" w:line="276" w:lineRule="auto"/>
              <w:jc w:val="center"/>
              <w:rPr>
                <w:bCs/>
                <w:noProof/>
              </w:rPr>
            </w:pPr>
            <w:r>
              <w:rPr>
                <w:noProof/>
              </w:rPr>
              <w:t>Unité</w:t>
            </w:r>
          </w:p>
        </w:tc>
        <w:tc>
          <w:tcPr>
            <w:tcW w:w="939" w:type="dxa"/>
            <w:shd w:val="clear" w:color="auto" w:fill="BDD7EE"/>
            <w:hideMark/>
          </w:tcPr>
          <w:p w14:paraId="4A81621C" w14:textId="77777777" w:rsidR="00553430" w:rsidRDefault="00212577">
            <w:pPr>
              <w:pStyle w:val="P68B1DB1-Normal58"/>
              <w:spacing w:after="0" w:line="276" w:lineRule="auto"/>
              <w:jc w:val="center"/>
              <w:rPr>
                <w:bCs/>
                <w:noProof/>
              </w:rPr>
            </w:pPr>
            <w:r>
              <w:rPr>
                <w:noProof/>
              </w:rPr>
              <w:t>Données de référence</w:t>
            </w:r>
          </w:p>
        </w:tc>
        <w:tc>
          <w:tcPr>
            <w:tcW w:w="988" w:type="dxa"/>
            <w:shd w:val="clear" w:color="auto" w:fill="BDD7EE"/>
            <w:hideMark/>
          </w:tcPr>
          <w:p w14:paraId="609DBAB0" w14:textId="77777777" w:rsidR="00553430" w:rsidRDefault="00212577">
            <w:pPr>
              <w:pStyle w:val="P68B1DB1-Normal58"/>
              <w:spacing w:after="0" w:line="276" w:lineRule="auto"/>
              <w:jc w:val="center"/>
              <w:rPr>
                <w:bCs/>
                <w:noProof/>
              </w:rPr>
            </w:pPr>
            <w:r>
              <w:rPr>
                <w:noProof/>
              </w:rPr>
              <w:t>Objectif</w:t>
            </w:r>
          </w:p>
        </w:tc>
        <w:tc>
          <w:tcPr>
            <w:tcW w:w="997" w:type="dxa"/>
            <w:shd w:val="clear" w:color="auto" w:fill="BDD7EE"/>
            <w:hideMark/>
          </w:tcPr>
          <w:p w14:paraId="1E0FEF12" w14:textId="77777777" w:rsidR="00553430" w:rsidRDefault="00212577">
            <w:pPr>
              <w:pStyle w:val="P68B1DB1-Normal58"/>
              <w:spacing w:after="0" w:line="276" w:lineRule="auto"/>
              <w:jc w:val="center"/>
              <w:rPr>
                <w:bCs/>
                <w:noProof/>
              </w:rPr>
            </w:pPr>
            <w:r>
              <w:rPr>
                <w:noProof/>
              </w:rPr>
              <w:t>Trimestre</w:t>
            </w:r>
          </w:p>
        </w:tc>
        <w:tc>
          <w:tcPr>
            <w:tcW w:w="708" w:type="dxa"/>
            <w:shd w:val="clear" w:color="auto" w:fill="BDD7EE"/>
            <w:hideMark/>
          </w:tcPr>
          <w:p w14:paraId="6453460D" w14:textId="77777777" w:rsidR="00553430" w:rsidRDefault="00212577">
            <w:pPr>
              <w:pStyle w:val="P68B1DB1-Normal58"/>
              <w:spacing w:after="0" w:line="276" w:lineRule="auto"/>
              <w:jc w:val="center"/>
              <w:rPr>
                <w:bCs/>
                <w:noProof/>
              </w:rPr>
            </w:pPr>
            <w:r>
              <w:rPr>
                <w:noProof/>
              </w:rPr>
              <w:t>Année</w:t>
            </w:r>
          </w:p>
        </w:tc>
        <w:tc>
          <w:tcPr>
            <w:tcW w:w="3739" w:type="dxa"/>
            <w:vMerge/>
            <w:hideMark/>
          </w:tcPr>
          <w:p w14:paraId="69B3499F" w14:textId="77777777" w:rsidR="00553430" w:rsidRDefault="00553430">
            <w:pPr>
              <w:spacing w:after="0" w:line="276" w:lineRule="auto"/>
              <w:rPr>
                <w:rFonts w:ascii="Times New Roman" w:eastAsia="Times New Roman" w:hAnsi="Times New Roman" w:cs="Times New Roman"/>
                <w:b/>
                <w:noProof/>
                <w:sz w:val="20"/>
                <w:szCs w:val="20"/>
              </w:rPr>
            </w:pPr>
          </w:p>
        </w:tc>
      </w:tr>
      <w:tr w:rsidR="00553430" w14:paraId="1DFA5DD6" w14:textId="77777777" w:rsidTr="00262866">
        <w:trPr>
          <w:jc w:val="center"/>
        </w:trPr>
        <w:tc>
          <w:tcPr>
            <w:tcW w:w="846" w:type="dxa"/>
            <w:shd w:val="clear" w:color="auto" w:fill="C6EFCE"/>
            <w:noWrap/>
          </w:tcPr>
          <w:p w14:paraId="3C82FBF6" w14:textId="77777777" w:rsidR="00553430" w:rsidRDefault="00212577">
            <w:pPr>
              <w:pStyle w:val="P68B1DB1-Normal89"/>
              <w:spacing w:after="0" w:line="276" w:lineRule="auto"/>
              <w:jc w:val="center"/>
              <w:rPr>
                <w:rFonts w:eastAsia="Calibri"/>
                <w:noProof/>
              </w:rPr>
            </w:pPr>
            <w:r>
              <w:rPr>
                <w:noProof/>
              </w:rPr>
              <w:t>432</w:t>
            </w:r>
          </w:p>
          <w:p w14:paraId="0808D92C" w14:textId="77777777" w:rsidR="00553430" w:rsidRDefault="00553430">
            <w:pPr>
              <w:spacing w:after="0" w:line="276" w:lineRule="auto"/>
              <w:jc w:val="center"/>
              <w:rPr>
                <w:rFonts w:ascii="Times New Roman" w:hAnsi="Times New Roman" w:cs="Times New Roman"/>
                <w:noProof/>
                <w:sz w:val="20"/>
                <w:szCs w:val="20"/>
              </w:rPr>
            </w:pPr>
          </w:p>
        </w:tc>
        <w:tc>
          <w:tcPr>
            <w:tcW w:w="1134" w:type="dxa"/>
            <w:shd w:val="clear" w:color="auto" w:fill="C6EFCE"/>
            <w:noWrap/>
          </w:tcPr>
          <w:p w14:paraId="5680276D" w14:textId="77777777" w:rsidR="00553430" w:rsidRDefault="00212577">
            <w:pPr>
              <w:pStyle w:val="P68B1DB1-Normal102"/>
              <w:spacing w:after="200" w:line="276" w:lineRule="auto"/>
              <w:jc w:val="center"/>
              <w:rPr>
                <w:noProof/>
                <w:color w:val="000000" w:themeColor="text1"/>
              </w:rPr>
            </w:pPr>
            <w:r>
              <w:rPr>
                <w:noProof/>
              </w:rPr>
              <w:t>C7.2 R3</w:t>
            </w:r>
          </w:p>
        </w:tc>
        <w:tc>
          <w:tcPr>
            <w:tcW w:w="1223" w:type="dxa"/>
            <w:shd w:val="clear" w:color="auto" w:fill="C6EFCE"/>
            <w:noWrap/>
          </w:tcPr>
          <w:p w14:paraId="0D757484" w14:textId="77777777" w:rsidR="00553430" w:rsidRDefault="00212577">
            <w:pPr>
              <w:pStyle w:val="P68B1DB1-Normal70"/>
              <w:spacing w:after="200" w:line="276" w:lineRule="auto"/>
              <w:jc w:val="center"/>
              <w:rPr>
                <w:noProof/>
              </w:rPr>
            </w:pPr>
            <w:r>
              <w:rPr>
                <w:noProof/>
              </w:rPr>
              <w:t>T</w:t>
            </w:r>
          </w:p>
        </w:tc>
        <w:tc>
          <w:tcPr>
            <w:tcW w:w="2037" w:type="dxa"/>
            <w:shd w:val="clear" w:color="auto" w:fill="C6EFCE"/>
            <w:noWrap/>
          </w:tcPr>
          <w:p w14:paraId="6E039F5A" w14:textId="77777777" w:rsidR="00553430" w:rsidRDefault="00212577">
            <w:pPr>
              <w:pStyle w:val="P68B1DB1-Normal89"/>
              <w:spacing w:after="200" w:line="276" w:lineRule="auto"/>
              <w:rPr>
                <w:rFonts w:eastAsia="Calibri"/>
                <w:noProof/>
              </w:rPr>
            </w:pPr>
            <w:r>
              <w:rPr>
                <w:noProof/>
              </w:rPr>
              <w:t xml:space="preserve">Finalisation des projets pilotes identifiés dans le cadre des stratégies de rénovation urbaine verte </w:t>
            </w:r>
          </w:p>
        </w:tc>
        <w:tc>
          <w:tcPr>
            <w:tcW w:w="2126" w:type="dxa"/>
            <w:shd w:val="clear" w:color="auto" w:fill="C6EFCE"/>
            <w:noWrap/>
          </w:tcPr>
          <w:p w14:paraId="1C0530C4" w14:textId="77777777" w:rsidR="00553430" w:rsidRDefault="00553430">
            <w:pPr>
              <w:spacing w:after="200" w:line="276" w:lineRule="auto"/>
              <w:rPr>
                <w:rFonts w:ascii="Times New Roman" w:eastAsia="Calibri" w:hAnsi="Times New Roman" w:cs="Times New Roman"/>
                <w:noProof/>
                <w:sz w:val="20"/>
                <w:szCs w:val="20"/>
              </w:rPr>
            </w:pPr>
          </w:p>
        </w:tc>
        <w:tc>
          <w:tcPr>
            <w:tcW w:w="851" w:type="dxa"/>
            <w:shd w:val="clear" w:color="auto" w:fill="C6EFCE"/>
            <w:noWrap/>
          </w:tcPr>
          <w:p w14:paraId="0E2C866E" w14:textId="77777777" w:rsidR="00553430" w:rsidRDefault="00212577">
            <w:pPr>
              <w:pStyle w:val="P68B1DB1-Normal70"/>
              <w:spacing w:after="200" w:line="276" w:lineRule="auto"/>
              <w:jc w:val="center"/>
              <w:rPr>
                <w:noProof/>
              </w:rPr>
            </w:pPr>
            <w:r>
              <w:rPr>
                <w:noProof/>
              </w:rPr>
              <w:t>Numéro</w:t>
            </w:r>
          </w:p>
        </w:tc>
        <w:tc>
          <w:tcPr>
            <w:tcW w:w="939" w:type="dxa"/>
            <w:shd w:val="clear" w:color="auto" w:fill="C6EFCE"/>
            <w:noWrap/>
          </w:tcPr>
          <w:p w14:paraId="5D2DD86A" w14:textId="77777777" w:rsidR="00553430" w:rsidRDefault="00212577">
            <w:pPr>
              <w:pStyle w:val="P68B1DB1-Normal70"/>
              <w:spacing w:after="200" w:line="276" w:lineRule="auto"/>
              <w:jc w:val="center"/>
              <w:rPr>
                <w:noProof/>
              </w:rPr>
            </w:pPr>
            <w:r>
              <w:rPr>
                <w:noProof/>
              </w:rPr>
              <w:t>0</w:t>
            </w:r>
          </w:p>
        </w:tc>
        <w:tc>
          <w:tcPr>
            <w:tcW w:w="988" w:type="dxa"/>
            <w:shd w:val="clear" w:color="auto" w:fill="C6EFCE"/>
            <w:noWrap/>
          </w:tcPr>
          <w:p w14:paraId="42D44C06" w14:textId="77777777" w:rsidR="00553430" w:rsidRDefault="00212577">
            <w:pPr>
              <w:pStyle w:val="P68B1DB1-Normal70"/>
              <w:spacing w:after="200" w:line="276" w:lineRule="auto"/>
              <w:jc w:val="center"/>
              <w:rPr>
                <w:noProof/>
                <w:highlight w:val="yellow"/>
              </w:rPr>
            </w:pPr>
            <w:r>
              <w:rPr>
                <w:noProof/>
              </w:rPr>
              <w:t>4</w:t>
            </w:r>
          </w:p>
        </w:tc>
        <w:tc>
          <w:tcPr>
            <w:tcW w:w="997" w:type="dxa"/>
            <w:shd w:val="clear" w:color="auto" w:fill="C6EFCE"/>
            <w:noWrap/>
          </w:tcPr>
          <w:p w14:paraId="65756323" w14:textId="77777777" w:rsidR="00553430" w:rsidRDefault="00212577">
            <w:pPr>
              <w:pStyle w:val="P68B1DB1-Normal70"/>
              <w:spacing w:after="200" w:line="276" w:lineRule="auto"/>
              <w:jc w:val="center"/>
              <w:rPr>
                <w:noProof/>
              </w:rPr>
            </w:pPr>
            <w:r>
              <w:rPr>
                <w:noProof/>
              </w:rPr>
              <w:t>T2</w:t>
            </w:r>
          </w:p>
        </w:tc>
        <w:tc>
          <w:tcPr>
            <w:tcW w:w="708" w:type="dxa"/>
            <w:shd w:val="clear" w:color="auto" w:fill="C6EFCE"/>
            <w:noWrap/>
          </w:tcPr>
          <w:p w14:paraId="63691133" w14:textId="77777777" w:rsidR="00553430" w:rsidRDefault="00212577">
            <w:pPr>
              <w:pStyle w:val="P68B1DB1-Normal70"/>
              <w:spacing w:after="200" w:line="276" w:lineRule="auto"/>
              <w:jc w:val="center"/>
              <w:rPr>
                <w:noProof/>
              </w:rPr>
            </w:pPr>
            <w:r>
              <w:rPr>
                <w:noProof/>
              </w:rPr>
              <w:t>2026</w:t>
            </w:r>
          </w:p>
        </w:tc>
        <w:tc>
          <w:tcPr>
            <w:tcW w:w="3739" w:type="dxa"/>
            <w:shd w:val="clear" w:color="auto" w:fill="C6EFCE"/>
            <w:noWrap/>
          </w:tcPr>
          <w:p w14:paraId="50C5C969" w14:textId="77777777" w:rsidR="00553430" w:rsidRDefault="00212577">
            <w:pPr>
              <w:pStyle w:val="P68B1DB1-Normal89"/>
              <w:rPr>
                <w:noProof/>
              </w:rPr>
            </w:pPr>
            <w:r>
              <w:rPr>
                <w:noProof/>
              </w:rPr>
              <w:t xml:space="preserve">Au moins quatre projets pilotes recensés dans le cadre des stratégies </w:t>
            </w:r>
            <w:r>
              <w:rPr>
                <w:noProof/>
              </w:rPr>
              <w:t>de rénovation urbaine verte sont finalisés.</w:t>
            </w:r>
          </w:p>
          <w:p w14:paraId="4ECCB2F6" w14:textId="77777777" w:rsidR="00553430" w:rsidRDefault="00553430">
            <w:pPr>
              <w:spacing w:after="200" w:line="276" w:lineRule="auto"/>
              <w:rPr>
                <w:rFonts w:ascii="Times New Roman" w:eastAsia="Calibri" w:hAnsi="Times New Roman" w:cs="Times New Roman"/>
                <w:noProof/>
                <w:color w:val="000000"/>
                <w:sz w:val="20"/>
                <w:szCs w:val="20"/>
                <w:highlight w:val="yellow"/>
              </w:rPr>
            </w:pPr>
          </w:p>
        </w:tc>
      </w:tr>
      <w:tr w:rsidR="00553430" w14:paraId="32CBF060" w14:textId="77777777" w:rsidTr="00262866">
        <w:trPr>
          <w:jc w:val="center"/>
        </w:trPr>
        <w:tc>
          <w:tcPr>
            <w:tcW w:w="846" w:type="dxa"/>
            <w:shd w:val="clear" w:color="auto" w:fill="C6EFCE"/>
            <w:noWrap/>
          </w:tcPr>
          <w:p w14:paraId="28EEA5BF" w14:textId="77777777" w:rsidR="00553430" w:rsidRDefault="00212577">
            <w:pPr>
              <w:pStyle w:val="P68B1DB1-Normal89"/>
              <w:spacing w:after="0" w:line="276" w:lineRule="auto"/>
              <w:jc w:val="center"/>
              <w:rPr>
                <w:noProof/>
              </w:rPr>
            </w:pPr>
            <w:r>
              <w:rPr>
                <w:noProof/>
              </w:rPr>
              <w:t>433</w:t>
            </w:r>
          </w:p>
          <w:p w14:paraId="66596368" w14:textId="77777777" w:rsidR="00553430" w:rsidRDefault="00553430">
            <w:pPr>
              <w:spacing w:after="0" w:line="276" w:lineRule="auto"/>
              <w:jc w:val="center"/>
              <w:rPr>
                <w:rFonts w:ascii="Times New Roman" w:hAnsi="Times New Roman" w:cs="Times New Roman"/>
                <w:noProof/>
                <w:sz w:val="20"/>
                <w:szCs w:val="20"/>
              </w:rPr>
            </w:pPr>
          </w:p>
        </w:tc>
        <w:tc>
          <w:tcPr>
            <w:tcW w:w="1134" w:type="dxa"/>
            <w:shd w:val="clear" w:color="auto" w:fill="C6EFCE"/>
            <w:noWrap/>
          </w:tcPr>
          <w:p w14:paraId="0E477084" w14:textId="77777777" w:rsidR="00553430" w:rsidRDefault="00212577">
            <w:pPr>
              <w:pStyle w:val="P68B1DB1-Normal102"/>
              <w:spacing w:after="200" w:line="276" w:lineRule="auto"/>
              <w:jc w:val="center"/>
              <w:rPr>
                <w:noProof/>
                <w:color w:val="000000" w:themeColor="text1"/>
              </w:rPr>
            </w:pPr>
            <w:r>
              <w:rPr>
                <w:noProof/>
              </w:rPr>
              <w:t>C7.2 R4</w:t>
            </w:r>
          </w:p>
          <w:p w14:paraId="65B4225C" w14:textId="77777777" w:rsidR="00553430" w:rsidRDefault="00553430">
            <w:pPr>
              <w:spacing w:after="200" w:line="276" w:lineRule="auto"/>
              <w:jc w:val="center"/>
              <w:rPr>
                <w:rFonts w:ascii="Times New Roman" w:hAnsi="Times New Roman" w:cs="Times New Roman"/>
                <w:noProof/>
                <w:color w:val="000000" w:themeColor="text1"/>
                <w:sz w:val="20"/>
                <w:szCs w:val="20"/>
                <w:u w:val="single"/>
              </w:rPr>
            </w:pPr>
          </w:p>
        </w:tc>
        <w:tc>
          <w:tcPr>
            <w:tcW w:w="1223" w:type="dxa"/>
            <w:shd w:val="clear" w:color="auto" w:fill="C6EFCE"/>
            <w:noWrap/>
          </w:tcPr>
          <w:p w14:paraId="4A971C48" w14:textId="77777777" w:rsidR="00553430" w:rsidRDefault="00212577">
            <w:pPr>
              <w:pStyle w:val="P68B1DB1-Normal70"/>
              <w:spacing w:after="200" w:line="276" w:lineRule="auto"/>
              <w:jc w:val="center"/>
              <w:rPr>
                <w:noProof/>
              </w:rPr>
            </w:pPr>
            <w:r>
              <w:rPr>
                <w:noProof/>
              </w:rPr>
              <w:t>M</w:t>
            </w:r>
          </w:p>
        </w:tc>
        <w:tc>
          <w:tcPr>
            <w:tcW w:w="2037" w:type="dxa"/>
            <w:shd w:val="clear" w:color="auto" w:fill="C6EFCE"/>
            <w:noWrap/>
          </w:tcPr>
          <w:p w14:paraId="2224CF79" w14:textId="77777777" w:rsidR="00553430" w:rsidRDefault="00212577">
            <w:pPr>
              <w:pStyle w:val="P68B1DB1-Normal89"/>
              <w:spacing w:after="200" w:line="276" w:lineRule="auto"/>
              <w:rPr>
                <w:noProof/>
              </w:rPr>
            </w:pPr>
            <w:r>
              <w:rPr>
                <w:noProof/>
              </w:rPr>
              <w:t xml:space="preserve">Programme d'éducation pour les travailleurs de pays tiers </w:t>
            </w:r>
          </w:p>
        </w:tc>
        <w:tc>
          <w:tcPr>
            <w:tcW w:w="2126" w:type="dxa"/>
            <w:shd w:val="clear" w:color="auto" w:fill="C6EFCE"/>
            <w:noWrap/>
          </w:tcPr>
          <w:p w14:paraId="79381C36" w14:textId="77777777" w:rsidR="00553430" w:rsidRDefault="00212577">
            <w:pPr>
              <w:pStyle w:val="P68B1DB1-Normal70"/>
              <w:spacing w:after="200" w:line="276" w:lineRule="auto"/>
              <w:rPr>
                <w:noProof/>
              </w:rPr>
            </w:pPr>
            <w:r>
              <w:rPr>
                <w:noProof/>
              </w:rPr>
              <w:t>Programme d'éducation couvrant des sujets de rénovation conçus</w:t>
            </w:r>
          </w:p>
        </w:tc>
        <w:tc>
          <w:tcPr>
            <w:tcW w:w="851" w:type="dxa"/>
            <w:shd w:val="clear" w:color="auto" w:fill="C6EFCE"/>
            <w:noWrap/>
          </w:tcPr>
          <w:p w14:paraId="789F39DA" w14:textId="77777777" w:rsidR="00553430" w:rsidRDefault="00553430">
            <w:pPr>
              <w:spacing w:after="200" w:line="276" w:lineRule="auto"/>
              <w:jc w:val="center"/>
              <w:rPr>
                <w:rFonts w:ascii="Times New Roman" w:eastAsia="Calibri" w:hAnsi="Times New Roman" w:cs="Times New Roman"/>
                <w:noProof/>
                <w:sz w:val="20"/>
                <w:szCs w:val="20"/>
              </w:rPr>
            </w:pPr>
          </w:p>
        </w:tc>
        <w:tc>
          <w:tcPr>
            <w:tcW w:w="939" w:type="dxa"/>
            <w:shd w:val="clear" w:color="auto" w:fill="C6EFCE"/>
            <w:noWrap/>
          </w:tcPr>
          <w:p w14:paraId="0F7B5250" w14:textId="77777777" w:rsidR="00553430" w:rsidRDefault="00553430">
            <w:pPr>
              <w:spacing w:after="200" w:line="276" w:lineRule="auto"/>
              <w:jc w:val="center"/>
              <w:rPr>
                <w:rFonts w:ascii="Times New Roman" w:eastAsia="Calibri" w:hAnsi="Times New Roman" w:cs="Times New Roman"/>
                <w:noProof/>
                <w:sz w:val="20"/>
                <w:szCs w:val="20"/>
              </w:rPr>
            </w:pPr>
          </w:p>
        </w:tc>
        <w:tc>
          <w:tcPr>
            <w:tcW w:w="988" w:type="dxa"/>
            <w:shd w:val="clear" w:color="auto" w:fill="C6EFCE"/>
            <w:noWrap/>
          </w:tcPr>
          <w:p w14:paraId="0911931E" w14:textId="77777777" w:rsidR="00553430" w:rsidRDefault="00553430">
            <w:pPr>
              <w:spacing w:after="200" w:line="276" w:lineRule="auto"/>
              <w:jc w:val="center"/>
              <w:rPr>
                <w:rFonts w:ascii="Times New Roman" w:eastAsia="Calibri" w:hAnsi="Times New Roman" w:cs="Times New Roman"/>
                <w:noProof/>
                <w:sz w:val="20"/>
                <w:szCs w:val="20"/>
                <w:highlight w:val="yellow"/>
              </w:rPr>
            </w:pPr>
          </w:p>
        </w:tc>
        <w:tc>
          <w:tcPr>
            <w:tcW w:w="997" w:type="dxa"/>
            <w:shd w:val="clear" w:color="auto" w:fill="C6EFCE"/>
            <w:noWrap/>
          </w:tcPr>
          <w:p w14:paraId="0245A764" w14:textId="77777777" w:rsidR="00553430" w:rsidRDefault="00212577">
            <w:pPr>
              <w:pStyle w:val="P68B1DB1-Normal70"/>
              <w:spacing w:after="200" w:line="276" w:lineRule="auto"/>
              <w:jc w:val="center"/>
              <w:rPr>
                <w:noProof/>
              </w:rPr>
            </w:pPr>
            <w:r>
              <w:rPr>
                <w:noProof/>
              </w:rPr>
              <w:t>T1</w:t>
            </w:r>
          </w:p>
        </w:tc>
        <w:tc>
          <w:tcPr>
            <w:tcW w:w="708" w:type="dxa"/>
            <w:shd w:val="clear" w:color="auto" w:fill="C6EFCE"/>
            <w:noWrap/>
          </w:tcPr>
          <w:p w14:paraId="4533515D" w14:textId="77777777" w:rsidR="00553430" w:rsidRDefault="00212577">
            <w:pPr>
              <w:pStyle w:val="P68B1DB1-Normal70"/>
              <w:spacing w:after="200" w:line="276" w:lineRule="auto"/>
              <w:jc w:val="center"/>
              <w:rPr>
                <w:noProof/>
              </w:rPr>
            </w:pPr>
            <w:r>
              <w:rPr>
                <w:noProof/>
              </w:rPr>
              <w:t>2025</w:t>
            </w:r>
          </w:p>
        </w:tc>
        <w:tc>
          <w:tcPr>
            <w:tcW w:w="3739" w:type="dxa"/>
            <w:shd w:val="clear" w:color="auto" w:fill="C6EFCE"/>
            <w:noWrap/>
          </w:tcPr>
          <w:p w14:paraId="143AE766" w14:textId="48D15FA7" w:rsidR="00553430" w:rsidRDefault="00212577">
            <w:pPr>
              <w:pStyle w:val="P68B1DB1-Normal89"/>
              <w:rPr>
                <w:noProof/>
              </w:rPr>
            </w:pPr>
            <w:r>
              <w:rPr>
                <w:noProof/>
              </w:rPr>
              <w:t xml:space="preserve">Un programme d'éducation des adultes couvrant des thèmes de </w:t>
            </w:r>
            <w:r>
              <w:rPr>
                <w:noProof/>
              </w:rPr>
              <w:t>rénovation doit être conçu.</w:t>
            </w:r>
          </w:p>
        </w:tc>
      </w:tr>
      <w:tr w:rsidR="00553430" w14:paraId="099A4C65" w14:textId="77777777" w:rsidTr="00262866">
        <w:trPr>
          <w:jc w:val="center"/>
        </w:trPr>
        <w:tc>
          <w:tcPr>
            <w:tcW w:w="846" w:type="dxa"/>
            <w:shd w:val="clear" w:color="auto" w:fill="C6EFCE"/>
            <w:noWrap/>
          </w:tcPr>
          <w:p w14:paraId="54D14ED1" w14:textId="77777777" w:rsidR="00553430" w:rsidRDefault="00212577">
            <w:pPr>
              <w:pStyle w:val="P68B1DB1-Normal89"/>
              <w:spacing w:after="0" w:line="276" w:lineRule="auto"/>
              <w:jc w:val="center"/>
              <w:rPr>
                <w:noProof/>
                <w:highlight w:val="yellow"/>
              </w:rPr>
            </w:pPr>
            <w:r>
              <w:rPr>
                <w:noProof/>
              </w:rPr>
              <w:t>435</w:t>
            </w:r>
          </w:p>
        </w:tc>
        <w:tc>
          <w:tcPr>
            <w:tcW w:w="1134" w:type="dxa"/>
            <w:shd w:val="clear" w:color="auto" w:fill="C6EFCE"/>
            <w:noWrap/>
          </w:tcPr>
          <w:p w14:paraId="7CC98DC0" w14:textId="77777777" w:rsidR="00553430" w:rsidRDefault="00212577">
            <w:pPr>
              <w:pStyle w:val="P68B1DB1-Normal102"/>
              <w:spacing w:after="200" w:line="276" w:lineRule="auto"/>
              <w:jc w:val="center"/>
              <w:rPr>
                <w:noProof/>
                <w:color w:val="000000" w:themeColor="text1"/>
                <w:highlight w:val="yellow"/>
              </w:rPr>
            </w:pPr>
            <w:r>
              <w:rPr>
                <w:noProof/>
              </w:rPr>
              <w:t>C7.2 I1</w:t>
            </w:r>
          </w:p>
        </w:tc>
        <w:tc>
          <w:tcPr>
            <w:tcW w:w="1223" w:type="dxa"/>
            <w:shd w:val="clear" w:color="auto" w:fill="C6EFCE"/>
            <w:noWrap/>
          </w:tcPr>
          <w:p w14:paraId="5B4FF92E" w14:textId="77777777" w:rsidR="00553430" w:rsidRDefault="00212577">
            <w:pPr>
              <w:pStyle w:val="P68B1DB1-Normal70"/>
              <w:spacing w:after="200" w:line="276" w:lineRule="auto"/>
              <w:jc w:val="center"/>
              <w:rPr>
                <w:noProof/>
              </w:rPr>
            </w:pPr>
            <w:r>
              <w:rPr>
                <w:noProof/>
              </w:rPr>
              <w:t>T</w:t>
            </w:r>
          </w:p>
        </w:tc>
        <w:tc>
          <w:tcPr>
            <w:tcW w:w="2037" w:type="dxa"/>
            <w:shd w:val="clear" w:color="auto" w:fill="C6EFCE"/>
            <w:noWrap/>
          </w:tcPr>
          <w:p w14:paraId="2617526C" w14:textId="77777777" w:rsidR="00553430" w:rsidRDefault="00212577">
            <w:pPr>
              <w:pStyle w:val="P68B1DB1-Normal66"/>
              <w:spacing w:after="200" w:line="276" w:lineRule="auto"/>
              <w:rPr>
                <w:noProof/>
                <w:color w:val="000000" w:themeColor="text1"/>
                <w:highlight w:val="yellow"/>
              </w:rPr>
            </w:pPr>
            <w:r>
              <w:rPr>
                <w:noProof/>
              </w:rPr>
              <w:t>Rénovation énergétique des immeubles collectifs</w:t>
            </w:r>
          </w:p>
        </w:tc>
        <w:tc>
          <w:tcPr>
            <w:tcW w:w="2126" w:type="dxa"/>
            <w:shd w:val="clear" w:color="auto" w:fill="C6EFCE"/>
            <w:noWrap/>
          </w:tcPr>
          <w:p w14:paraId="67C1C49C" w14:textId="77777777" w:rsidR="00553430" w:rsidRDefault="00553430">
            <w:pPr>
              <w:spacing w:after="200" w:line="276" w:lineRule="auto"/>
              <w:rPr>
                <w:rFonts w:ascii="Times New Roman" w:eastAsia="Calibri" w:hAnsi="Times New Roman" w:cs="Times New Roman"/>
                <w:noProof/>
                <w:sz w:val="20"/>
                <w:szCs w:val="20"/>
              </w:rPr>
            </w:pPr>
          </w:p>
        </w:tc>
        <w:tc>
          <w:tcPr>
            <w:tcW w:w="851" w:type="dxa"/>
            <w:shd w:val="clear" w:color="auto" w:fill="C6EFCE"/>
            <w:noWrap/>
          </w:tcPr>
          <w:p w14:paraId="0FA08A8A" w14:textId="77777777" w:rsidR="00553430" w:rsidRDefault="00212577">
            <w:pPr>
              <w:pStyle w:val="P68B1DB1-Normal66"/>
              <w:spacing w:after="200" w:line="276" w:lineRule="auto"/>
              <w:jc w:val="center"/>
              <w:rPr>
                <w:noProof/>
                <w:color w:val="000000" w:themeColor="text1"/>
              </w:rPr>
            </w:pPr>
            <w:r>
              <w:rPr>
                <w:noProof/>
              </w:rPr>
              <w:t>Numéro (m2)</w:t>
            </w:r>
          </w:p>
        </w:tc>
        <w:tc>
          <w:tcPr>
            <w:tcW w:w="939" w:type="dxa"/>
            <w:shd w:val="clear" w:color="auto" w:fill="C6EFCE"/>
            <w:noWrap/>
          </w:tcPr>
          <w:p w14:paraId="1CEF78E5" w14:textId="77777777" w:rsidR="00553430" w:rsidRDefault="00212577">
            <w:pPr>
              <w:pStyle w:val="P68B1DB1-Normal70"/>
              <w:spacing w:after="200" w:line="276" w:lineRule="auto"/>
              <w:jc w:val="center"/>
              <w:rPr>
                <w:noProof/>
              </w:rPr>
            </w:pPr>
            <w:r>
              <w:rPr>
                <w:noProof/>
              </w:rPr>
              <w:t>0</w:t>
            </w:r>
          </w:p>
        </w:tc>
        <w:tc>
          <w:tcPr>
            <w:tcW w:w="988" w:type="dxa"/>
            <w:shd w:val="clear" w:color="auto" w:fill="C6EFCE"/>
            <w:noWrap/>
          </w:tcPr>
          <w:p w14:paraId="29FDBBD7" w14:textId="77777777" w:rsidR="00553430" w:rsidRDefault="00212577">
            <w:pPr>
              <w:pStyle w:val="P68B1DB1-Normal70"/>
              <w:spacing w:after="200" w:line="276" w:lineRule="auto"/>
              <w:jc w:val="center"/>
              <w:rPr>
                <w:noProof/>
              </w:rPr>
            </w:pPr>
            <w:r>
              <w:rPr>
                <w:noProof/>
              </w:rPr>
              <w:t>361 431</w:t>
            </w:r>
          </w:p>
        </w:tc>
        <w:tc>
          <w:tcPr>
            <w:tcW w:w="997" w:type="dxa"/>
            <w:shd w:val="clear" w:color="auto" w:fill="C6EFCE"/>
            <w:noWrap/>
          </w:tcPr>
          <w:p w14:paraId="061BE7FF" w14:textId="77777777" w:rsidR="00553430" w:rsidRDefault="00212577">
            <w:pPr>
              <w:pStyle w:val="P68B1DB1-Normal70"/>
              <w:spacing w:after="200" w:line="276" w:lineRule="auto"/>
              <w:jc w:val="center"/>
              <w:rPr>
                <w:noProof/>
                <w:highlight w:val="yellow"/>
              </w:rPr>
            </w:pPr>
            <w:r>
              <w:rPr>
                <w:noProof/>
              </w:rPr>
              <w:t>T2</w:t>
            </w:r>
          </w:p>
        </w:tc>
        <w:tc>
          <w:tcPr>
            <w:tcW w:w="708" w:type="dxa"/>
            <w:shd w:val="clear" w:color="auto" w:fill="C6EFCE"/>
            <w:noWrap/>
          </w:tcPr>
          <w:p w14:paraId="779FE0A6" w14:textId="77777777" w:rsidR="00553430" w:rsidRDefault="00212577">
            <w:pPr>
              <w:pStyle w:val="P68B1DB1-Normal70"/>
              <w:spacing w:after="200" w:line="276" w:lineRule="auto"/>
              <w:jc w:val="center"/>
              <w:rPr>
                <w:noProof/>
                <w:highlight w:val="yellow"/>
              </w:rPr>
            </w:pPr>
            <w:r>
              <w:rPr>
                <w:noProof/>
              </w:rPr>
              <w:t>2026</w:t>
            </w:r>
          </w:p>
        </w:tc>
        <w:tc>
          <w:tcPr>
            <w:tcW w:w="3739" w:type="dxa"/>
            <w:shd w:val="clear" w:color="auto" w:fill="C6EFCE"/>
            <w:noWrap/>
          </w:tcPr>
          <w:p w14:paraId="4B7A374A" w14:textId="3C45F502" w:rsidR="00553430" w:rsidRDefault="00212577">
            <w:pPr>
              <w:pStyle w:val="P68B1DB1-Normal66"/>
              <w:spacing w:after="200" w:line="276" w:lineRule="auto"/>
              <w:rPr>
                <w:noProof/>
              </w:rPr>
            </w:pPr>
            <w:r>
              <w:rPr>
                <w:noProof/>
              </w:rPr>
              <w:t xml:space="preserve">Rénovation énergétique d’au moins 361 431 m2 de bâtiments à logements multiples, répondant à une exigence minimale de réduction de la </w:t>
            </w:r>
            <w:r>
              <w:rPr>
                <w:noProof/>
              </w:rPr>
              <w:t>consommation d’énergie pour le chauffage d’au moins 50 % par rapport à la consommation annuelle d’énergie pour le chauffage avant la rénovation pour chaque bâtiment (à l’exception du bâtiment ayant le statut de bien culturel), ce qui entraînera une augment</w:t>
            </w:r>
            <w:r>
              <w:rPr>
                <w:noProof/>
              </w:rPr>
              <w:t xml:space="preserve">ation de 30 % des économies d’énergie primaire au niveau de l’objectif par rapport à l’état de prérénovation et sera conforme au principe consistant à «ne pas causer de préjudice important». </w:t>
            </w:r>
          </w:p>
          <w:p w14:paraId="2AA7FCCF" w14:textId="77777777" w:rsidR="00553430" w:rsidRDefault="00212577">
            <w:pPr>
              <w:pStyle w:val="P68B1DB1-Normal66"/>
              <w:spacing w:after="200" w:line="276" w:lineRule="auto"/>
              <w:rPr>
                <w:noProof/>
                <w:color w:val="000000" w:themeColor="text1"/>
                <w:highlight w:val="yellow"/>
              </w:rPr>
            </w:pPr>
            <w:r>
              <w:rPr>
                <w:noProof/>
              </w:rPr>
              <w:t>Le coût d'installation des chaudières à condensation de gaz remp</w:t>
            </w:r>
            <w:r>
              <w:rPr>
                <w:noProof/>
              </w:rPr>
              <w:t>laçant les chaudières à gaz, à charbon et à mazout existantes représente au maximum 20 % du coût de rénovation.</w:t>
            </w:r>
          </w:p>
        </w:tc>
      </w:tr>
      <w:tr w:rsidR="00553430" w14:paraId="0D52C017" w14:textId="77777777" w:rsidTr="00262866">
        <w:trPr>
          <w:jc w:val="center"/>
        </w:trPr>
        <w:tc>
          <w:tcPr>
            <w:tcW w:w="846" w:type="dxa"/>
            <w:shd w:val="clear" w:color="auto" w:fill="C6EFCE"/>
            <w:noWrap/>
          </w:tcPr>
          <w:p w14:paraId="7F718532" w14:textId="77777777" w:rsidR="00553430" w:rsidRDefault="00212577">
            <w:pPr>
              <w:pStyle w:val="P68B1DB1-Normal89"/>
              <w:spacing w:after="0" w:line="276" w:lineRule="auto"/>
              <w:jc w:val="center"/>
              <w:rPr>
                <w:noProof/>
                <w:highlight w:val="yellow"/>
              </w:rPr>
            </w:pPr>
            <w:r>
              <w:rPr>
                <w:noProof/>
              </w:rPr>
              <w:t>436</w:t>
            </w:r>
          </w:p>
        </w:tc>
        <w:tc>
          <w:tcPr>
            <w:tcW w:w="1134" w:type="dxa"/>
            <w:shd w:val="clear" w:color="auto" w:fill="C6EFCE"/>
            <w:noWrap/>
          </w:tcPr>
          <w:p w14:paraId="410FCC72" w14:textId="77777777" w:rsidR="00553430" w:rsidRDefault="00212577">
            <w:pPr>
              <w:pStyle w:val="P68B1DB1-Normal102"/>
              <w:spacing w:after="200" w:line="276" w:lineRule="auto"/>
              <w:jc w:val="center"/>
              <w:rPr>
                <w:noProof/>
                <w:color w:val="000000" w:themeColor="text1"/>
              </w:rPr>
            </w:pPr>
            <w:r>
              <w:rPr>
                <w:noProof/>
              </w:rPr>
              <w:t>C7.2 I1</w:t>
            </w:r>
          </w:p>
        </w:tc>
        <w:tc>
          <w:tcPr>
            <w:tcW w:w="1223" w:type="dxa"/>
            <w:shd w:val="clear" w:color="auto" w:fill="C6EFCE"/>
            <w:noWrap/>
          </w:tcPr>
          <w:p w14:paraId="1622FFDE" w14:textId="77777777" w:rsidR="00553430" w:rsidRDefault="00212577">
            <w:pPr>
              <w:pStyle w:val="P68B1DB1-Normal70"/>
              <w:spacing w:after="200" w:line="276" w:lineRule="auto"/>
              <w:jc w:val="center"/>
              <w:rPr>
                <w:noProof/>
              </w:rPr>
            </w:pPr>
            <w:r>
              <w:rPr>
                <w:noProof/>
              </w:rPr>
              <w:t>T</w:t>
            </w:r>
          </w:p>
        </w:tc>
        <w:tc>
          <w:tcPr>
            <w:tcW w:w="2037" w:type="dxa"/>
            <w:shd w:val="clear" w:color="auto" w:fill="C6EFCE"/>
            <w:noWrap/>
          </w:tcPr>
          <w:p w14:paraId="57BEA1F1" w14:textId="77777777" w:rsidR="00553430" w:rsidRDefault="00212577">
            <w:pPr>
              <w:pStyle w:val="P68B1DB1-Normal66"/>
              <w:spacing w:after="200" w:line="276" w:lineRule="auto"/>
              <w:rPr>
                <w:noProof/>
                <w:color w:val="000000" w:themeColor="text1"/>
                <w:highlight w:val="yellow"/>
              </w:rPr>
            </w:pPr>
            <w:r>
              <w:rPr>
                <w:noProof/>
              </w:rPr>
              <w:t>Rénovation énergétique des bâtiments publics</w:t>
            </w:r>
          </w:p>
        </w:tc>
        <w:tc>
          <w:tcPr>
            <w:tcW w:w="2126" w:type="dxa"/>
            <w:shd w:val="clear" w:color="auto" w:fill="C6EFCE"/>
            <w:noWrap/>
          </w:tcPr>
          <w:p w14:paraId="47578087" w14:textId="77777777" w:rsidR="00553430" w:rsidRDefault="00553430">
            <w:pPr>
              <w:spacing w:after="200" w:line="276" w:lineRule="auto"/>
              <w:rPr>
                <w:rFonts w:ascii="Times New Roman" w:eastAsia="Calibri" w:hAnsi="Times New Roman" w:cs="Times New Roman"/>
                <w:noProof/>
                <w:sz w:val="20"/>
                <w:szCs w:val="20"/>
              </w:rPr>
            </w:pPr>
          </w:p>
        </w:tc>
        <w:tc>
          <w:tcPr>
            <w:tcW w:w="851" w:type="dxa"/>
            <w:shd w:val="clear" w:color="auto" w:fill="C6EFCE"/>
            <w:noWrap/>
          </w:tcPr>
          <w:p w14:paraId="02EA9D0E" w14:textId="77777777" w:rsidR="00553430" w:rsidRDefault="00212577">
            <w:pPr>
              <w:pStyle w:val="P68B1DB1-Normal66"/>
              <w:spacing w:after="200" w:line="276" w:lineRule="auto"/>
              <w:jc w:val="center"/>
              <w:rPr>
                <w:noProof/>
                <w:color w:val="000000" w:themeColor="text1"/>
              </w:rPr>
            </w:pPr>
            <w:r>
              <w:rPr>
                <w:noProof/>
              </w:rPr>
              <w:t>Numéro (m2)</w:t>
            </w:r>
          </w:p>
        </w:tc>
        <w:tc>
          <w:tcPr>
            <w:tcW w:w="939" w:type="dxa"/>
            <w:shd w:val="clear" w:color="auto" w:fill="C6EFCE"/>
            <w:noWrap/>
          </w:tcPr>
          <w:p w14:paraId="7D97C5AC" w14:textId="77777777" w:rsidR="00553430" w:rsidRDefault="00212577">
            <w:pPr>
              <w:pStyle w:val="P68B1DB1-Normal70"/>
              <w:spacing w:after="200" w:line="276" w:lineRule="auto"/>
              <w:jc w:val="center"/>
              <w:rPr>
                <w:noProof/>
              </w:rPr>
            </w:pPr>
            <w:r>
              <w:rPr>
                <w:noProof/>
              </w:rPr>
              <w:t>0</w:t>
            </w:r>
          </w:p>
        </w:tc>
        <w:tc>
          <w:tcPr>
            <w:tcW w:w="988" w:type="dxa"/>
            <w:shd w:val="clear" w:color="auto" w:fill="C6EFCE"/>
            <w:noWrap/>
          </w:tcPr>
          <w:p w14:paraId="42876267" w14:textId="77777777" w:rsidR="00553430" w:rsidRDefault="00212577">
            <w:pPr>
              <w:pStyle w:val="P68B1DB1-Normal70"/>
              <w:spacing w:after="200" w:line="276" w:lineRule="auto"/>
              <w:jc w:val="center"/>
              <w:rPr>
                <w:noProof/>
              </w:rPr>
            </w:pPr>
            <w:r>
              <w:rPr>
                <w:noProof/>
              </w:rPr>
              <w:t>365 517</w:t>
            </w:r>
          </w:p>
        </w:tc>
        <w:tc>
          <w:tcPr>
            <w:tcW w:w="997" w:type="dxa"/>
            <w:shd w:val="clear" w:color="auto" w:fill="C6EFCE"/>
            <w:noWrap/>
          </w:tcPr>
          <w:p w14:paraId="5ED6F131" w14:textId="77777777" w:rsidR="00553430" w:rsidRDefault="00212577">
            <w:pPr>
              <w:pStyle w:val="P68B1DB1-Normal70"/>
              <w:spacing w:after="200" w:line="276" w:lineRule="auto"/>
              <w:jc w:val="center"/>
              <w:rPr>
                <w:noProof/>
              </w:rPr>
            </w:pPr>
            <w:r>
              <w:rPr>
                <w:noProof/>
              </w:rPr>
              <w:t>T2</w:t>
            </w:r>
          </w:p>
        </w:tc>
        <w:tc>
          <w:tcPr>
            <w:tcW w:w="708" w:type="dxa"/>
            <w:shd w:val="clear" w:color="auto" w:fill="C6EFCE"/>
            <w:noWrap/>
          </w:tcPr>
          <w:p w14:paraId="76EFD497" w14:textId="77777777" w:rsidR="00553430" w:rsidRDefault="00212577">
            <w:pPr>
              <w:pStyle w:val="P68B1DB1-Normal70"/>
              <w:spacing w:after="200" w:line="276" w:lineRule="auto"/>
              <w:jc w:val="center"/>
              <w:rPr>
                <w:noProof/>
              </w:rPr>
            </w:pPr>
            <w:r>
              <w:rPr>
                <w:noProof/>
              </w:rPr>
              <w:t>2026</w:t>
            </w:r>
          </w:p>
        </w:tc>
        <w:tc>
          <w:tcPr>
            <w:tcW w:w="3739" w:type="dxa"/>
            <w:shd w:val="clear" w:color="auto" w:fill="C6EFCE"/>
            <w:noWrap/>
          </w:tcPr>
          <w:p w14:paraId="69BBA55B" w14:textId="430D5A64" w:rsidR="00553430" w:rsidRDefault="00212577">
            <w:pPr>
              <w:pStyle w:val="P68B1DB1-Normal66"/>
              <w:spacing w:after="200" w:line="276" w:lineRule="auto"/>
              <w:rPr>
                <w:noProof/>
                <w:color w:val="000000" w:themeColor="text1"/>
              </w:rPr>
            </w:pPr>
            <w:r>
              <w:rPr>
                <w:noProof/>
              </w:rPr>
              <w:t>Rénovation énergétique d’au moins 365 517 m2 de bâtiments publics, répondant à une exigence minimale de réduction de la consommation d’énergie pour le chauffage d’au moins 50 % par rapport à la consommation annuelle d’énergie pour le chauffage avant la rén</w:t>
            </w:r>
            <w:r>
              <w:rPr>
                <w:noProof/>
              </w:rPr>
              <w:t>ovation pour chaque bâtiment (à l’exception des bâtiments ayant un statut de bien culturel), ce qui permettra une augmentation de 30 % des économies d’énergie primaire au niveau de l’objectif par rapport à l’état de prérénovation, et sera conforme au princ</w:t>
            </w:r>
            <w:r>
              <w:rPr>
                <w:noProof/>
              </w:rPr>
              <w:t>ipe consistant à «ne pas causer de préjudice important».</w:t>
            </w:r>
          </w:p>
          <w:p w14:paraId="5EC381AD" w14:textId="77777777" w:rsidR="00553430" w:rsidRDefault="00212577">
            <w:pPr>
              <w:pStyle w:val="P68B1DB1-Normal66"/>
              <w:spacing w:after="200" w:line="276" w:lineRule="auto"/>
              <w:rPr>
                <w:noProof/>
                <w:color w:val="000000" w:themeColor="text1"/>
                <w:highlight w:val="yellow"/>
              </w:rPr>
            </w:pPr>
            <w:r>
              <w:rPr>
                <w:noProof/>
              </w:rPr>
              <w:t>Le coût d'installation des chaudières à condensation de gaz remplaçant les chaudières à gaz, à charbon et à mazout existantes représente au maximum 20 % du coût de rénovation.</w:t>
            </w:r>
          </w:p>
        </w:tc>
      </w:tr>
      <w:tr w:rsidR="00553430" w14:paraId="17F0AFDC" w14:textId="77777777" w:rsidTr="00262866">
        <w:trPr>
          <w:jc w:val="center"/>
        </w:trPr>
        <w:tc>
          <w:tcPr>
            <w:tcW w:w="846" w:type="dxa"/>
            <w:shd w:val="clear" w:color="auto" w:fill="C6EFCE"/>
            <w:noWrap/>
          </w:tcPr>
          <w:p w14:paraId="3A9FD798" w14:textId="77777777" w:rsidR="00553430" w:rsidRDefault="00212577">
            <w:pPr>
              <w:pStyle w:val="P68B1DB1-Normal89"/>
              <w:spacing w:after="0" w:line="276" w:lineRule="auto"/>
              <w:jc w:val="center"/>
              <w:rPr>
                <w:noProof/>
              </w:rPr>
            </w:pPr>
            <w:r>
              <w:rPr>
                <w:noProof/>
              </w:rPr>
              <w:t>437</w:t>
            </w:r>
          </w:p>
        </w:tc>
        <w:tc>
          <w:tcPr>
            <w:tcW w:w="1134" w:type="dxa"/>
            <w:shd w:val="clear" w:color="auto" w:fill="C6EFCE"/>
            <w:noWrap/>
          </w:tcPr>
          <w:p w14:paraId="211EC6A0" w14:textId="77777777" w:rsidR="00553430" w:rsidRDefault="00212577">
            <w:pPr>
              <w:pStyle w:val="P68B1DB1-Normal102"/>
              <w:spacing w:after="200" w:line="276" w:lineRule="auto"/>
              <w:jc w:val="center"/>
              <w:rPr>
                <w:noProof/>
                <w:color w:val="000000" w:themeColor="text1"/>
              </w:rPr>
            </w:pPr>
            <w:r>
              <w:rPr>
                <w:noProof/>
              </w:rPr>
              <w:t>C7.2 I1</w:t>
            </w:r>
          </w:p>
        </w:tc>
        <w:tc>
          <w:tcPr>
            <w:tcW w:w="1223" w:type="dxa"/>
            <w:shd w:val="clear" w:color="auto" w:fill="C6EFCE"/>
            <w:noWrap/>
          </w:tcPr>
          <w:p w14:paraId="34B6AAE3" w14:textId="77777777" w:rsidR="00553430" w:rsidRDefault="00212577">
            <w:pPr>
              <w:pStyle w:val="P68B1DB1-Normal70"/>
              <w:spacing w:after="200" w:line="276" w:lineRule="auto"/>
              <w:jc w:val="center"/>
              <w:rPr>
                <w:noProof/>
              </w:rPr>
            </w:pPr>
            <w:r>
              <w:rPr>
                <w:noProof/>
              </w:rPr>
              <w:t>T</w:t>
            </w:r>
          </w:p>
        </w:tc>
        <w:tc>
          <w:tcPr>
            <w:tcW w:w="2037" w:type="dxa"/>
            <w:shd w:val="clear" w:color="auto" w:fill="C6EFCE"/>
            <w:noWrap/>
          </w:tcPr>
          <w:p w14:paraId="5EC69A3C" w14:textId="77777777" w:rsidR="00553430" w:rsidRDefault="00212577">
            <w:pPr>
              <w:pStyle w:val="P68B1DB1-Normal66"/>
              <w:spacing w:after="200" w:line="276" w:lineRule="auto"/>
              <w:rPr>
                <w:noProof/>
                <w:color w:val="000000" w:themeColor="text1"/>
                <w:highlight w:val="yellow"/>
              </w:rPr>
            </w:pPr>
            <w:r>
              <w:rPr>
                <w:noProof/>
              </w:rPr>
              <w:t>Installation de systèmes d'énergie renouvelable dans les bâtiments publics</w:t>
            </w:r>
          </w:p>
        </w:tc>
        <w:tc>
          <w:tcPr>
            <w:tcW w:w="2126" w:type="dxa"/>
            <w:shd w:val="clear" w:color="auto" w:fill="C6EFCE"/>
            <w:noWrap/>
          </w:tcPr>
          <w:p w14:paraId="0417CC7D" w14:textId="77777777" w:rsidR="00553430" w:rsidRDefault="00553430">
            <w:pPr>
              <w:spacing w:after="200" w:line="276" w:lineRule="auto"/>
              <w:rPr>
                <w:rFonts w:ascii="Times New Roman" w:eastAsia="Calibri" w:hAnsi="Times New Roman" w:cs="Times New Roman"/>
                <w:noProof/>
                <w:sz w:val="20"/>
                <w:szCs w:val="20"/>
              </w:rPr>
            </w:pPr>
          </w:p>
        </w:tc>
        <w:tc>
          <w:tcPr>
            <w:tcW w:w="851" w:type="dxa"/>
            <w:shd w:val="clear" w:color="auto" w:fill="C6EFCE"/>
            <w:noWrap/>
          </w:tcPr>
          <w:p w14:paraId="200C7EF9" w14:textId="77777777" w:rsidR="00553430" w:rsidRDefault="00212577">
            <w:pPr>
              <w:pStyle w:val="P68B1DB1-Normal66"/>
              <w:spacing w:after="200" w:line="276" w:lineRule="auto"/>
              <w:jc w:val="center"/>
              <w:rPr>
                <w:noProof/>
                <w:color w:val="000000" w:themeColor="text1"/>
              </w:rPr>
            </w:pPr>
            <w:r>
              <w:rPr>
                <w:noProof/>
              </w:rPr>
              <w:t>Numéro</w:t>
            </w:r>
          </w:p>
        </w:tc>
        <w:tc>
          <w:tcPr>
            <w:tcW w:w="939" w:type="dxa"/>
            <w:shd w:val="clear" w:color="auto" w:fill="C6EFCE"/>
            <w:noWrap/>
          </w:tcPr>
          <w:p w14:paraId="1A6FECB4" w14:textId="77777777" w:rsidR="00553430" w:rsidRDefault="00212577">
            <w:pPr>
              <w:pStyle w:val="P68B1DB1-Normal70"/>
              <w:spacing w:after="200" w:line="276" w:lineRule="auto"/>
              <w:jc w:val="center"/>
              <w:rPr>
                <w:noProof/>
              </w:rPr>
            </w:pPr>
            <w:r>
              <w:rPr>
                <w:noProof/>
              </w:rPr>
              <w:t>0</w:t>
            </w:r>
          </w:p>
        </w:tc>
        <w:tc>
          <w:tcPr>
            <w:tcW w:w="988" w:type="dxa"/>
            <w:shd w:val="clear" w:color="auto" w:fill="C6EFCE"/>
            <w:noWrap/>
          </w:tcPr>
          <w:p w14:paraId="52D86B7D" w14:textId="77777777" w:rsidR="00553430" w:rsidRDefault="00212577">
            <w:pPr>
              <w:pStyle w:val="P68B1DB1-Normal70"/>
              <w:spacing w:after="200" w:line="276" w:lineRule="auto"/>
              <w:jc w:val="center"/>
              <w:rPr>
                <w:noProof/>
              </w:rPr>
            </w:pPr>
            <w:r>
              <w:rPr>
                <w:noProof/>
              </w:rPr>
              <w:t>60</w:t>
            </w:r>
          </w:p>
        </w:tc>
        <w:tc>
          <w:tcPr>
            <w:tcW w:w="997" w:type="dxa"/>
            <w:shd w:val="clear" w:color="auto" w:fill="C6EFCE"/>
            <w:noWrap/>
          </w:tcPr>
          <w:p w14:paraId="53A079CB" w14:textId="77777777" w:rsidR="00553430" w:rsidRDefault="00212577">
            <w:pPr>
              <w:pStyle w:val="P68B1DB1-Normal70"/>
              <w:spacing w:after="200" w:line="276" w:lineRule="auto"/>
              <w:jc w:val="center"/>
              <w:rPr>
                <w:noProof/>
              </w:rPr>
            </w:pPr>
            <w:r>
              <w:rPr>
                <w:noProof/>
              </w:rPr>
              <w:t>T2</w:t>
            </w:r>
          </w:p>
        </w:tc>
        <w:tc>
          <w:tcPr>
            <w:tcW w:w="708" w:type="dxa"/>
            <w:shd w:val="clear" w:color="auto" w:fill="C6EFCE"/>
            <w:noWrap/>
          </w:tcPr>
          <w:p w14:paraId="4E6D435A" w14:textId="77777777" w:rsidR="00553430" w:rsidRDefault="00212577">
            <w:pPr>
              <w:pStyle w:val="P68B1DB1-Normal70"/>
              <w:spacing w:after="200" w:line="276" w:lineRule="auto"/>
              <w:jc w:val="center"/>
              <w:rPr>
                <w:noProof/>
              </w:rPr>
            </w:pPr>
            <w:r>
              <w:rPr>
                <w:noProof/>
              </w:rPr>
              <w:t>2026</w:t>
            </w:r>
          </w:p>
        </w:tc>
        <w:tc>
          <w:tcPr>
            <w:tcW w:w="3739" w:type="dxa"/>
            <w:shd w:val="clear" w:color="auto" w:fill="C6EFCE"/>
            <w:noWrap/>
          </w:tcPr>
          <w:p w14:paraId="50BDAF08" w14:textId="77777777" w:rsidR="00553430" w:rsidRDefault="00212577">
            <w:pPr>
              <w:pStyle w:val="P68B1DB1-Normal66"/>
              <w:spacing w:after="200" w:line="276" w:lineRule="auto"/>
              <w:rPr>
                <w:noProof/>
                <w:color w:val="000000" w:themeColor="text1"/>
                <w:highlight w:val="yellow"/>
              </w:rPr>
            </w:pPr>
            <w:r>
              <w:rPr>
                <w:noProof/>
              </w:rPr>
              <w:t xml:space="preserve">Au moins 60 systèmes d’énergie renouvelable sont installés dans des bâtiments publics rénovés dans le cadre de cet investissement. </w:t>
            </w:r>
          </w:p>
        </w:tc>
      </w:tr>
      <w:tr w:rsidR="00553430" w14:paraId="26057E14" w14:textId="77777777" w:rsidTr="00262866">
        <w:trPr>
          <w:jc w:val="center"/>
        </w:trPr>
        <w:tc>
          <w:tcPr>
            <w:tcW w:w="846" w:type="dxa"/>
            <w:shd w:val="clear" w:color="auto" w:fill="C6EFCE"/>
            <w:noWrap/>
          </w:tcPr>
          <w:p w14:paraId="07973842" w14:textId="77777777" w:rsidR="00553430" w:rsidRDefault="00212577">
            <w:pPr>
              <w:pStyle w:val="P68B1DB1-Normal89"/>
              <w:spacing w:after="0" w:line="276" w:lineRule="auto"/>
              <w:jc w:val="center"/>
              <w:rPr>
                <w:noProof/>
                <w:highlight w:val="yellow"/>
              </w:rPr>
            </w:pPr>
            <w:r>
              <w:rPr>
                <w:noProof/>
              </w:rPr>
              <w:t>438</w:t>
            </w:r>
          </w:p>
        </w:tc>
        <w:tc>
          <w:tcPr>
            <w:tcW w:w="1134" w:type="dxa"/>
            <w:shd w:val="clear" w:color="auto" w:fill="C6EFCE"/>
            <w:noWrap/>
          </w:tcPr>
          <w:p w14:paraId="4F55EB55" w14:textId="77777777" w:rsidR="00553430" w:rsidRDefault="00212577">
            <w:pPr>
              <w:pStyle w:val="P68B1DB1-Normal102"/>
              <w:spacing w:after="200" w:line="276" w:lineRule="auto"/>
              <w:jc w:val="center"/>
              <w:rPr>
                <w:noProof/>
                <w:color w:val="000000" w:themeColor="text1"/>
                <w:highlight w:val="yellow"/>
              </w:rPr>
            </w:pPr>
            <w:r>
              <w:rPr>
                <w:noProof/>
              </w:rPr>
              <w:t>C7.2 I2</w:t>
            </w:r>
          </w:p>
        </w:tc>
        <w:tc>
          <w:tcPr>
            <w:tcW w:w="1223" w:type="dxa"/>
            <w:shd w:val="clear" w:color="auto" w:fill="C6EFCE"/>
            <w:noWrap/>
          </w:tcPr>
          <w:p w14:paraId="2E31EDED" w14:textId="77777777" w:rsidR="00553430" w:rsidRDefault="00212577">
            <w:pPr>
              <w:pStyle w:val="P68B1DB1-Normal70"/>
              <w:spacing w:after="200" w:line="276" w:lineRule="auto"/>
              <w:jc w:val="center"/>
              <w:rPr>
                <w:noProof/>
              </w:rPr>
            </w:pPr>
            <w:r>
              <w:rPr>
                <w:noProof/>
              </w:rPr>
              <w:t>T</w:t>
            </w:r>
          </w:p>
        </w:tc>
        <w:tc>
          <w:tcPr>
            <w:tcW w:w="2037" w:type="dxa"/>
            <w:shd w:val="clear" w:color="auto" w:fill="C6EFCE"/>
            <w:noWrap/>
          </w:tcPr>
          <w:p w14:paraId="4C8172F7" w14:textId="77777777" w:rsidR="00553430" w:rsidRDefault="00212577">
            <w:pPr>
              <w:pStyle w:val="P68B1DB1-Normal66"/>
              <w:spacing w:after="200" w:line="276" w:lineRule="auto"/>
              <w:rPr>
                <w:noProof/>
                <w:color w:val="000000" w:themeColor="text1"/>
              </w:rPr>
            </w:pPr>
            <w:r>
              <w:rPr>
                <w:noProof/>
              </w:rPr>
              <w:t>Signature de contrats pour la rénovation énergétique de bâtiments à logements multiples endommagés par les tremblements de terre</w:t>
            </w:r>
          </w:p>
        </w:tc>
        <w:tc>
          <w:tcPr>
            <w:tcW w:w="2126" w:type="dxa"/>
            <w:shd w:val="clear" w:color="auto" w:fill="C6EFCE"/>
            <w:noWrap/>
          </w:tcPr>
          <w:p w14:paraId="1D244DB7" w14:textId="77777777" w:rsidR="00553430" w:rsidRDefault="00553430">
            <w:pPr>
              <w:spacing w:after="200" w:line="276" w:lineRule="auto"/>
              <w:rPr>
                <w:rFonts w:ascii="Times New Roman" w:eastAsia="Calibri" w:hAnsi="Times New Roman" w:cs="Times New Roman"/>
                <w:noProof/>
                <w:sz w:val="20"/>
                <w:szCs w:val="20"/>
              </w:rPr>
            </w:pPr>
          </w:p>
        </w:tc>
        <w:tc>
          <w:tcPr>
            <w:tcW w:w="851" w:type="dxa"/>
            <w:shd w:val="clear" w:color="auto" w:fill="C6EFCE"/>
            <w:noWrap/>
          </w:tcPr>
          <w:p w14:paraId="14C6331C" w14:textId="77777777" w:rsidR="00553430" w:rsidRDefault="00212577">
            <w:pPr>
              <w:pStyle w:val="P68B1DB1-Normal66"/>
              <w:spacing w:after="200" w:line="276" w:lineRule="auto"/>
              <w:jc w:val="center"/>
              <w:rPr>
                <w:noProof/>
                <w:color w:val="000000" w:themeColor="text1"/>
              </w:rPr>
            </w:pPr>
            <w:r>
              <w:rPr>
                <w:noProof/>
              </w:rPr>
              <w:t>EUR</w:t>
            </w:r>
          </w:p>
        </w:tc>
        <w:tc>
          <w:tcPr>
            <w:tcW w:w="939" w:type="dxa"/>
            <w:shd w:val="clear" w:color="auto" w:fill="C6EFCE"/>
            <w:noWrap/>
          </w:tcPr>
          <w:p w14:paraId="12A3738B" w14:textId="77777777" w:rsidR="00553430" w:rsidRDefault="00212577">
            <w:pPr>
              <w:pStyle w:val="P68B1DB1-Normal70"/>
              <w:spacing w:after="200" w:line="276" w:lineRule="auto"/>
              <w:jc w:val="center"/>
              <w:rPr>
                <w:noProof/>
              </w:rPr>
            </w:pPr>
            <w:r>
              <w:rPr>
                <w:noProof/>
              </w:rPr>
              <w:t>0</w:t>
            </w:r>
          </w:p>
        </w:tc>
        <w:tc>
          <w:tcPr>
            <w:tcW w:w="988" w:type="dxa"/>
            <w:shd w:val="clear" w:color="auto" w:fill="C6EFCE"/>
            <w:noWrap/>
          </w:tcPr>
          <w:p w14:paraId="23946215" w14:textId="77777777" w:rsidR="00553430" w:rsidRDefault="00212577">
            <w:pPr>
              <w:pStyle w:val="P68B1DB1-Normal70"/>
              <w:spacing w:after="200" w:line="276" w:lineRule="auto"/>
              <w:jc w:val="center"/>
              <w:rPr>
                <w:noProof/>
              </w:rPr>
            </w:pPr>
            <w:r>
              <w:rPr>
                <w:noProof/>
              </w:rPr>
              <w:t>13 000 000</w:t>
            </w:r>
          </w:p>
        </w:tc>
        <w:tc>
          <w:tcPr>
            <w:tcW w:w="997" w:type="dxa"/>
            <w:shd w:val="clear" w:color="auto" w:fill="C6EFCE"/>
            <w:noWrap/>
          </w:tcPr>
          <w:p w14:paraId="0E837727" w14:textId="77777777" w:rsidR="00553430" w:rsidRDefault="00212577">
            <w:pPr>
              <w:pStyle w:val="P68B1DB1-Normal70"/>
              <w:spacing w:after="200" w:line="276" w:lineRule="auto"/>
              <w:jc w:val="center"/>
              <w:rPr>
                <w:noProof/>
              </w:rPr>
            </w:pPr>
            <w:r>
              <w:rPr>
                <w:noProof/>
              </w:rPr>
              <w:t>T2</w:t>
            </w:r>
          </w:p>
        </w:tc>
        <w:tc>
          <w:tcPr>
            <w:tcW w:w="708" w:type="dxa"/>
            <w:shd w:val="clear" w:color="auto" w:fill="C6EFCE"/>
            <w:noWrap/>
          </w:tcPr>
          <w:p w14:paraId="647EDD7F" w14:textId="77777777" w:rsidR="00553430" w:rsidRDefault="00212577">
            <w:pPr>
              <w:pStyle w:val="P68B1DB1-Normal70"/>
              <w:spacing w:after="200" w:line="276" w:lineRule="auto"/>
              <w:jc w:val="center"/>
              <w:rPr>
                <w:noProof/>
              </w:rPr>
            </w:pPr>
            <w:r>
              <w:rPr>
                <w:noProof/>
              </w:rPr>
              <w:t>2024</w:t>
            </w:r>
          </w:p>
        </w:tc>
        <w:tc>
          <w:tcPr>
            <w:tcW w:w="3739" w:type="dxa"/>
            <w:shd w:val="clear" w:color="auto" w:fill="C6EFCE"/>
            <w:noWrap/>
          </w:tcPr>
          <w:p w14:paraId="7204322B" w14:textId="26A3941E" w:rsidR="00553430" w:rsidRDefault="00212577">
            <w:pPr>
              <w:pStyle w:val="P68B1DB1-Normal66"/>
              <w:spacing w:after="200" w:line="276" w:lineRule="auto"/>
              <w:rPr>
                <w:noProof/>
                <w:color w:val="000000" w:themeColor="text1"/>
              </w:rPr>
            </w:pPr>
            <w:r>
              <w:rPr>
                <w:noProof/>
              </w:rPr>
              <w:t>Contrats signés octroyant au moins 13 millions d’EUR pour la rénovation énergétique de bâtiments à lo</w:t>
            </w:r>
            <w:r>
              <w:rPr>
                <w:noProof/>
              </w:rPr>
              <w:t>gements multiples endommagés par les tremblements de terre. Tous les contrats exigent i) une réduction minimale de la consommation d’énergie pour le chauffage d’au moins 50 % par rapport à la consommation annuelle d’énergie pour le chauffage avant la rénov</w:t>
            </w:r>
            <w:r>
              <w:rPr>
                <w:noProof/>
              </w:rPr>
              <w:t>ation pour chaque bâtiment (à l’exception des bâtiments bénéficiant d’un statut de bien culturel), ce qui contribue à augmenter d’au moins 30 % les économies d’énergie primaire par rapport à l’état antérieur à la rénovation et ii) le respect du principe co</w:t>
            </w:r>
            <w:r>
              <w:rPr>
                <w:noProof/>
              </w:rPr>
              <w:t>nsistant à «ne pas causer de préjudice important» énoncé à l’article 17 du règlement (UE) 2020/852 établissant un cadre visant à faciliter les investissements durables.</w:t>
            </w:r>
          </w:p>
        </w:tc>
      </w:tr>
      <w:tr w:rsidR="00553430" w14:paraId="037C826A" w14:textId="77777777" w:rsidTr="00262866">
        <w:trPr>
          <w:trHeight w:val="1675"/>
          <w:jc w:val="center"/>
        </w:trPr>
        <w:tc>
          <w:tcPr>
            <w:tcW w:w="846" w:type="dxa"/>
            <w:shd w:val="clear" w:color="auto" w:fill="C6EFCE"/>
            <w:noWrap/>
          </w:tcPr>
          <w:p w14:paraId="3BC292D1" w14:textId="77777777" w:rsidR="00553430" w:rsidRDefault="00212577">
            <w:pPr>
              <w:pStyle w:val="P68B1DB1-Normal89"/>
              <w:spacing w:after="0" w:line="276" w:lineRule="auto"/>
              <w:jc w:val="center"/>
              <w:rPr>
                <w:rFonts w:eastAsia="Calibri"/>
                <w:noProof/>
              </w:rPr>
            </w:pPr>
            <w:r>
              <w:rPr>
                <w:noProof/>
              </w:rPr>
              <w:t>356</w:t>
            </w:r>
          </w:p>
        </w:tc>
        <w:tc>
          <w:tcPr>
            <w:tcW w:w="1134" w:type="dxa"/>
            <w:shd w:val="clear" w:color="auto" w:fill="C6EFCE"/>
            <w:noWrap/>
          </w:tcPr>
          <w:p w14:paraId="328735B1" w14:textId="77777777" w:rsidR="00553430" w:rsidRDefault="00212577">
            <w:pPr>
              <w:pStyle w:val="P68B1DB1-Normal102"/>
              <w:spacing w:after="200" w:line="276" w:lineRule="auto"/>
              <w:jc w:val="center"/>
              <w:rPr>
                <w:noProof/>
                <w:color w:val="000000" w:themeColor="text1"/>
              </w:rPr>
            </w:pPr>
            <w:r>
              <w:rPr>
                <w:noProof/>
              </w:rPr>
              <w:t>C7.2 I2</w:t>
            </w:r>
          </w:p>
        </w:tc>
        <w:tc>
          <w:tcPr>
            <w:tcW w:w="1223" w:type="dxa"/>
            <w:shd w:val="clear" w:color="auto" w:fill="C6EFCE"/>
            <w:noWrap/>
          </w:tcPr>
          <w:p w14:paraId="08239202" w14:textId="77777777" w:rsidR="00553430" w:rsidRDefault="00212577">
            <w:pPr>
              <w:pStyle w:val="P68B1DB1-Normal70"/>
              <w:spacing w:after="200" w:line="276" w:lineRule="auto"/>
              <w:jc w:val="center"/>
              <w:rPr>
                <w:noProof/>
              </w:rPr>
            </w:pPr>
            <w:r>
              <w:rPr>
                <w:noProof/>
              </w:rPr>
              <w:t>T</w:t>
            </w:r>
          </w:p>
        </w:tc>
        <w:tc>
          <w:tcPr>
            <w:tcW w:w="2037" w:type="dxa"/>
            <w:shd w:val="clear" w:color="auto" w:fill="C6EFCE"/>
            <w:noWrap/>
          </w:tcPr>
          <w:p w14:paraId="57A50DDF" w14:textId="77777777" w:rsidR="00553430" w:rsidRDefault="00212577">
            <w:pPr>
              <w:pStyle w:val="P68B1DB1-Normal66"/>
              <w:spacing w:after="200" w:line="276" w:lineRule="auto"/>
              <w:rPr>
                <w:noProof/>
              </w:rPr>
            </w:pPr>
            <w:r>
              <w:rPr>
                <w:noProof/>
              </w:rPr>
              <w:t xml:space="preserve">Rénovation énergétique et post-séisme des immeubles à logements </w:t>
            </w:r>
            <w:r>
              <w:rPr>
                <w:noProof/>
              </w:rPr>
              <w:t>multiples endommagés par les tremblements de terre</w:t>
            </w:r>
          </w:p>
        </w:tc>
        <w:tc>
          <w:tcPr>
            <w:tcW w:w="2126" w:type="dxa"/>
            <w:shd w:val="clear" w:color="auto" w:fill="C6EFCE"/>
            <w:noWrap/>
          </w:tcPr>
          <w:p w14:paraId="72121839" w14:textId="77777777" w:rsidR="00553430" w:rsidRDefault="00553430">
            <w:pPr>
              <w:spacing w:after="200" w:line="276" w:lineRule="auto"/>
              <w:rPr>
                <w:rFonts w:ascii="Times New Roman" w:eastAsia="Calibri" w:hAnsi="Times New Roman" w:cs="Times New Roman"/>
                <w:noProof/>
                <w:sz w:val="20"/>
                <w:szCs w:val="20"/>
              </w:rPr>
            </w:pPr>
          </w:p>
        </w:tc>
        <w:tc>
          <w:tcPr>
            <w:tcW w:w="851" w:type="dxa"/>
            <w:shd w:val="clear" w:color="auto" w:fill="C6EFCE"/>
            <w:noWrap/>
          </w:tcPr>
          <w:p w14:paraId="3B383858" w14:textId="77777777" w:rsidR="00553430" w:rsidRDefault="00212577">
            <w:pPr>
              <w:pStyle w:val="P68B1DB1-Normal59"/>
              <w:spacing w:after="200" w:line="276" w:lineRule="auto"/>
              <w:jc w:val="center"/>
              <w:rPr>
                <w:rFonts w:ascii="Times New Roman" w:eastAsia="Times New Roman" w:hAnsi="Times New Roman" w:cs="Times New Roman"/>
                <w:noProof/>
              </w:rPr>
            </w:pPr>
            <w:r>
              <w:rPr>
                <w:rFonts w:ascii="Times New Roman" w:eastAsia="Calibri" w:hAnsi="Times New Roman" w:cs="Times New Roman"/>
                <w:noProof/>
                <w:color w:val="000000" w:themeColor="text1"/>
              </w:rPr>
              <w:t>Numéro (m2)</w:t>
            </w:r>
            <w:r>
              <w:rPr>
                <w:rFonts w:ascii="Times New Roman" w:hAnsi="Times New Roman" w:cs="Times New Roman"/>
                <w:noProof/>
              </w:rPr>
              <w:br/>
            </w:r>
            <w:r>
              <w:rPr>
                <w:rFonts w:ascii="Times New Roman" w:eastAsia="Calibri" w:hAnsi="Times New Roman" w:cs="Times New Roman"/>
                <w:noProof/>
                <w:color w:val="000000" w:themeColor="text1"/>
              </w:rPr>
              <w:t xml:space="preserve"> </w:t>
            </w:r>
          </w:p>
        </w:tc>
        <w:tc>
          <w:tcPr>
            <w:tcW w:w="939" w:type="dxa"/>
            <w:shd w:val="clear" w:color="auto" w:fill="C6EFCE"/>
            <w:noWrap/>
          </w:tcPr>
          <w:p w14:paraId="76D668B3" w14:textId="77777777" w:rsidR="00553430" w:rsidRDefault="00212577">
            <w:pPr>
              <w:pStyle w:val="P68B1DB1-Normal70"/>
              <w:spacing w:after="200" w:line="276" w:lineRule="auto"/>
              <w:jc w:val="center"/>
              <w:rPr>
                <w:noProof/>
              </w:rPr>
            </w:pPr>
            <w:r>
              <w:rPr>
                <w:noProof/>
              </w:rPr>
              <w:t>0</w:t>
            </w:r>
          </w:p>
        </w:tc>
        <w:tc>
          <w:tcPr>
            <w:tcW w:w="988" w:type="dxa"/>
            <w:shd w:val="clear" w:color="auto" w:fill="C6EFCE"/>
            <w:noWrap/>
          </w:tcPr>
          <w:p w14:paraId="1A7B87FA" w14:textId="77777777" w:rsidR="00553430" w:rsidRDefault="00212577">
            <w:pPr>
              <w:pStyle w:val="P68B1DB1-Normal70"/>
              <w:spacing w:after="200" w:line="276" w:lineRule="auto"/>
              <w:jc w:val="center"/>
              <w:rPr>
                <w:noProof/>
              </w:rPr>
            </w:pPr>
            <w:r>
              <w:rPr>
                <w:noProof/>
              </w:rPr>
              <w:t>78 350</w:t>
            </w:r>
          </w:p>
        </w:tc>
        <w:tc>
          <w:tcPr>
            <w:tcW w:w="997" w:type="dxa"/>
            <w:shd w:val="clear" w:color="auto" w:fill="C6EFCE"/>
            <w:noWrap/>
          </w:tcPr>
          <w:p w14:paraId="101C397F" w14:textId="77777777" w:rsidR="00553430" w:rsidRDefault="00212577">
            <w:pPr>
              <w:pStyle w:val="P68B1DB1-Normal70"/>
              <w:spacing w:after="200" w:line="276" w:lineRule="auto"/>
              <w:jc w:val="center"/>
              <w:rPr>
                <w:noProof/>
              </w:rPr>
            </w:pPr>
            <w:r>
              <w:rPr>
                <w:noProof/>
              </w:rPr>
              <w:t>T2</w:t>
            </w:r>
          </w:p>
        </w:tc>
        <w:tc>
          <w:tcPr>
            <w:tcW w:w="708" w:type="dxa"/>
            <w:shd w:val="clear" w:color="auto" w:fill="C6EFCE"/>
            <w:noWrap/>
          </w:tcPr>
          <w:p w14:paraId="25D66F0A" w14:textId="77777777" w:rsidR="00553430" w:rsidRDefault="00212577">
            <w:pPr>
              <w:pStyle w:val="P68B1DB1-Normal70"/>
              <w:spacing w:after="200" w:line="276" w:lineRule="auto"/>
              <w:jc w:val="center"/>
              <w:rPr>
                <w:noProof/>
              </w:rPr>
            </w:pPr>
            <w:r>
              <w:rPr>
                <w:noProof/>
              </w:rPr>
              <w:t>2026</w:t>
            </w:r>
          </w:p>
        </w:tc>
        <w:tc>
          <w:tcPr>
            <w:tcW w:w="3739" w:type="dxa"/>
            <w:shd w:val="clear" w:color="auto" w:fill="C6EFCE"/>
            <w:noWrap/>
          </w:tcPr>
          <w:p w14:paraId="2E6EAB6D" w14:textId="3CBF2CD8" w:rsidR="00553430" w:rsidRDefault="00212577">
            <w:pPr>
              <w:pStyle w:val="P68B1DB1-Normal66"/>
              <w:spacing w:after="200" w:line="276" w:lineRule="auto"/>
              <w:rPr>
                <w:noProof/>
                <w:color w:val="000000" w:themeColor="text1"/>
              </w:rPr>
            </w:pPr>
            <w:r>
              <w:rPr>
                <w:noProof/>
              </w:rPr>
              <w:t xml:space="preserve">Rénovation énergétique et post-séisme d’au moins 78 350 m2 de bâtiments à logements multiples endommagés par les tremblements de terre (dans l’une des zones suivantes: la </w:t>
            </w:r>
            <w:r>
              <w:rPr>
                <w:noProof/>
              </w:rPr>
              <w:t>ville de Zagreb, le comitat de Krapina-Zagorje, le comitat de Zagreb, le comitat de Sisak-Moslavina, le comitat de Karlovac, le comitat de Varaždin, le comitat de Međimurje, le comitat de Brod-Posavina, le comitat de Koprivnica-Križevci et le comitat de Bj</w:t>
            </w:r>
            <w:r>
              <w:rPr>
                <w:noProof/>
              </w:rPr>
              <w:t>elovar-Bilogora), la réalisation d’une exigence minimale de réduction de la consommation d’énergie pour le chauffage d’au moins 50 % par rapport à la consommation annuelle d’énergie pour le chauffage avant la rénovation de chaque bâtiment (à l’exception de</w:t>
            </w:r>
            <w:r>
              <w:rPr>
                <w:noProof/>
              </w:rPr>
              <w:t>s bâtiments ayant un statut de bien culturel), ce qui entraînera une augmentation de 30 % des économies d’énergie primaire par rapport à l’objectif par rapport à l’état de prérénovation, et sera conforme au principe DNSH.</w:t>
            </w:r>
          </w:p>
          <w:p w14:paraId="66B33170" w14:textId="77777777" w:rsidR="00553430" w:rsidRDefault="00212577">
            <w:pPr>
              <w:pStyle w:val="P68B1DB1-Normal66"/>
              <w:spacing w:after="200" w:line="276" w:lineRule="auto"/>
              <w:rPr>
                <w:noProof/>
                <w:color w:val="000000" w:themeColor="text1"/>
              </w:rPr>
            </w:pPr>
            <w:r>
              <w:rPr>
                <w:noProof/>
              </w:rPr>
              <w:t>Le coût d'installation des chaudiè</w:t>
            </w:r>
            <w:r>
              <w:rPr>
                <w:noProof/>
              </w:rPr>
              <w:t>res à condensation de gaz remplaçant les chaudières à gaz, à charbon et à mazout existantes représente au maximum 20 % du coût de rénovation.</w:t>
            </w:r>
          </w:p>
        </w:tc>
      </w:tr>
      <w:tr w:rsidR="00553430" w14:paraId="52C03579" w14:textId="77777777" w:rsidTr="00262866">
        <w:trPr>
          <w:trHeight w:val="300"/>
          <w:jc w:val="center"/>
        </w:trPr>
        <w:tc>
          <w:tcPr>
            <w:tcW w:w="846" w:type="dxa"/>
            <w:shd w:val="clear" w:color="auto" w:fill="C6EFCE"/>
            <w:noWrap/>
          </w:tcPr>
          <w:p w14:paraId="5AA3BF20" w14:textId="77777777" w:rsidR="00553430" w:rsidRDefault="00212577">
            <w:pPr>
              <w:pStyle w:val="P68B1DB1-Normal89"/>
              <w:spacing w:after="0" w:line="276" w:lineRule="auto"/>
              <w:jc w:val="center"/>
              <w:rPr>
                <w:noProof/>
                <w:highlight w:val="yellow"/>
              </w:rPr>
            </w:pPr>
            <w:r>
              <w:rPr>
                <w:noProof/>
              </w:rPr>
              <w:t>357</w:t>
            </w:r>
          </w:p>
        </w:tc>
        <w:tc>
          <w:tcPr>
            <w:tcW w:w="1134" w:type="dxa"/>
            <w:shd w:val="clear" w:color="auto" w:fill="C6EFCE"/>
            <w:noWrap/>
          </w:tcPr>
          <w:p w14:paraId="56E80551" w14:textId="77777777" w:rsidR="00553430" w:rsidRDefault="00212577">
            <w:pPr>
              <w:pStyle w:val="P68B1DB1-Normal102"/>
              <w:spacing w:line="276" w:lineRule="auto"/>
              <w:jc w:val="center"/>
              <w:rPr>
                <w:noProof/>
                <w:color w:val="000000" w:themeColor="text1"/>
                <w:highlight w:val="yellow"/>
              </w:rPr>
            </w:pPr>
            <w:r>
              <w:rPr>
                <w:noProof/>
              </w:rPr>
              <w:t>C7.2 I2</w:t>
            </w:r>
          </w:p>
        </w:tc>
        <w:tc>
          <w:tcPr>
            <w:tcW w:w="1223" w:type="dxa"/>
            <w:shd w:val="clear" w:color="auto" w:fill="C6EFCE"/>
            <w:noWrap/>
          </w:tcPr>
          <w:p w14:paraId="1E20D456" w14:textId="77777777" w:rsidR="00553430" w:rsidRDefault="00212577">
            <w:pPr>
              <w:pStyle w:val="P68B1DB1-Normal66"/>
              <w:spacing w:line="276" w:lineRule="auto"/>
              <w:jc w:val="center"/>
              <w:rPr>
                <w:noProof/>
                <w:color w:val="000000" w:themeColor="text1"/>
              </w:rPr>
            </w:pPr>
            <w:r>
              <w:rPr>
                <w:noProof/>
              </w:rPr>
              <w:t>T</w:t>
            </w:r>
          </w:p>
        </w:tc>
        <w:tc>
          <w:tcPr>
            <w:tcW w:w="2037" w:type="dxa"/>
            <w:shd w:val="clear" w:color="auto" w:fill="C6EFCE"/>
            <w:noWrap/>
          </w:tcPr>
          <w:p w14:paraId="6C7EADE6" w14:textId="77777777" w:rsidR="00553430" w:rsidRDefault="00212577">
            <w:pPr>
              <w:pStyle w:val="P68B1DB1-Normal66"/>
              <w:spacing w:line="276" w:lineRule="auto"/>
              <w:rPr>
                <w:noProof/>
                <w:color w:val="000000" w:themeColor="text1"/>
              </w:rPr>
            </w:pPr>
            <w:r>
              <w:rPr>
                <w:noProof/>
              </w:rPr>
              <w:t xml:space="preserve">Rénovation énergétique et post-séisme des bâtiments publics endommagés par les tremblements de </w:t>
            </w:r>
            <w:r>
              <w:rPr>
                <w:noProof/>
              </w:rPr>
              <w:t>terre</w:t>
            </w:r>
          </w:p>
        </w:tc>
        <w:tc>
          <w:tcPr>
            <w:tcW w:w="2126" w:type="dxa"/>
            <w:shd w:val="clear" w:color="auto" w:fill="C6EFCE"/>
            <w:noWrap/>
          </w:tcPr>
          <w:p w14:paraId="52E23568" w14:textId="77777777" w:rsidR="00553430" w:rsidRDefault="00553430">
            <w:pPr>
              <w:spacing w:line="276" w:lineRule="auto"/>
              <w:rPr>
                <w:rFonts w:ascii="Times New Roman" w:eastAsia="Calibri" w:hAnsi="Times New Roman" w:cs="Times New Roman"/>
                <w:noProof/>
                <w:color w:val="000000" w:themeColor="text1"/>
                <w:sz w:val="20"/>
                <w:szCs w:val="20"/>
              </w:rPr>
            </w:pPr>
          </w:p>
        </w:tc>
        <w:tc>
          <w:tcPr>
            <w:tcW w:w="851" w:type="dxa"/>
            <w:shd w:val="clear" w:color="auto" w:fill="C6EFCE"/>
            <w:noWrap/>
          </w:tcPr>
          <w:p w14:paraId="4B27C380" w14:textId="77777777" w:rsidR="00553430" w:rsidRDefault="00212577">
            <w:pPr>
              <w:pStyle w:val="P68B1DB1-Normal59"/>
              <w:spacing w:after="200" w:line="276" w:lineRule="auto"/>
              <w:jc w:val="center"/>
              <w:rPr>
                <w:rFonts w:ascii="Times New Roman" w:eastAsia="Times New Roman" w:hAnsi="Times New Roman" w:cs="Times New Roman"/>
                <w:noProof/>
              </w:rPr>
            </w:pPr>
            <w:r>
              <w:rPr>
                <w:rFonts w:ascii="Times New Roman" w:eastAsia="Calibri" w:hAnsi="Times New Roman" w:cs="Times New Roman"/>
                <w:noProof/>
                <w:color w:val="000000" w:themeColor="text1"/>
              </w:rPr>
              <w:t>Numéro</w:t>
            </w:r>
            <w:r>
              <w:rPr>
                <w:rFonts w:ascii="Times New Roman" w:hAnsi="Times New Roman" w:cs="Times New Roman"/>
                <w:noProof/>
              </w:rPr>
              <w:br/>
            </w:r>
            <w:r>
              <w:rPr>
                <w:rFonts w:ascii="Times New Roman" w:eastAsia="Calibri" w:hAnsi="Times New Roman" w:cs="Times New Roman"/>
                <w:noProof/>
                <w:color w:val="000000" w:themeColor="text1"/>
              </w:rPr>
              <w:t xml:space="preserve"> (m2)</w:t>
            </w:r>
          </w:p>
          <w:p w14:paraId="4F83F4D8" w14:textId="77777777" w:rsidR="00553430" w:rsidRDefault="00553430">
            <w:pPr>
              <w:spacing w:line="276" w:lineRule="auto"/>
              <w:jc w:val="center"/>
              <w:rPr>
                <w:rFonts w:ascii="Times New Roman" w:eastAsia="Calibri" w:hAnsi="Times New Roman" w:cs="Times New Roman"/>
                <w:noProof/>
                <w:color w:val="000000" w:themeColor="text1"/>
                <w:sz w:val="20"/>
                <w:szCs w:val="20"/>
              </w:rPr>
            </w:pPr>
          </w:p>
        </w:tc>
        <w:tc>
          <w:tcPr>
            <w:tcW w:w="939" w:type="dxa"/>
            <w:shd w:val="clear" w:color="auto" w:fill="C6EFCE"/>
            <w:noWrap/>
          </w:tcPr>
          <w:p w14:paraId="1454D92A" w14:textId="77777777" w:rsidR="00553430" w:rsidRDefault="00212577">
            <w:pPr>
              <w:pStyle w:val="P68B1DB1-Normal70"/>
              <w:spacing w:line="276" w:lineRule="auto"/>
              <w:jc w:val="center"/>
              <w:rPr>
                <w:noProof/>
              </w:rPr>
            </w:pPr>
            <w:r>
              <w:rPr>
                <w:noProof/>
              </w:rPr>
              <w:t>0</w:t>
            </w:r>
          </w:p>
        </w:tc>
        <w:tc>
          <w:tcPr>
            <w:tcW w:w="988" w:type="dxa"/>
            <w:shd w:val="clear" w:color="auto" w:fill="C6EFCE"/>
            <w:noWrap/>
          </w:tcPr>
          <w:p w14:paraId="161BD9CE" w14:textId="77777777" w:rsidR="00553430" w:rsidRDefault="00212577">
            <w:pPr>
              <w:pStyle w:val="P68B1DB1-Normal70"/>
              <w:spacing w:line="276" w:lineRule="auto"/>
              <w:jc w:val="center"/>
              <w:rPr>
                <w:noProof/>
              </w:rPr>
            </w:pPr>
            <w:r>
              <w:rPr>
                <w:noProof/>
              </w:rPr>
              <w:t>574 317</w:t>
            </w:r>
          </w:p>
        </w:tc>
        <w:tc>
          <w:tcPr>
            <w:tcW w:w="997" w:type="dxa"/>
            <w:shd w:val="clear" w:color="auto" w:fill="C6EFCE"/>
            <w:noWrap/>
          </w:tcPr>
          <w:p w14:paraId="457F7A7E" w14:textId="77777777" w:rsidR="00553430" w:rsidRDefault="00212577">
            <w:pPr>
              <w:pStyle w:val="P68B1DB1-Normal70"/>
              <w:spacing w:line="276" w:lineRule="auto"/>
              <w:jc w:val="center"/>
              <w:rPr>
                <w:noProof/>
              </w:rPr>
            </w:pPr>
            <w:r>
              <w:rPr>
                <w:noProof/>
              </w:rPr>
              <w:t>T2</w:t>
            </w:r>
          </w:p>
        </w:tc>
        <w:tc>
          <w:tcPr>
            <w:tcW w:w="708" w:type="dxa"/>
            <w:shd w:val="clear" w:color="auto" w:fill="C6EFCE"/>
            <w:noWrap/>
          </w:tcPr>
          <w:p w14:paraId="468B18A0" w14:textId="77777777" w:rsidR="00553430" w:rsidRDefault="00212577">
            <w:pPr>
              <w:pStyle w:val="P68B1DB1-Normal70"/>
              <w:spacing w:line="276" w:lineRule="auto"/>
              <w:jc w:val="center"/>
              <w:rPr>
                <w:noProof/>
              </w:rPr>
            </w:pPr>
            <w:r>
              <w:rPr>
                <w:noProof/>
              </w:rPr>
              <w:t>2026</w:t>
            </w:r>
          </w:p>
        </w:tc>
        <w:tc>
          <w:tcPr>
            <w:tcW w:w="3739" w:type="dxa"/>
            <w:shd w:val="clear" w:color="auto" w:fill="C6EFCE"/>
            <w:noWrap/>
          </w:tcPr>
          <w:p w14:paraId="613C9EB2" w14:textId="77777777" w:rsidR="00553430" w:rsidRDefault="00212577">
            <w:pPr>
              <w:pStyle w:val="P68B1DB1-Normal66"/>
              <w:spacing w:line="276" w:lineRule="auto"/>
              <w:rPr>
                <w:noProof/>
                <w:color w:val="000000" w:themeColor="text1"/>
              </w:rPr>
            </w:pPr>
            <w:r>
              <w:rPr>
                <w:noProof/>
              </w:rPr>
              <w:t xml:space="preserve">Rénovation énergétique et post-séisme d’au moins 574 317 m2 de bâtiments publics endommagés par les tremblements de terre (dans une ou plusieurs des zones suivantes: la ville de Zagreb, le comitat de Krapina-Zagorje, </w:t>
            </w:r>
            <w:r>
              <w:rPr>
                <w:noProof/>
              </w:rPr>
              <w:t xml:space="preserve">le comitat de Zagreb, le comitat de Sisak-Moslavina, le comitat de Karlovac, le comitat de Varaždin, le comitat de Međimurje, le comitat de Brod-Posavina, le comitat de Koprivnica-Križevci et le comitat de Bjelovar-Bilogora), la réalisation d’une exigence </w:t>
            </w:r>
            <w:r>
              <w:rPr>
                <w:noProof/>
              </w:rPr>
              <w:t>minimale de réduction de la consommation d’énergie pour le chauffage d’au moins 50 % par rapport à la consommation annuelle d’énergie pour le chauffage avant la rénovation de chaque bâtiment (à l’exception des bâtiments ayant un statut de bien culturel), c</w:t>
            </w:r>
            <w:r>
              <w:rPr>
                <w:noProof/>
              </w:rPr>
              <w:t xml:space="preserve">e qui entraînera une augmentation de 30 % des économies d’énergie primaire au niveau de l’objectif par rapport à l’état de prérénovation et sera conforme au principe DNSH. </w:t>
            </w:r>
          </w:p>
          <w:p w14:paraId="6DA0F412" w14:textId="77777777" w:rsidR="00553430" w:rsidRDefault="00212577">
            <w:pPr>
              <w:pStyle w:val="P68B1DB1-Normal66"/>
              <w:spacing w:line="276" w:lineRule="auto"/>
              <w:rPr>
                <w:noProof/>
                <w:color w:val="000000" w:themeColor="text1"/>
              </w:rPr>
            </w:pPr>
            <w:r>
              <w:rPr>
                <w:noProof/>
              </w:rPr>
              <w:t>Le coût d'installation des chaudières à condensation de gaz remplaçant les chaudièr</w:t>
            </w:r>
            <w:r>
              <w:rPr>
                <w:noProof/>
              </w:rPr>
              <w:t>es à gaz, à charbon et à mazout existantes représente au maximum 20 % du coût de rénovation.</w:t>
            </w:r>
          </w:p>
        </w:tc>
      </w:tr>
      <w:tr w:rsidR="00553430" w14:paraId="0CCFC57B" w14:textId="77777777" w:rsidTr="00262866">
        <w:trPr>
          <w:trHeight w:val="966"/>
          <w:jc w:val="center"/>
        </w:trPr>
        <w:tc>
          <w:tcPr>
            <w:tcW w:w="846" w:type="dxa"/>
            <w:shd w:val="clear" w:color="auto" w:fill="C6EFCE"/>
            <w:noWrap/>
          </w:tcPr>
          <w:p w14:paraId="32D04231" w14:textId="77777777" w:rsidR="00553430" w:rsidRDefault="00212577">
            <w:pPr>
              <w:pStyle w:val="P68B1DB1-Normal89"/>
              <w:spacing w:after="0" w:line="276" w:lineRule="auto"/>
              <w:jc w:val="center"/>
              <w:rPr>
                <w:noProof/>
                <w:highlight w:val="yellow"/>
              </w:rPr>
            </w:pPr>
            <w:r>
              <w:rPr>
                <w:noProof/>
              </w:rPr>
              <w:t>439</w:t>
            </w:r>
          </w:p>
        </w:tc>
        <w:tc>
          <w:tcPr>
            <w:tcW w:w="1134" w:type="dxa"/>
            <w:shd w:val="clear" w:color="auto" w:fill="C6EFCE"/>
            <w:noWrap/>
          </w:tcPr>
          <w:p w14:paraId="7A882677" w14:textId="77777777" w:rsidR="00553430" w:rsidRDefault="00212577">
            <w:pPr>
              <w:pStyle w:val="P68B1DB1-Normal102"/>
              <w:spacing w:line="276" w:lineRule="auto"/>
              <w:jc w:val="center"/>
              <w:rPr>
                <w:noProof/>
                <w:color w:val="000000" w:themeColor="text1"/>
              </w:rPr>
            </w:pPr>
            <w:r>
              <w:rPr>
                <w:noProof/>
              </w:rPr>
              <w:t>C7.2 I2</w:t>
            </w:r>
          </w:p>
        </w:tc>
        <w:tc>
          <w:tcPr>
            <w:tcW w:w="1223" w:type="dxa"/>
            <w:shd w:val="clear" w:color="auto" w:fill="C6EFCE"/>
            <w:noWrap/>
          </w:tcPr>
          <w:p w14:paraId="5438AD2C" w14:textId="77777777" w:rsidR="00553430" w:rsidRDefault="00212577">
            <w:pPr>
              <w:pStyle w:val="P68B1DB1-Normal66"/>
              <w:spacing w:line="276" w:lineRule="auto"/>
              <w:jc w:val="center"/>
              <w:rPr>
                <w:noProof/>
                <w:color w:val="000000" w:themeColor="text1"/>
              </w:rPr>
            </w:pPr>
            <w:r>
              <w:rPr>
                <w:noProof/>
              </w:rPr>
              <w:t>T</w:t>
            </w:r>
          </w:p>
        </w:tc>
        <w:tc>
          <w:tcPr>
            <w:tcW w:w="2037" w:type="dxa"/>
            <w:shd w:val="clear" w:color="auto" w:fill="C6EFCE"/>
            <w:noWrap/>
          </w:tcPr>
          <w:p w14:paraId="1D585A43" w14:textId="77777777" w:rsidR="00553430" w:rsidRDefault="00212577">
            <w:pPr>
              <w:pStyle w:val="P68B1DB1-Normal66"/>
              <w:spacing w:line="276" w:lineRule="auto"/>
              <w:rPr>
                <w:noProof/>
                <w:color w:val="000000" w:themeColor="text1"/>
              </w:rPr>
            </w:pPr>
            <w:r>
              <w:rPr>
                <w:noProof/>
              </w:rPr>
              <w:t>Installation de systèmes d'énergie renouvelable dans les bâtiments publics endommagés par les tremblements de terre</w:t>
            </w:r>
          </w:p>
        </w:tc>
        <w:tc>
          <w:tcPr>
            <w:tcW w:w="2126" w:type="dxa"/>
            <w:shd w:val="clear" w:color="auto" w:fill="C6EFCE"/>
            <w:noWrap/>
          </w:tcPr>
          <w:p w14:paraId="618B77AE" w14:textId="77777777" w:rsidR="00553430" w:rsidRDefault="00553430">
            <w:pPr>
              <w:spacing w:line="276" w:lineRule="auto"/>
              <w:rPr>
                <w:rFonts w:ascii="Times New Roman" w:eastAsia="Calibri" w:hAnsi="Times New Roman" w:cs="Times New Roman"/>
                <w:noProof/>
                <w:color w:val="000000" w:themeColor="text1"/>
                <w:sz w:val="20"/>
                <w:szCs w:val="20"/>
              </w:rPr>
            </w:pPr>
          </w:p>
        </w:tc>
        <w:tc>
          <w:tcPr>
            <w:tcW w:w="851" w:type="dxa"/>
            <w:shd w:val="clear" w:color="auto" w:fill="C6EFCE"/>
            <w:noWrap/>
          </w:tcPr>
          <w:p w14:paraId="3E7B4905" w14:textId="77777777" w:rsidR="00553430" w:rsidRDefault="00212577">
            <w:pPr>
              <w:pStyle w:val="P68B1DB1-Normal66"/>
              <w:spacing w:after="200" w:line="276" w:lineRule="auto"/>
              <w:jc w:val="center"/>
              <w:rPr>
                <w:noProof/>
                <w:color w:val="000000" w:themeColor="text1"/>
              </w:rPr>
            </w:pPr>
            <w:r>
              <w:rPr>
                <w:noProof/>
              </w:rPr>
              <w:t>Numéro</w:t>
            </w:r>
          </w:p>
        </w:tc>
        <w:tc>
          <w:tcPr>
            <w:tcW w:w="939" w:type="dxa"/>
            <w:shd w:val="clear" w:color="auto" w:fill="C6EFCE"/>
            <w:noWrap/>
          </w:tcPr>
          <w:p w14:paraId="1AAD137E" w14:textId="77777777" w:rsidR="00553430" w:rsidRDefault="00212577">
            <w:pPr>
              <w:pStyle w:val="P68B1DB1-Normal70"/>
              <w:spacing w:line="276" w:lineRule="auto"/>
              <w:jc w:val="center"/>
              <w:rPr>
                <w:noProof/>
              </w:rPr>
            </w:pPr>
            <w:r>
              <w:rPr>
                <w:noProof/>
              </w:rPr>
              <w:t>0</w:t>
            </w:r>
          </w:p>
        </w:tc>
        <w:tc>
          <w:tcPr>
            <w:tcW w:w="988" w:type="dxa"/>
            <w:shd w:val="clear" w:color="auto" w:fill="C6EFCE"/>
            <w:noWrap/>
          </w:tcPr>
          <w:p w14:paraId="7CD197F8" w14:textId="77777777" w:rsidR="00553430" w:rsidRDefault="00212577">
            <w:pPr>
              <w:pStyle w:val="P68B1DB1-Normal70"/>
              <w:spacing w:line="276" w:lineRule="auto"/>
              <w:jc w:val="center"/>
              <w:rPr>
                <w:noProof/>
              </w:rPr>
            </w:pPr>
            <w:r>
              <w:rPr>
                <w:noProof/>
              </w:rPr>
              <w:t>50</w:t>
            </w:r>
          </w:p>
        </w:tc>
        <w:tc>
          <w:tcPr>
            <w:tcW w:w="997" w:type="dxa"/>
            <w:shd w:val="clear" w:color="auto" w:fill="C6EFCE"/>
            <w:noWrap/>
          </w:tcPr>
          <w:p w14:paraId="0FC00513" w14:textId="77777777" w:rsidR="00553430" w:rsidRDefault="00212577">
            <w:pPr>
              <w:pStyle w:val="P68B1DB1-Normal70"/>
              <w:spacing w:line="276" w:lineRule="auto"/>
              <w:jc w:val="center"/>
              <w:rPr>
                <w:noProof/>
                <w:highlight w:val="yellow"/>
              </w:rPr>
            </w:pPr>
            <w:r>
              <w:rPr>
                <w:noProof/>
              </w:rPr>
              <w:t>T2</w:t>
            </w:r>
          </w:p>
        </w:tc>
        <w:tc>
          <w:tcPr>
            <w:tcW w:w="708" w:type="dxa"/>
            <w:shd w:val="clear" w:color="auto" w:fill="C6EFCE"/>
            <w:noWrap/>
          </w:tcPr>
          <w:p w14:paraId="548F66AB" w14:textId="77777777" w:rsidR="00553430" w:rsidRDefault="00212577">
            <w:pPr>
              <w:pStyle w:val="P68B1DB1-Normal70"/>
              <w:spacing w:line="276" w:lineRule="auto"/>
              <w:jc w:val="center"/>
              <w:rPr>
                <w:noProof/>
                <w:highlight w:val="yellow"/>
              </w:rPr>
            </w:pPr>
            <w:r>
              <w:rPr>
                <w:noProof/>
              </w:rPr>
              <w:t>2026</w:t>
            </w:r>
          </w:p>
        </w:tc>
        <w:tc>
          <w:tcPr>
            <w:tcW w:w="3739" w:type="dxa"/>
            <w:shd w:val="clear" w:color="auto" w:fill="C6EFCE"/>
            <w:noWrap/>
          </w:tcPr>
          <w:p w14:paraId="1C6293E0" w14:textId="77777777" w:rsidR="00553430" w:rsidRDefault="00212577">
            <w:pPr>
              <w:pStyle w:val="P68B1DB1-Normal66"/>
              <w:spacing w:line="276" w:lineRule="auto"/>
              <w:rPr>
                <w:noProof/>
                <w:color w:val="000000" w:themeColor="text1"/>
                <w:highlight w:val="yellow"/>
              </w:rPr>
            </w:pPr>
            <w:r>
              <w:rPr>
                <w:noProof/>
              </w:rPr>
              <w:t>Au moins 50 systèmes d’énergie renouvelable sont installés dans des bâtiments publics rénovés dans le cadre de cet investissement.</w:t>
            </w:r>
          </w:p>
        </w:tc>
      </w:tr>
    </w:tbl>
    <w:p w14:paraId="19D7AFA4" w14:textId="77777777" w:rsidR="00553430" w:rsidRDefault="00553430">
      <w:pPr>
        <w:rPr>
          <w:noProof/>
        </w:rPr>
        <w:sectPr w:rsidR="00553430" w:rsidSect="00FA29B2">
          <w:headerReference w:type="even" r:id="rId453"/>
          <w:headerReference w:type="default" r:id="rId454"/>
          <w:footerReference w:type="even" r:id="rId455"/>
          <w:footerReference w:type="default" r:id="rId456"/>
          <w:headerReference w:type="first" r:id="rId457"/>
          <w:footerReference w:type="first" r:id="rId458"/>
          <w:pgSz w:w="16839" w:h="11907" w:orient="landscape"/>
          <w:pgMar w:top="1134" w:right="1134" w:bottom="1134" w:left="1134" w:header="567" w:footer="567" w:gutter="0"/>
          <w:cols w:space="708"/>
          <w:docGrid w:linePitch="360"/>
        </w:sectPr>
      </w:pPr>
    </w:p>
    <w:p w14:paraId="0279E3A6" w14:textId="77777777" w:rsidR="00553430" w:rsidRDefault="00212577">
      <w:pPr>
        <w:pStyle w:val="P68B1DB1-Normal24"/>
        <w:numPr>
          <w:ilvl w:val="0"/>
          <w:numId w:val="77"/>
        </w:numPr>
        <w:tabs>
          <w:tab w:val="clear" w:pos="720"/>
        </w:tabs>
        <w:spacing w:before="120" w:after="120" w:line="240" w:lineRule="auto"/>
        <w:ind w:left="850" w:hanging="283"/>
        <w:jc w:val="both"/>
        <w:rPr>
          <w:bCs/>
          <w:noProof/>
        </w:rPr>
      </w:pPr>
      <w:r>
        <w:rPr>
          <w:noProof/>
        </w:rPr>
        <w:t>Coût total estimé du plan pour la reprise et la résilience </w:t>
      </w:r>
    </w:p>
    <w:p w14:paraId="191F0C35" w14:textId="77777777" w:rsidR="00553430" w:rsidRDefault="00553430">
      <w:pPr>
        <w:spacing w:after="0" w:line="240" w:lineRule="auto"/>
        <w:ind w:left="840"/>
        <w:jc w:val="both"/>
        <w:textAlignment w:val="baseline"/>
        <w:rPr>
          <w:rFonts w:ascii="Times New Roman" w:eastAsia="Times New Roman" w:hAnsi="Times New Roman" w:cs="Times New Roman"/>
          <w:noProof/>
          <w:sz w:val="24"/>
          <w:szCs w:val="28"/>
        </w:rPr>
      </w:pPr>
    </w:p>
    <w:p w14:paraId="572409DF" w14:textId="0513321D" w:rsidR="00553430" w:rsidRDefault="00212577">
      <w:pPr>
        <w:pStyle w:val="P68B1DB1-Normal125"/>
        <w:spacing w:after="0" w:line="240" w:lineRule="auto"/>
        <w:jc w:val="both"/>
        <w:textAlignment w:val="baseline"/>
        <w:rPr>
          <w:noProof/>
        </w:rPr>
      </w:pPr>
      <w:r>
        <w:rPr>
          <w:noProof/>
        </w:rPr>
        <w:t>Le coût total du plan pour la reprise et la résilience de la Croatie est estimé à 9 961 398 190 EUR. </w:t>
      </w:r>
    </w:p>
    <w:p w14:paraId="1C9B9ED5" w14:textId="77777777" w:rsidR="00553430" w:rsidRDefault="00553430">
      <w:pPr>
        <w:spacing w:after="0" w:line="240" w:lineRule="auto"/>
        <w:jc w:val="both"/>
        <w:textAlignment w:val="baseline"/>
        <w:rPr>
          <w:rFonts w:ascii="Times New Roman" w:eastAsia="Times New Roman" w:hAnsi="Times New Roman" w:cs="Times New Roman"/>
          <w:noProof/>
          <w:sz w:val="20"/>
          <w:szCs w:val="20"/>
        </w:rPr>
      </w:pPr>
    </w:p>
    <w:p w14:paraId="59638C6C" w14:textId="06371E81" w:rsidR="00553430" w:rsidRDefault="00212577">
      <w:pPr>
        <w:pStyle w:val="P68B1DB1-Normal125"/>
        <w:spacing w:after="0" w:line="240" w:lineRule="auto"/>
        <w:jc w:val="both"/>
        <w:textAlignment w:val="baseline"/>
        <w:rPr>
          <w:noProof/>
          <w:sz w:val="20"/>
          <w:szCs w:val="20"/>
        </w:rPr>
      </w:pPr>
      <w:r>
        <w:rPr>
          <w:noProof/>
        </w:rPr>
        <w:t xml:space="preserve">Le coût total du chapitre REPowerEU est estimé à 2 721 804 579 EUR. En particulier, le coût total estimé des mesures visées à l’article 21 quater, </w:t>
      </w:r>
      <w:r>
        <w:rPr>
          <w:noProof/>
        </w:rPr>
        <w:t xml:space="preserve">paragraphe 3, point a), du règlement (UE) 2023/435 est de 559 000 000 EUR, tandis que le coût des autres mesures du chapitre REPowerEU est de 2 162 804 579 EUR. </w:t>
      </w:r>
    </w:p>
    <w:p w14:paraId="5B0EF5A2" w14:textId="77777777" w:rsidR="00553430" w:rsidRDefault="00212577">
      <w:pPr>
        <w:pStyle w:val="P68B1DB1-Normal125"/>
        <w:spacing w:after="0" w:line="240" w:lineRule="auto"/>
        <w:jc w:val="both"/>
        <w:textAlignment w:val="baseline"/>
        <w:rPr>
          <w:noProof/>
          <w:sz w:val="20"/>
          <w:szCs w:val="20"/>
        </w:rPr>
      </w:pPr>
      <w:r>
        <w:rPr>
          <w:noProof/>
        </w:rPr>
        <w:t> </w:t>
      </w:r>
    </w:p>
    <w:p w14:paraId="67F21EFE" w14:textId="77777777" w:rsidR="00553430" w:rsidRDefault="00212577">
      <w:pPr>
        <w:pStyle w:val="P68B1DB1-Normal140"/>
        <w:spacing w:after="0" w:line="240" w:lineRule="auto"/>
        <w:jc w:val="both"/>
        <w:textAlignment w:val="baseline"/>
        <w:rPr>
          <w:bCs/>
          <w:noProof/>
        </w:rPr>
      </w:pPr>
      <w:r>
        <w:rPr>
          <w:noProof/>
        </w:rPr>
        <w:t>SECTION 2: SOUTIEN FINANCIER </w:t>
      </w:r>
    </w:p>
    <w:p w14:paraId="4E9BD9A1" w14:textId="77777777" w:rsidR="00553430" w:rsidRDefault="00212577">
      <w:pPr>
        <w:pStyle w:val="P68B1DB1-Normal125"/>
        <w:spacing w:after="0" w:line="240" w:lineRule="auto"/>
        <w:jc w:val="both"/>
        <w:textAlignment w:val="baseline"/>
        <w:rPr>
          <w:noProof/>
          <w:sz w:val="20"/>
          <w:szCs w:val="20"/>
        </w:rPr>
      </w:pPr>
      <w:r>
        <w:rPr>
          <w:noProof/>
        </w:rPr>
        <w:t> </w:t>
      </w:r>
    </w:p>
    <w:p w14:paraId="4BF8C9C8" w14:textId="2D4D7AC7" w:rsidR="00553430" w:rsidRDefault="00212577">
      <w:pPr>
        <w:pStyle w:val="P68B1DB1-Normal140"/>
        <w:spacing w:after="0" w:line="240" w:lineRule="auto"/>
        <w:ind w:left="360"/>
        <w:jc w:val="both"/>
        <w:textAlignment w:val="baseline"/>
        <w:rPr>
          <w:noProof/>
        </w:rPr>
      </w:pPr>
      <w:r>
        <w:rPr>
          <w:noProof/>
        </w:rPr>
        <w:t xml:space="preserve">1. Contribution financière </w:t>
      </w:r>
    </w:p>
    <w:p w14:paraId="2261E4C2" w14:textId="77777777" w:rsidR="00553430" w:rsidRDefault="00553430">
      <w:pPr>
        <w:spacing w:after="0" w:line="240" w:lineRule="auto"/>
        <w:ind w:left="840"/>
        <w:jc w:val="both"/>
        <w:textAlignment w:val="baseline"/>
        <w:rPr>
          <w:rFonts w:ascii="Times New Roman" w:eastAsia="Times New Roman" w:hAnsi="Times New Roman" w:cs="Times New Roman"/>
          <w:noProof/>
          <w:sz w:val="24"/>
          <w:szCs w:val="28"/>
        </w:rPr>
      </w:pPr>
    </w:p>
    <w:p w14:paraId="2091BDEC" w14:textId="77777777" w:rsidR="00553430" w:rsidRDefault="00212577">
      <w:pPr>
        <w:pStyle w:val="P68B1DB1-Normal125"/>
        <w:spacing w:after="0" w:line="240" w:lineRule="auto"/>
        <w:ind w:left="840"/>
        <w:jc w:val="both"/>
        <w:textAlignment w:val="baseline"/>
        <w:rPr>
          <w:noProof/>
          <w:sz w:val="20"/>
          <w:szCs w:val="20"/>
        </w:rPr>
      </w:pPr>
      <w:r>
        <w:rPr>
          <w:noProof/>
        </w:rPr>
        <w:t>Les tranches visées à l'article</w:t>
      </w:r>
      <w:r>
        <w:rPr>
          <w:noProof/>
        </w:rPr>
        <w:t xml:space="preserve"> 2, paragraphe 2, sont organisées de la manière suivante: </w:t>
      </w:r>
    </w:p>
    <w:p w14:paraId="122FB93D" w14:textId="77777777" w:rsidR="00553430" w:rsidRDefault="00212577">
      <w:pPr>
        <w:pStyle w:val="P68B1DB1-Normal125"/>
        <w:spacing w:after="0" w:line="240" w:lineRule="auto"/>
        <w:jc w:val="both"/>
        <w:textAlignment w:val="baseline"/>
        <w:rPr>
          <w:noProof/>
          <w:sz w:val="20"/>
          <w:szCs w:val="20"/>
        </w:rPr>
      </w:pPr>
      <w:r>
        <w:rPr>
          <w:noProof/>
        </w:rPr>
        <w:t> </w:t>
      </w:r>
    </w:p>
    <w:p w14:paraId="4BE21CF8" w14:textId="15F65E95" w:rsidR="00553430" w:rsidRDefault="00212577">
      <w:pPr>
        <w:pStyle w:val="P68B1DB1-Normal125"/>
        <w:numPr>
          <w:ilvl w:val="0"/>
          <w:numId w:val="78"/>
        </w:numPr>
        <w:spacing w:line="240" w:lineRule="auto"/>
        <w:jc w:val="both"/>
        <w:textAlignment w:val="baseline"/>
        <w:rPr>
          <w:noProof/>
        </w:rPr>
      </w:pPr>
      <w:r>
        <w:rPr>
          <w:noProof/>
        </w:rPr>
        <w:t xml:space="preserve">Première tranche (soutien non remboursable): </w:t>
      </w:r>
    </w:p>
    <w:tbl>
      <w:tblPr>
        <w:tblW w:w="9401"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5"/>
        <w:gridCol w:w="1642"/>
        <w:gridCol w:w="1276"/>
        <w:gridCol w:w="5388"/>
      </w:tblGrid>
      <w:tr w:rsidR="00553430" w14:paraId="3FC85583" w14:textId="77777777">
        <w:trPr>
          <w:trHeight w:val="1105"/>
          <w:tblHeader/>
        </w:trPr>
        <w:tc>
          <w:tcPr>
            <w:tcW w:w="1095" w:type="dxa"/>
            <w:tcBorders>
              <w:top w:val="single" w:sz="6" w:space="0" w:color="auto"/>
              <w:left w:val="single" w:sz="6" w:space="0" w:color="auto"/>
              <w:bottom w:val="single" w:sz="6" w:space="0" w:color="000000"/>
              <w:right w:val="single" w:sz="6" w:space="0" w:color="auto"/>
            </w:tcBorders>
            <w:shd w:val="clear" w:color="auto" w:fill="BDD7EE"/>
            <w:vAlign w:val="center"/>
            <w:hideMark/>
          </w:tcPr>
          <w:p w14:paraId="3C7E3EB2" w14:textId="77777777" w:rsidR="00553430" w:rsidRDefault="00212577">
            <w:pPr>
              <w:pStyle w:val="P68B1DB1-Normal76"/>
              <w:spacing w:after="0" w:line="240" w:lineRule="auto"/>
              <w:jc w:val="center"/>
              <w:textAlignment w:val="baseline"/>
              <w:rPr>
                <w:noProof/>
              </w:rPr>
            </w:pPr>
            <w:r>
              <w:rPr>
                <w:b/>
                <w:noProof/>
              </w:rPr>
              <w:t>Numéro séquentiel</w:t>
            </w:r>
            <w:r>
              <w:rPr>
                <w:noProof/>
              </w:rPr>
              <w:t> </w:t>
            </w:r>
          </w:p>
        </w:tc>
        <w:tc>
          <w:tcPr>
            <w:tcW w:w="1642" w:type="dxa"/>
            <w:tcBorders>
              <w:top w:val="single" w:sz="6" w:space="0" w:color="auto"/>
              <w:left w:val="single" w:sz="6" w:space="0" w:color="auto"/>
              <w:bottom w:val="single" w:sz="6" w:space="0" w:color="000000"/>
              <w:right w:val="single" w:sz="6" w:space="0" w:color="auto"/>
            </w:tcBorders>
            <w:shd w:val="clear" w:color="auto" w:fill="BDD7EE"/>
            <w:vAlign w:val="center"/>
            <w:hideMark/>
          </w:tcPr>
          <w:p w14:paraId="5237FC05" w14:textId="77777777" w:rsidR="00553430" w:rsidRDefault="00212577">
            <w:pPr>
              <w:pStyle w:val="P68B1DB1-Normal76"/>
              <w:spacing w:after="0" w:line="240" w:lineRule="auto"/>
              <w:jc w:val="center"/>
              <w:textAlignment w:val="baseline"/>
              <w:rPr>
                <w:noProof/>
              </w:rPr>
            </w:pPr>
            <w:r>
              <w:rPr>
                <w:b/>
                <w:noProof/>
              </w:rPr>
              <w:t>Mesure connexe (réforme ou investissement)</w:t>
            </w:r>
            <w:r>
              <w:rPr>
                <w:noProof/>
              </w:rPr>
              <w:t> </w:t>
            </w:r>
          </w:p>
        </w:tc>
        <w:tc>
          <w:tcPr>
            <w:tcW w:w="1276" w:type="dxa"/>
            <w:tcBorders>
              <w:top w:val="single" w:sz="6" w:space="0" w:color="auto"/>
              <w:left w:val="single" w:sz="6" w:space="0" w:color="auto"/>
              <w:bottom w:val="single" w:sz="6" w:space="0" w:color="000000"/>
              <w:right w:val="single" w:sz="4" w:space="0" w:color="auto"/>
            </w:tcBorders>
            <w:shd w:val="clear" w:color="auto" w:fill="BDD7EE"/>
            <w:vAlign w:val="center"/>
            <w:hideMark/>
          </w:tcPr>
          <w:p w14:paraId="48CC1EFD" w14:textId="77777777" w:rsidR="00553430" w:rsidRDefault="00212577">
            <w:pPr>
              <w:pStyle w:val="P68B1DB1-Normal76"/>
              <w:spacing w:after="0" w:line="240" w:lineRule="auto"/>
              <w:jc w:val="center"/>
              <w:textAlignment w:val="baseline"/>
              <w:rPr>
                <w:noProof/>
              </w:rPr>
            </w:pPr>
            <w:r>
              <w:rPr>
                <w:b/>
                <w:noProof/>
              </w:rPr>
              <w:t>Étape/cible</w:t>
            </w:r>
            <w:r>
              <w:rPr>
                <w:noProof/>
              </w:rPr>
              <w:t> </w:t>
            </w:r>
          </w:p>
        </w:tc>
        <w:tc>
          <w:tcPr>
            <w:tcW w:w="538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9CD9B36" w14:textId="77777777" w:rsidR="00553430" w:rsidRDefault="00212577">
            <w:pPr>
              <w:pStyle w:val="P68B1DB1-Normal76"/>
              <w:spacing w:after="0" w:line="240" w:lineRule="auto"/>
              <w:jc w:val="center"/>
              <w:textAlignment w:val="baseline"/>
              <w:rPr>
                <w:noProof/>
              </w:rPr>
            </w:pPr>
            <w:r>
              <w:rPr>
                <w:b/>
                <w:noProof/>
              </w:rPr>
              <w:t>Nom</w:t>
            </w:r>
            <w:r>
              <w:rPr>
                <w:noProof/>
              </w:rPr>
              <w:t> </w:t>
            </w:r>
          </w:p>
        </w:tc>
      </w:tr>
      <w:tr w:rsidR="00553430" w14:paraId="75DAFE07" w14:textId="77777777">
        <w:trPr>
          <w:trHeight w:val="367"/>
        </w:trPr>
        <w:tc>
          <w:tcPr>
            <w:tcW w:w="1095" w:type="dxa"/>
            <w:tcBorders>
              <w:top w:val="nil"/>
              <w:left w:val="single" w:sz="6" w:space="0" w:color="auto"/>
              <w:bottom w:val="single" w:sz="6" w:space="0" w:color="auto"/>
              <w:right w:val="single" w:sz="6" w:space="0" w:color="auto"/>
            </w:tcBorders>
            <w:shd w:val="clear" w:color="auto" w:fill="C6EFCE"/>
            <w:vAlign w:val="center"/>
            <w:hideMark/>
          </w:tcPr>
          <w:p w14:paraId="038555D7" w14:textId="77777777" w:rsidR="00553430" w:rsidRDefault="00212577">
            <w:pPr>
              <w:pStyle w:val="P68B1DB1-Normal102"/>
              <w:spacing w:after="0" w:line="240" w:lineRule="auto"/>
              <w:jc w:val="center"/>
              <w:textAlignment w:val="baseline"/>
              <w:rPr>
                <w:rFonts w:eastAsia="Times New Roman"/>
                <w:noProof/>
              </w:rPr>
            </w:pPr>
            <w:r>
              <w:rPr>
                <w:noProof/>
              </w:rPr>
              <w:t>45</w:t>
            </w:r>
          </w:p>
        </w:tc>
        <w:tc>
          <w:tcPr>
            <w:tcW w:w="1642" w:type="dxa"/>
            <w:tcBorders>
              <w:top w:val="nil"/>
              <w:left w:val="nil"/>
              <w:bottom w:val="single" w:sz="6" w:space="0" w:color="auto"/>
              <w:right w:val="single" w:sz="6" w:space="0" w:color="auto"/>
            </w:tcBorders>
            <w:shd w:val="clear" w:color="auto" w:fill="C6EFCE"/>
            <w:vAlign w:val="center"/>
            <w:hideMark/>
          </w:tcPr>
          <w:p w14:paraId="2D3AC504" w14:textId="77777777" w:rsidR="00553430" w:rsidRDefault="00212577">
            <w:pPr>
              <w:pStyle w:val="P68B1DB1-Normal102"/>
              <w:spacing w:after="0" w:line="240" w:lineRule="auto"/>
              <w:jc w:val="center"/>
              <w:textAlignment w:val="baseline"/>
              <w:rPr>
                <w:rFonts w:eastAsia="Times New Roman"/>
                <w:noProof/>
              </w:rPr>
            </w:pPr>
            <w:r>
              <w:rPr>
                <w:noProof/>
              </w:rPr>
              <w:t>C1.2. R1-I2</w:t>
            </w:r>
          </w:p>
        </w:tc>
        <w:tc>
          <w:tcPr>
            <w:tcW w:w="1276" w:type="dxa"/>
            <w:tcBorders>
              <w:top w:val="nil"/>
              <w:left w:val="nil"/>
              <w:bottom w:val="single" w:sz="6" w:space="0" w:color="auto"/>
              <w:right w:val="single" w:sz="6" w:space="0" w:color="auto"/>
            </w:tcBorders>
            <w:shd w:val="clear" w:color="auto" w:fill="C6EFCE"/>
            <w:vAlign w:val="center"/>
            <w:hideMark/>
          </w:tcPr>
          <w:p w14:paraId="42A4EEDD" w14:textId="77777777" w:rsidR="00553430" w:rsidRDefault="00212577">
            <w:pPr>
              <w:pStyle w:val="P68B1DB1-Normal102"/>
              <w:spacing w:after="0" w:line="240" w:lineRule="auto"/>
              <w:jc w:val="center"/>
              <w:textAlignment w:val="baseline"/>
              <w:rPr>
                <w:rFonts w:eastAsia="Times New Roman"/>
                <w:noProof/>
              </w:rPr>
            </w:pPr>
            <w:r>
              <w:rPr>
                <w:noProof/>
              </w:rPr>
              <w:t>M</w:t>
            </w:r>
          </w:p>
        </w:tc>
        <w:tc>
          <w:tcPr>
            <w:tcW w:w="5388" w:type="dxa"/>
            <w:tcBorders>
              <w:top w:val="single" w:sz="4" w:space="0" w:color="auto"/>
              <w:left w:val="nil"/>
              <w:bottom w:val="single" w:sz="6" w:space="0" w:color="auto"/>
              <w:right w:val="single" w:sz="6" w:space="0" w:color="auto"/>
            </w:tcBorders>
            <w:shd w:val="clear" w:color="auto" w:fill="C6EFCE"/>
            <w:vAlign w:val="center"/>
            <w:hideMark/>
          </w:tcPr>
          <w:p w14:paraId="4C6C67E8" w14:textId="77777777" w:rsidR="00553430" w:rsidRDefault="00212577">
            <w:pPr>
              <w:pStyle w:val="P68B1DB1-Normal102"/>
              <w:spacing w:after="0" w:line="240" w:lineRule="auto"/>
              <w:textAlignment w:val="baseline"/>
              <w:rPr>
                <w:rFonts w:eastAsia="Times New Roman"/>
                <w:noProof/>
              </w:rPr>
            </w:pPr>
            <w:r>
              <w:rPr>
                <w:noProof/>
              </w:rPr>
              <w:t>L’adoption par le gouvernement d’un programme d’efficacité énergétique pour la décarbonation du secteur de l’énergie</w:t>
            </w:r>
          </w:p>
        </w:tc>
      </w:tr>
      <w:tr w:rsidR="00553430" w14:paraId="7FA886D8"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hideMark/>
          </w:tcPr>
          <w:p w14:paraId="6D504F12" w14:textId="77777777" w:rsidR="00553430" w:rsidRDefault="00212577">
            <w:pPr>
              <w:pStyle w:val="P68B1DB1-Normal102"/>
              <w:spacing w:after="0" w:line="240" w:lineRule="auto"/>
              <w:jc w:val="center"/>
              <w:textAlignment w:val="baseline"/>
              <w:rPr>
                <w:rFonts w:eastAsia="Times New Roman"/>
                <w:noProof/>
              </w:rPr>
            </w:pPr>
            <w:r>
              <w:rPr>
                <w:noProof/>
              </w:rPr>
              <w:t>46</w:t>
            </w:r>
          </w:p>
        </w:tc>
        <w:tc>
          <w:tcPr>
            <w:tcW w:w="1642" w:type="dxa"/>
            <w:tcBorders>
              <w:top w:val="single" w:sz="6" w:space="0" w:color="auto"/>
              <w:left w:val="nil"/>
              <w:bottom w:val="single" w:sz="6" w:space="0" w:color="auto"/>
              <w:right w:val="single" w:sz="6" w:space="0" w:color="auto"/>
            </w:tcBorders>
            <w:shd w:val="clear" w:color="auto" w:fill="C6EFCE"/>
            <w:vAlign w:val="center"/>
            <w:hideMark/>
          </w:tcPr>
          <w:p w14:paraId="3CF6618C" w14:textId="77777777" w:rsidR="00553430" w:rsidRDefault="00212577">
            <w:pPr>
              <w:pStyle w:val="P68B1DB1-Normal102"/>
              <w:spacing w:after="0" w:line="240" w:lineRule="auto"/>
              <w:jc w:val="center"/>
              <w:textAlignment w:val="baseline"/>
              <w:rPr>
                <w:rFonts w:eastAsia="Times New Roman"/>
                <w:noProof/>
              </w:rPr>
            </w:pPr>
            <w:r>
              <w:rPr>
                <w:noProof/>
              </w:rPr>
              <w:t>C1.2. R1-I2</w:t>
            </w:r>
          </w:p>
        </w:tc>
        <w:tc>
          <w:tcPr>
            <w:tcW w:w="1276" w:type="dxa"/>
            <w:tcBorders>
              <w:top w:val="single" w:sz="6" w:space="0" w:color="auto"/>
              <w:left w:val="nil"/>
              <w:bottom w:val="single" w:sz="6" w:space="0" w:color="auto"/>
              <w:right w:val="single" w:sz="6" w:space="0" w:color="auto"/>
            </w:tcBorders>
            <w:shd w:val="clear" w:color="auto" w:fill="C6EFCE"/>
            <w:vAlign w:val="center"/>
            <w:hideMark/>
          </w:tcPr>
          <w:p w14:paraId="53090303" w14:textId="77777777" w:rsidR="00553430" w:rsidRDefault="00212577">
            <w:pPr>
              <w:pStyle w:val="P68B1DB1-Normal102"/>
              <w:spacing w:after="0" w:line="240" w:lineRule="auto"/>
              <w:jc w:val="center"/>
              <w:textAlignment w:val="baseline"/>
              <w:rPr>
                <w:rFonts w:eastAsia="Times New Roman"/>
                <w:noProof/>
              </w:rPr>
            </w:pPr>
            <w:r>
              <w:rPr>
                <w:noProof/>
              </w:rPr>
              <w:t>T</w:t>
            </w:r>
          </w:p>
        </w:tc>
        <w:tc>
          <w:tcPr>
            <w:tcW w:w="5388" w:type="dxa"/>
            <w:tcBorders>
              <w:top w:val="single" w:sz="6" w:space="0" w:color="auto"/>
              <w:left w:val="nil"/>
              <w:bottom w:val="single" w:sz="6" w:space="0" w:color="auto"/>
              <w:right w:val="single" w:sz="6" w:space="0" w:color="auto"/>
            </w:tcBorders>
            <w:shd w:val="clear" w:color="auto" w:fill="C6EFCE"/>
            <w:vAlign w:val="center"/>
            <w:hideMark/>
          </w:tcPr>
          <w:p w14:paraId="1BC56B0D" w14:textId="77777777" w:rsidR="00553430" w:rsidRDefault="00212577">
            <w:pPr>
              <w:pStyle w:val="P68B1DB1-Normal102"/>
              <w:spacing w:after="0" w:line="240" w:lineRule="auto"/>
              <w:textAlignment w:val="baseline"/>
              <w:rPr>
                <w:rFonts w:eastAsia="Times New Roman"/>
                <w:noProof/>
              </w:rPr>
            </w:pPr>
            <w:r>
              <w:rPr>
                <w:noProof/>
              </w:rPr>
              <w:t xml:space="preserve">Nombre d’entreprises bénéficiant d’une aide en faveur de l’efficacité énergétique et de l’utilisation des énergies </w:t>
            </w:r>
            <w:r>
              <w:rPr>
                <w:noProof/>
              </w:rPr>
              <w:t>renouvelables dans l’industrie</w:t>
            </w:r>
          </w:p>
        </w:tc>
      </w:tr>
      <w:tr w:rsidR="00553430" w14:paraId="70EAE333"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F4A045A" w14:textId="77777777" w:rsidR="00553430" w:rsidRDefault="00212577">
            <w:pPr>
              <w:pStyle w:val="P68B1DB1-Normal102"/>
              <w:spacing w:after="0" w:line="240" w:lineRule="auto"/>
              <w:jc w:val="center"/>
              <w:textAlignment w:val="baseline"/>
              <w:rPr>
                <w:noProof/>
              </w:rPr>
            </w:pPr>
            <w:r>
              <w:rPr>
                <w:noProof/>
              </w:rPr>
              <w:t>49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5595E283" w14:textId="77777777" w:rsidR="00553430" w:rsidRDefault="00212577">
            <w:pPr>
              <w:pStyle w:val="P68B1DB1-Normal102"/>
              <w:spacing w:after="0" w:line="240" w:lineRule="auto"/>
              <w:jc w:val="center"/>
              <w:textAlignment w:val="baseline"/>
              <w:rPr>
                <w:noProof/>
              </w:rPr>
            </w:pPr>
            <w:r>
              <w:rPr>
                <w:noProof/>
              </w:rPr>
              <w:t>C1.2. R1-I3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21F9221"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035F453" w14:textId="77777777" w:rsidR="00553430" w:rsidRDefault="00212577">
            <w:pPr>
              <w:pStyle w:val="P68B1DB1-Normal102"/>
              <w:spacing w:after="0" w:line="240" w:lineRule="auto"/>
              <w:textAlignment w:val="baseline"/>
              <w:rPr>
                <w:noProof/>
              </w:rPr>
            </w:pPr>
            <w:r>
              <w:rPr>
                <w:noProof/>
              </w:rPr>
              <w:t>Entrée en vigueur de la loi sur les carburants de substitution</w:t>
            </w:r>
          </w:p>
        </w:tc>
      </w:tr>
      <w:tr w:rsidR="00553430" w14:paraId="69A118CA"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E1B0D91" w14:textId="77777777" w:rsidR="00553430" w:rsidRDefault="00212577">
            <w:pPr>
              <w:pStyle w:val="P68B1DB1-Normal102"/>
              <w:spacing w:after="0" w:line="240" w:lineRule="auto"/>
              <w:jc w:val="center"/>
              <w:textAlignment w:val="baseline"/>
              <w:rPr>
                <w:noProof/>
              </w:rPr>
            </w:pPr>
            <w:r>
              <w:rPr>
                <w:noProof/>
              </w:rPr>
              <w:t>59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EE45F32" w14:textId="77777777" w:rsidR="00553430" w:rsidRDefault="00212577">
            <w:pPr>
              <w:pStyle w:val="P68B1DB1-Normal102"/>
              <w:spacing w:after="0" w:line="240" w:lineRule="auto"/>
              <w:jc w:val="center"/>
              <w:textAlignment w:val="baseline"/>
              <w:rPr>
                <w:noProof/>
              </w:rPr>
            </w:pPr>
            <w:r>
              <w:rPr>
                <w:noProof/>
              </w:rPr>
              <w:t>C1.3.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A24F42E"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06B85BA9" w14:textId="77777777" w:rsidR="00553430" w:rsidRDefault="00212577">
            <w:pPr>
              <w:pStyle w:val="P68B1DB1-Normal102"/>
              <w:spacing w:after="0" w:line="240" w:lineRule="auto"/>
              <w:textAlignment w:val="baseline"/>
              <w:rPr>
                <w:noProof/>
              </w:rPr>
            </w:pPr>
            <w:r>
              <w:rPr>
                <w:noProof/>
              </w:rPr>
              <w:t>Adoption du programme pluriannuel de construction pour le traitement de l'eau et des eaux urbaines résiduaires</w:t>
            </w:r>
          </w:p>
        </w:tc>
      </w:tr>
      <w:tr w:rsidR="00553430" w14:paraId="77B329CD"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6440F8A3" w14:textId="77777777" w:rsidR="00553430" w:rsidRDefault="00212577">
            <w:pPr>
              <w:pStyle w:val="P68B1DB1-Normal102"/>
              <w:spacing w:after="0" w:line="240" w:lineRule="auto"/>
              <w:jc w:val="center"/>
              <w:textAlignment w:val="baseline"/>
              <w:rPr>
                <w:noProof/>
              </w:rPr>
            </w:pPr>
            <w:r>
              <w:rPr>
                <w:noProof/>
              </w:rPr>
              <w:t>81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B8F7DB3" w14:textId="77777777" w:rsidR="00553430" w:rsidRDefault="00212577">
            <w:pPr>
              <w:pStyle w:val="P68B1DB1-Normal102"/>
              <w:spacing w:after="0" w:line="240" w:lineRule="auto"/>
              <w:jc w:val="center"/>
              <w:textAlignment w:val="baseline"/>
              <w:rPr>
                <w:noProof/>
              </w:rPr>
            </w:pPr>
            <w:r>
              <w:rPr>
                <w:noProof/>
              </w:rPr>
              <w:t>C1.3.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3AD618DD"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284B226" w14:textId="77777777" w:rsidR="00553430" w:rsidRDefault="00212577">
            <w:pPr>
              <w:pStyle w:val="P68B1DB1-Normal102"/>
              <w:spacing w:after="0" w:line="240" w:lineRule="auto"/>
              <w:textAlignment w:val="baseline"/>
              <w:rPr>
                <w:noProof/>
              </w:rPr>
            </w:pPr>
            <w:r>
              <w:rPr>
                <w:noProof/>
              </w:rPr>
              <w:t xml:space="preserve">Adoption de la loi sur la gestion des déchets </w:t>
            </w:r>
          </w:p>
        </w:tc>
      </w:tr>
      <w:tr w:rsidR="00553430" w14:paraId="75B27F8A"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2F57A10C" w14:textId="77777777" w:rsidR="00553430" w:rsidRDefault="00212577">
            <w:pPr>
              <w:pStyle w:val="P68B1DB1-Normal102"/>
              <w:spacing w:after="0" w:line="240" w:lineRule="auto"/>
              <w:jc w:val="center"/>
              <w:textAlignment w:val="baseline"/>
              <w:rPr>
                <w:noProof/>
              </w:rPr>
            </w:pPr>
            <w:r>
              <w:rPr>
                <w:noProof/>
              </w:rPr>
              <w:t>82</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4FCA21B3" w14:textId="77777777" w:rsidR="00553430" w:rsidRDefault="00212577">
            <w:pPr>
              <w:pStyle w:val="P68B1DB1-Normal102"/>
              <w:spacing w:after="0" w:line="240" w:lineRule="auto"/>
              <w:jc w:val="center"/>
              <w:textAlignment w:val="baseline"/>
              <w:rPr>
                <w:noProof/>
              </w:rPr>
            </w:pPr>
            <w:r>
              <w:rPr>
                <w:noProof/>
              </w:rPr>
              <w:t>C1.3.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187BAFCA"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5C13911A" w14:textId="77777777" w:rsidR="00553430" w:rsidRDefault="00212577">
            <w:pPr>
              <w:pStyle w:val="P68B1DB1-Normal102"/>
              <w:spacing w:after="0" w:line="240" w:lineRule="auto"/>
              <w:textAlignment w:val="baseline"/>
              <w:rPr>
                <w:noProof/>
              </w:rPr>
            </w:pPr>
            <w:r>
              <w:rPr>
                <w:noProof/>
              </w:rPr>
              <w:t>Révision du plan de gestion des déchets de la République de Croatie pour la période 2017-2022</w:t>
            </w:r>
          </w:p>
        </w:tc>
      </w:tr>
      <w:tr w:rsidR="00553430" w14:paraId="2FA34BC0"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5BD3BCF4" w14:textId="77777777" w:rsidR="00553430" w:rsidRDefault="00212577">
            <w:pPr>
              <w:pStyle w:val="P68B1DB1-Normal102"/>
              <w:spacing w:after="0" w:line="240" w:lineRule="auto"/>
              <w:jc w:val="center"/>
              <w:textAlignment w:val="baseline"/>
              <w:rPr>
                <w:noProof/>
              </w:rPr>
            </w:pPr>
            <w:r>
              <w:rPr>
                <w:noProof/>
              </w:rPr>
              <w:t>91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504C52A" w14:textId="77777777" w:rsidR="00553430" w:rsidRDefault="00212577">
            <w:pPr>
              <w:pStyle w:val="P68B1DB1-Normal102"/>
              <w:spacing w:after="0" w:line="240" w:lineRule="auto"/>
              <w:jc w:val="center"/>
              <w:textAlignment w:val="baseline"/>
              <w:rPr>
                <w:noProof/>
              </w:rPr>
            </w:pPr>
            <w:r>
              <w:rPr>
                <w:noProof/>
              </w:rPr>
              <w:t>C1.4.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30CC503"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BEEB505" w14:textId="77777777" w:rsidR="00553430" w:rsidRDefault="00212577">
            <w:pPr>
              <w:pStyle w:val="P68B1DB1-Normal102"/>
              <w:spacing w:after="0" w:line="240" w:lineRule="auto"/>
              <w:textAlignment w:val="baseline"/>
              <w:rPr>
                <w:noProof/>
              </w:rPr>
            </w:pPr>
            <w:r>
              <w:rPr>
                <w:noProof/>
              </w:rPr>
              <w:t xml:space="preserve">Les modifications apportées à la Loi sur les routes </w:t>
            </w:r>
          </w:p>
        </w:tc>
      </w:tr>
      <w:tr w:rsidR="00553430" w14:paraId="5FBE866F"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269DC172" w14:textId="77777777" w:rsidR="00553430" w:rsidRDefault="00212577">
            <w:pPr>
              <w:pStyle w:val="P68B1DB1-Normal102"/>
              <w:spacing w:after="0" w:line="240" w:lineRule="auto"/>
              <w:jc w:val="center"/>
              <w:textAlignment w:val="baseline"/>
              <w:rPr>
                <w:noProof/>
              </w:rPr>
            </w:pPr>
            <w:r>
              <w:rPr>
                <w:noProof/>
              </w:rPr>
              <w:t>92</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D12EAD7" w14:textId="77777777" w:rsidR="00553430" w:rsidRDefault="00212577">
            <w:pPr>
              <w:pStyle w:val="P68B1DB1-Normal102"/>
              <w:spacing w:after="0" w:line="240" w:lineRule="auto"/>
              <w:jc w:val="center"/>
              <w:textAlignment w:val="baseline"/>
              <w:rPr>
                <w:noProof/>
              </w:rPr>
            </w:pPr>
            <w:r>
              <w:rPr>
                <w:noProof/>
              </w:rPr>
              <w:t>C1.4.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29C7E4F7"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74A7ADAC" w14:textId="77777777" w:rsidR="00553430" w:rsidRDefault="00212577">
            <w:pPr>
              <w:pStyle w:val="P68B1DB1-Normal102"/>
              <w:spacing w:after="0" w:line="240" w:lineRule="auto"/>
              <w:textAlignment w:val="baseline"/>
              <w:rPr>
                <w:noProof/>
              </w:rPr>
            </w:pPr>
            <w:r>
              <w:rPr>
                <w:noProof/>
              </w:rPr>
              <w:t xml:space="preserve">Programme </w:t>
            </w:r>
            <w:r>
              <w:rPr>
                <w:noProof/>
              </w:rPr>
              <w:t>national de sécurité routière 2021-2030</w:t>
            </w:r>
          </w:p>
        </w:tc>
      </w:tr>
      <w:tr w:rsidR="00553430" w14:paraId="765EA635"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2B384058" w14:textId="77777777" w:rsidR="00553430" w:rsidRDefault="00212577">
            <w:pPr>
              <w:pStyle w:val="P68B1DB1-Normal102"/>
              <w:spacing w:after="0" w:line="240" w:lineRule="auto"/>
              <w:jc w:val="center"/>
              <w:textAlignment w:val="baseline"/>
              <w:rPr>
                <w:noProof/>
              </w:rPr>
            </w:pPr>
            <w:r>
              <w:rPr>
                <w:noProof/>
              </w:rPr>
              <w:t>98</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80938A7" w14:textId="77777777" w:rsidR="00553430" w:rsidRDefault="00212577">
            <w:pPr>
              <w:pStyle w:val="P68B1DB1-Normal102"/>
              <w:spacing w:after="0" w:line="240" w:lineRule="auto"/>
              <w:jc w:val="center"/>
              <w:textAlignment w:val="baseline"/>
              <w:rPr>
                <w:noProof/>
              </w:rPr>
            </w:pPr>
            <w:r>
              <w:rPr>
                <w:noProof/>
              </w:rPr>
              <w:t>C1.4.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4CF197E"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8119A71" w14:textId="77777777" w:rsidR="00553430" w:rsidRDefault="00212577">
            <w:pPr>
              <w:pStyle w:val="P68B1DB1-Normal102"/>
              <w:spacing w:after="0" w:line="240" w:lineRule="auto"/>
              <w:textAlignment w:val="baseline"/>
              <w:rPr>
                <w:noProof/>
              </w:rPr>
            </w:pPr>
            <w:r>
              <w:rPr>
                <w:noProof/>
              </w:rPr>
              <w:t xml:space="preserve">Adoption de la lettre de politique sectorielle </w:t>
            </w:r>
          </w:p>
        </w:tc>
      </w:tr>
      <w:tr w:rsidR="00553430" w14:paraId="679EE84F"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281B3232" w14:textId="77777777" w:rsidR="00553430" w:rsidRDefault="00212577">
            <w:pPr>
              <w:pStyle w:val="P68B1DB1-Normal102"/>
              <w:spacing w:after="0" w:line="240" w:lineRule="auto"/>
              <w:jc w:val="center"/>
              <w:textAlignment w:val="baseline"/>
              <w:rPr>
                <w:noProof/>
              </w:rPr>
            </w:pPr>
            <w:r>
              <w:rPr>
                <w:noProof/>
              </w:rPr>
              <w:t>109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36617438" w14:textId="77777777" w:rsidR="00553430" w:rsidRDefault="00212577">
            <w:pPr>
              <w:pStyle w:val="P68B1DB1-Normal102"/>
              <w:spacing w:after="0" w:line="240" w:lineRule="auto"/>
              <w:jc w:val="center"/>
              <w:textAlignment w:val="baseline"/>
              <w:rPr>
                <w:noProof/>
              </w:rPr>
            </w:pPr>
            <w:r>
              <w:rPr>
                <w:noProof/>
              </w:rPr>
              <w:t>C1.4. R3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53B449D5"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68140C7" w14:textId="77777777" w:rsidR="00553430" w:rsidRDefault="00212577">
            <w:pPr>
              <w:pStyle w:val="P68B1DB1-Normal102"/>
              <w:spacing w:after="0" w:line="240" w:lineRule="auto"/>
              <w:textAlignment w:val="baseline"/>
              <w:rPr>
                <w:noProof/>
              </w:rPr>
            </w:pPr>
            <w:r>
              <w:rPr>
                <w:noProof/>
              </w:rPr>
              <w:t xml:space="preserve">La nouvelle loi sur le trafic côtier régulier et saisonnier </w:t>
            </w:r>
          </w:p>
        </w:tc>
      </w:tr>
      <w:tr w:rsidR="00553430" w14:paraId="35A23441"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56430C9E" w14:textId="77777777" w:rsidR="00553430" w:rsidRDefault="00212577">
            <w:pPr>
              <w:pStyle w:val="P68B1DB1-Normal102"/>
              <w:spacing w:after="0" w:line="240" w:lineRule="auto"/>
              <w:jc w:val="center"/>
              <w:textAlignment w:val="baseline"/>
              <w:rPr>
                <w:noProof/>
              </w:rPr>
            </w:pPr>
            <w:r>
              <w:rPr>
                <w:noProof/>
              </w:rPr>
              <w:t>110</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547F525" w14:textId="77777777" w:rsidR="00553430" w:rsidRDefault="00212577">
            <w:pPr>
              <w:pStyle w:val="P68B1DB1-Normal102"/>
              <w:spacing w:after="0" w:line="240" w:lineRule="auto"/>
              <w:jc w:val="center"/>
              <w:textAlignment w:val="baseline"/>
              <w:rPr>
                <w:noProof/>
              </w:rPr>
            </w:pPr>
            <w:r>
              <w:rPr>
                <w:noProof/>
              </w:rPr>
              <w:t>C1.4. R3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14946DED"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D49DCA4" w14:textId="77777777" w:rsidR="00553430" w:rsidRDefault="00212577">
            <w:pPr>
              <w:pStyle w:val="P68B1DB1-Normal102"/>
              <w:spacing w:after="0" w:line="240" w:lineRule="auto"/>
              <w:textAlignment w:val="baseline"/>
              <w:rPr>
                <w:noProof/>
              </w:rPr>
            </w:pPr>
            <w:r>
              <w:rPr>
                <w:noProof/>
              </w:rPr>
              <w:t>La nouvelle loi sur la navigation intérieure et les ports</w:t>
            </w:r>
          </w:p>
        </w:tc>
      </w:tr>
      <w:tr w:rsidR="00553430" w14:paraId="69EBAF77"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2ABB6FB1" w14:textId="77777777" w:rsidR="00553430" w:rsidRDefault="00212577">
            <w:pPr>
              <w:pStyle w:val="P68B1DB1-Normal102"/>
              <w:spacing w:after="0" w:line="240" w:lineRule="auto"/>
              <w:jc w:val="center"/>
              <w:textAlignment w:val="baseline"/>
              <w:rPr>
                <w:noProof/>
              </w:rPr>
            </w:pPr>
            <w:r>
              <w:rPr>
                <w:noProof/>
              </w:rPr>
              <w:t>126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3B8971D" w14:textId="77777777" w:rsidR="00553430" w:rsidRDefault="00212577">
            <w:pPr>
              <w:pStyle w:val="P68B1DB1-Normal102"/>
              <w:spacing w:after="0" w:line="240" w:lineRule="auto"/>
              <w:jc w:val="center"/>
              <w:textAlignment w:val="baseline"/>
              <w:rPr>
                <w:noProof/>
              </w:rPr>
            </w:pPr>
            <w:r>
              <w:rPr>
                <w:noProof/>
              </w:rPr>
              <w:t>C1.5.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B8A2E1F"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F181508" w14:textId="77777777" w:rsidR="00553430" w:rsidRDefault="00212577">
            <w:pPr>
              <w:pStyle w:val="P68B1DB1-Normal102"/>
              <w:spacing w:after="0" w:line="240" w:lineRule="auto"/>
              <w:textAlignment w:val="baseline"/>
              <w:rPr>
                <w:noProof/>
              </w:rPr>
            </w:pPr>
            <w:r>
              <w:rPr>
                <w:noProof/>
              </w:rPr>
              <w:t>Programme opérationnel visant à renforcer la capacité de marché du secteur des fruits et légumes pour la période 2021-2026</w:t>
            </w:r>
          </w:p>
        </w:tc>
      </w:tr>
      <w:tr w:rsidR="00553430" w14:paraId="182615D4"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11B76716" w14:textId="77777777" w:rsidR="00553430" w:rsidRDefault="00212577">
            <w:pPr>
              <w:pStyle w:val="P68B1DB1-Normal102"/>
              <w:spacing w:after="0" w:line="240" w:lineRule="auto"/>
              <w:jc w:val="center"/>
              <w:textAlignment w:val="baseline"/>
              <w:rPr>
                <w:noProof/>
              </w:rPr>
            </w:pPr>
            <w:r>
              <w:rPr>
                <w:noProof/>
              </w:rPr>
              <w:t>134</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43FA7E53" w14:textId="77777777" w:rsidR="00553430" w:rsidRDefault="00212577">
            <w:pPr>
              <w:pStyle w:val="P68B1DB1-Normal102"/>
              <w:spacing w:after="0" w:line="240" w:lineRule="auto"/>
              <w:jc w:val="center"/>
              <w:textAlignment w:val="baseline"/>
              <w:rPr>
                <w:noProof/>
              </w:rPr>
            </w:pPr>
            <w:r>
              <w:rPr>
                <w:noProof/>
              </w:rPr>
              <w:t>C1.5. R3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BCD0CFE"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04785A1F" w14:textId="77777777" w:rsidR="00553430" w:rsidRDefault="00212577">
            <w:pPr>
              <w:pStyle w:val="P68B1DB1-Normal102"/>
              <w:spacing w:after="0" w:line="240" w:lineRule="auto"/>
              <w:textAlignment w:val="baseline"/>
              <w:rPr>
                <w:noProof/>
              </w:rPr>
            </w:pPr>
            <w:r>
              <w:rPr>
                <w:noProof/>
              </w:rPr>
              <w:t xml:space="preserve">Création d’une unité de mise en œuvre et de gestion des projets de transformation numérique au sein du ministère de l’agriculture </w:t>
            </w:r>
          </w:p>
        </w:tc>
      </w:tr>
      <w:tr w:rsidR="00553430" w14:paraId="4873BB90"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08203332" w14:textId="77777777" w:rsidR="00553430" w:rsidRDefault="00212577">
            <w:pPr>
              <w:pStyle w:val="P68B1DB1-Normal102"/>
              <w:spacing w:after="0" w:line="240" w:lineRule="auto"/>
              <w:jc w:val="center"/>
              <w:textAlignment w:val="baseline"/>
              <w:rPr>
                <w:noProof/>
              </w:rPr>
            </w:pPr>
            <w:r>
              <w:rPr>
                <w:noProof/>
              </w:rPr>
              <w:t>140</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5658BC16" w14:textId="77777777" w:rsidR="00553430" w:rsidRDefault="00212577">
            <w:pPr>
              <w:pStyle w:val="P68B1DB1-Normal102"/>
              <w:spacing w:after="0" w:line="240" w:lineRule="auto"/>
              <w:jc w:val="center"/>
              <w:textAlignment w:val="baseline"/>
              <w:rPr>
                <w:noProof/>
              </w:rPr>
            </w:pPr>
            <w:r>
              <w:rPr>
                <w:noProof/>
              </w:rPr>
              <w:t>C1.6.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2534774E"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68D1A09C" w14:textId="77777777" w:rsidR="00553430" w:rsidRDefault="00212577">
            <w:pPr>
              <w:pStyle w:val="P68B1DB1-Normal102"/>
              <w:spacing w:after="0" w:line="240" w:lineRule="auto"/>
              <w:textAlignment w:val="baseline"/>
              <w:rPr>
                <w:noProof/>
              </w:rPr>
            </w:pPr>
            <w:r>
              <w:rPr>
                <w:noProof/>
              </w:rPr>
              <w:t xml:space="preserve">Analyse de scénarios dans le cadre du développement du tourisme durable </w:t>
            </w:r>
          </w:p>
          <w:p w14:paraId="4D0B6021" w14:textId="77777777" w:rsidR="00553430" w:rsidRDefault="00212577">
            <w:pPr>
              <w:pStyle w:val="P68B1DB1-Normal102"/>
              <w:spacing w:after="0" w:line="240" w:lineRule="auto"/>
              <w:textAlignment w:val="baseline"/>
              <w:rPr>
                <w:noProof/>
              </w:rPr>
            </w:pPr>
            <w:r>
              <w:rPr>
                <w:noProof/>
              </w:rPr>
              <w:t>Stratégie pour 2030</w:t>
            </w:r>
          </w:p>
        </w:tc>
      </w:tr>
      <w:tr w:rsidR="00553430" w14:paraId="64A25A5D"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1AEF5A88" w14:textId="77777777" w:rsidR="00553430" w:rsidRDefault="00212577">
            <w:pPr>
              <w:pStyle w:val="P68B1DB1-Normal102"/>
              <w:spacing w:after="0" w:line="240" w:lineRule="auto"/>
              <w:jc w:val="center"/>
              <w:textAlignment w:val="baseline"/>
              <w:rPr>
                <w:noProof/>
              </w:rPr>
            </w:pPr>
            <w:r>
              <w:rPr>
                <w:noProof/>
              </w:rPr>
              <w:t>156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B70D75D" w14:textId="77777777" w:rsidR="00553430" w:rsidRDefault="00212577">
            <w:pPr>
              <w:pStyle w:val="P68B1DB1-Normal102"/>
              <w:spacing w:after="0" w:line="240" w:lineRule="auto"/>
              <w:jc w:val="center"/>
              <w:textAlignment w:val="baseline"/>
              <w:rPr>
                <w:noProof/>
              </w:rPr>
            </w:pPr>
            <w:r>
              <w:rPr>
                <w:noProof/>
              </w:rPr>
              <w:t>C2.1.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3030152"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05568E6B" w14:textId="77777777" w:rsidR="00553430" w:rsidRDefault="00212577">
            <w:pPr>
              <w:pStyle w:val="P68B1DB1-Normal102"/>
              <w:spacing w:after="0" w:line="240" w:lineRule="auto"/>
              <w:textAlignment w:val="baseline"/>
              <w:rPr>
                <w:noProof/>
              </w:rPr>
            </w:pPr>
            <w:r>
              <w:rPr>
                <w:noProof/>
              </w:rPr>
              <w:t>Modification des statuts de l’ARPA pour redéfinir son mandat</w:t>
            </w:r>
          </w:p>
        </w:tc>
      </w:tr>
      <w:tr w:rsidR="00553430" w14:paraId="105A6443"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4371842B" w14:textId="77777777" w:rsidR="00553430" w:rsidRDefault="00212577">
            <w:pPr>
              <w:pStyle w:val="P68B1DB1-Normal102"/>
              <w:spacing w:after="0" w:line="240" w:lineRule="auto"/>
              <w:jc w:val="center"/>
              <w:textAlignment w:val="baseline"/>
              <w:rPr>
                <w:noProof/>
              </w:rPr>
            </w:pPr>
            <w:r>
              <w:rPr>
                <w:noProof/>
              </w:rPr>
              <w:t>157</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4E82C0D" w14:textId="77777777" w:rsidR="00553430" w:rsidRDefault="00212577">
            <w:pPr>
              <w:pStyle w:val="P68B1DB1-Normal102"/>
              <w:spacing w:after="0" w:line="240" w:lineRule="auto"/>
              <w:jc w:val="center"/>
              <w:textAlignment w:val="baseline"/>
              <w:rPr>
                <w:noProof/>
              </w:rPr>
            </w:pPr>
            <w:r>
              <w:rPr>
                <w:noProof/>
              </w:rPr>
              <w:t>C2.1.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9EEE50A"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2CD55CEB" w14:textId="77777777" w:rsidR="00553430" w:rsidRDefault="00212577">
            <w:pPr>
              <w:pStyle w:val="P68B1DB1-Normal102"/>
              <w:spacing w:after="0" w:line="240" w:lineRule="auto"/>
              <w:textAlignment w:val="baseline"/>
              <w:rPr>
                <w:noProof/>
              </w:rPr>
            </w:pPr>
            <w:r>
              <w:rPr>
                <w:noProof/>
              </w:rPr>
              <w:t>Mise en place du système de mise en œuvre, d’audit et de contrôle du PRR</w:t>
            </w:r>
          </w:p>
        </w:tc>
      </w:tr>
      <w:tr w:rsidR="00553430" w14:paraId="18C49728"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6C51D5A" w14:textId="77777777" w:rsidR="00553430" w:rsidRDefault="00212577">
            <w:pPr>
              <w:pStyle w:val="P68B1DB1-Normal102"/>
              <w:spacing w:after="0" w:line="240" w:lineRule="auto"/>
              <w:jc w:val="center"/>
              <w:textAlignment w:val="baseline"/>
              <w:rPr>
                <w:noProof/>
              </w:rPr>
            </w:pPr>
            <w:r>
              <w:rPr>
                <w:noProof/>
              </w:rPr>
              <w:t>158</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303FCAF" w14:textId="77777777" w:rsidR="00553430" w:rsidRDefault="00212577">
            <w:pPr>
              <w:pStyle w:val="P68B1DB1-Normal102"/>
              <w:spacing w:after="0" w:line="240" w:lineRule="auto"/>
              <w:jc w:val="center"/>
              <w:textAlignment w:val="baseline"/>
              <w:rPr>
                <w:noProof/>
              </w:rPr>
            </w:pPr>
            <w:r>
              <w:rPr>
                <w:noProof/>
              </w:rPr>
              <w:t>C2.1.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B018A22"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51D1BEA" w14:textId="77777777" w:rsidR="00553430" w:rsidRDefault="00212577">
            <w:pPr>
              <w:pStyle w:val="P68B1DB1-Normal102"/>
              <w:spacing w:after="0" w:line="240" w:lineRule="auto"/>
              <w:textAlignment w:val="baseline"/>
              <w:rPr>
                <w:noProof/>
              </w:rPr>
            </w:pPr>
            <w:r>
              <w:rPr>
                <w:noProof/>
              </w:rPr>
              <w:t>Adoption de la loi sur le cadre institutionnel des fonds de l'UE</w:t>
            </w:r>
          </w:p>
        </w:tc>
      </w:tr>
      <w:tr w:rsidR="00553430" w14:paraId="3D853D17"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48E7A762" w14:textId="77777777" w:rsidR="00553430" w:rsidRDefault="00212577">
            <w:pPr>
              <w:pStyle w:val="P68B1DB1-Normal102"/>
              <w:spacing w:after="0" w:line="240" w:lineRule="auto"/>
              <w:jc w:val="center"/>
              <w:textAlignment w:val="baseline"/>
              <w:rPr>
                <w:noProof/>
              </w:rPr>
            </w:pPr>
            <w:r>
              <w:rPr>
                <w:noProof/>
              </w:rPr>
              <w:t>159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A0D29DF" w14:textId="77777777" w:rsidR="00553430" w:rsidRDefault="00212577">
            <w:pPr>
              <w:pStyle w:val="P68B1DB1-Normal102"/>
              <w:spacing w:after="0" w:line="240" w:lineRule="auto"/>
              <w:jc w:val="center"/>
              <w:textAlignment w:val="baseline"/>
              <w:rPr>
                <w:noProof/>
              </w:rPr>
            </w:pPr>
            <w:r>
              <w:rPr>
                <w:noProof/>
              </w:rPr>
              <w:t>C2.1.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60C56F5"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0270D418" w14:textId="77777777" w:rsidR="00553430" w:rsidRDefault="00212577">
            <w:pPr>
              <w:pStyle w:val="P68B1DB1-Normal102"/>
              <w:spacing w:after="0" w:line="240" w:lineRule="auto"/>
              <w:textAlignment w:val="baseline"/>
              <w:rPr>
                <w:noProof/>
              </w:rPr>
            </w:pPr>
            <w:r>
              <w:rPr>
                <w:noProof/>
              </w:rPr>
              <w:t xml:space="preserve">Évaluation de la capacité administrative </w:t>
            </w:r>
          </w:p>
        </w:tc>
      </w:tr>
      <w:tr w:rsidR="00553430" w14:paraId="434F7467"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3B8560D1" w14:textId="77777777" w:rsidR="00553430" w:rsidRDefault="00212577">
            <w:pPr>
              <w:pStyle w:val="P68B1DB1-Normal102"/>
              <w:spacing w:after="0" w:line="240" w:lineRule="auto"/>
              <w:jc w:val="center"/>
              <w:textAlignment w:val="baseline"/>
              <w:rPr>
                <w:noProof/>
              </w:rPr>
            </w:pPr>
            <w:r>
              <w:rPr>
                <w:noProof/>
              </w:rPr>
              <w:t>207</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6E00B05" w14:textId="77777777" w:rsidR="00553430" w:rsidRDefault="00212577">
            <w:pPr>
              <w:pStyle w:val="P68B1DB1-Normal102"/>
              <w:spacing w:after="0" w:line="240" w:lineRule="auto"/>
              <w:jc w:val="center"/>
              <w:textAlignment w:val="baseline"/>
              <w:rPr>
                <w:noProof/>
              </w:rPr>
            </w:pPr>
            <w:r>
              <w:rPr>
                <w:noProof/>
              </w:rPr>
              <w:t>C2.4.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5C13712B"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70E95ADB" w14:textId="77777777" w:rsidR="00553430" w:rsidRDefault="00212577">
            <w:pPr>
              <w:pStyle w:val="P68B1DB1-Normal102"/>
              <w:spacing w:after="0" w:line="240" w:lineRule="auto"/>
              <w:textAlignment w:val="baseline"/>
              <w:rPr>
                <w:noProof/>
              </w:rPr>
            </w:pPr>
            <w:r>
              <w:rPr>
                <w:noProof/>
              </w:rPr>
              <w:t xml:space="preserve">Adoption d'une nouvelle décision du gouvernement croate sur les entreprises d'État présentant un intérêt particulier pour la Croatie </w:t>
            </w:r>
          </w:p>
        </w:tc>
      </w:tr>
      <w:tr w:rsidR="00553430" w14:paraId="37A43F73"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5A315C2C" w14:textId="77777777" w:rsidR="00553430" w:rsidRDefault="00212577">
            <w:pPr>
              <w:pStyle w:val="P68B1DB1-Normal102"/>
              <w:spacing w:after="0" w:line="240" w:lineRule="auto"/>
              <w:jc w:val="center"/>
              <w:textAlignment w:val="baseline"/>
              <w:rPr>
                <w:noProof/>
              </w:rPr>
            </w:pPr>
            <w:r>
              <w:rPr>
                <w:noProof/>
              </w:rPr>
              <w:t>231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32A9EC23" w14:textId="77777777" w:rsidR="00553430" w:rsidRDefault="00212577">
            <w:pPr>
              <w:pStyle w:val="P68B1DB1-Normal102"/>
              <w:spacing w:after="0" w:line="240" w:lineRule="auto"/>
              <w:jc w:val="center"/>
              <w:textAlignment w:val="baseline"/>
              <w:rPr>
                <w:noProof/>
              </w:rPr>
            </w:pPr>
            <w:r>
              <w:rPr>
                <w:noProof/>
              </w:rPr>
              <w:t>C2.6.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3BD4C0A0"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6BEE7FA8" w14:textId="77777777" w:rsidR="00553430" w:rsidRDefault="00212577">
            <w:pPr>
              <w:pStyle w:val="P68B1DB1-Normal102"/>
              <w:spacing w:after="0" w:line="240" w:lineRule="auto"/>
              <w:textAlignment w:val="baseline"/>
              <w:rPr>
                <w:noProof/>
              </w:rPr>
            </w:pPr>
            <w:r>
              <w:rPr>
                <w:noProof/>
              </w:rPr>
              <w:t xml:space="preserve">Adoption d’une nouvelle stratégie de lutte </w:t>
            </w:r>
            <w:r>
              <w:rPr>
                <w:noProof/>
              </w:rPr>
              <w:t>contre la corruption pour la période 2021-2030</w:t>
            </w:r>
          </w:p>
        </w:tc>
      </w:tr>
      <w:tr w:rsidR="00553430" w14:paraId="7D5498E0"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3322FC84" w14:textId="77777777" w:rsidR="00553430" w:rsidRDefault="00212577">
            <w:pPr>
              <w:pStyle w:val="P68B1DB1-Normal102"/>
              <w:spacing w:after="0" w:line="240" w:lineRule="auto"/>
              <w:jc w:val="center"/>
              <w:textAlignment w:val="baseline"/>
              <w:rPr>
                <w:noProof/>
              </w:rPr>
            </w:pPr>
            <w:r>
              <w:rPr>
                <w:noProof/>
              </w:rPr>
              <w:t>232</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03E1058" w14:textId="77777777" w:rsidR="00553430" w:rsidRDefault="00212577">
            <w:pPr>
              <w:pStyle w:val="P68B1DB1-Normal102"/>
              <w:spacing w:after="0" w:line="240" w:lineRule="auto"/>
              <w:jc w:val="center"/>
              <w:textAlignment w:val="baseline"/>
              <w:rPr>
                <w:noProof/>
              </w:rPr>
            </w:pPr>
            <w:r>
              <w:rPr>
                <w:noProof/>
              </w:rPr>
              <w:t>C2.6.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805E93E"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25D1D13B" w14:textId="77777777" w:rsidR="00553430" w:rsidRDefault="00212577">
            <w:pPr>
              <w:pStyle w:val="P68B1DB1-Normal102"/>
              <w:spacing w:after="0" w:line="240" w:lineRule="auto"/>
              <w:textAlignment w:val="baseline"/>
              <w:rPr>
                <w:noProof/>
              </w:rPr>
            </w:pPr>
            <w:r>
              <w:rPr>
                <w:noProof/>
              </w:rPr>
              <w:t xml:space="preserve">Adoption de la nouvelle loi sur la prévention des conflits d'intérêts </w:t>
            </w:r>
          </w:p>
        </w:tc>
      </w:tr>
      <w:tr w:rsidR="00553430" w14:paraId="0C57B2F4"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3179BE6A" w14:textId="77777777" w:rsidR="00553430" w:rsidRDefault="00212577">
            <w:pPr>
              <w:pStyle w:val="P68B1DB1-Normal102"/>
              <w:spacing w:after="0" w:line="240" w:lineRule="auto"/>
              <w:jc w:val="center"/>
              <w:textAlignment w:val="baseline"/>
              <w:rPr>
                <w:noProof/>
              </w:rPr>
            </w:pPr>
            <w:r>
              <w:rPr>
                <w:noProof/>
              </w:rPr>
              <w:t>247</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68AB7DC" w14:textId="77777777" w:rsidR="00553430" w:rsidRDefault="00212577">
            <w:pPr>
              <w:pStyle w:val="P68B1DB1-Normal102"/>
              <w:spacing w:after="0" w:line="240" w:lineRule="auto"/>
              <w:jc w:val="center"/>
              <w:textAlignment w:val="baseline"/>
              <w:rPr>
                <w:noProof/>
              </w:rPr>
            </w:pPr>
            <w:r>
              <w:rPr>
                <w:noProof/>
              </w:rPr>
              <w:t>C2.7.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32BC341C"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7927F10F" w14:textId="77777777" w:rsidR="00553430" w:rsidRDefault="00212577">
            <w:pPr>
              <w:pStyle w:val="P68B1DB1-Normal102"/>
              <w:spacing w:after="0" w:line="240" w:lineRule="auto"/>
              <w:textAlignment w:val="baseline"/>
              <w:rPr>
                <w:noProof/>
              </w:rPr>
            </w:pPr>
            <w:r>
              <w:rPr>
                <w:noProof/>
              </w:rPr>
              <w:t>Renforcer le cadre financier en modifiant la Loi budgétaire afin d'améliorer les processus budgétaires</w:t>
            </w:r>
          </w:p>
        </w:tc>
      </w:tr>
      <w:tr w:rsidR="00553430" w14:paraId="446D6AB3"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1B7900B3" w14:textId="77777777" w:rsidR="00553430" w:rsidRDefault="00212577">
            <w:pPr>
              <w:pStyle w:val="P68B1DB1-Normal102"/>
              <w:spacing w:after="0" w:line="240" w:lineRule="auto"/>
              <w:jc w:val="center"/>
              <w:textAlignment w:val="baseline"/>
              <w:rPr>
                <w:noProof/>
              </w:rPr>
            </w:pPr>
            <w:r>
              <w:rPr>
                <w:noProof/>
              </w:rPr>
              <w:t>248</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C1CA680" w14:textId="77777777" w:rsidR="00553430" w:rsidRDefault="00212577">
            <w:pPr>
              <w:pStyle w:val="P68B1DB1-Normal102"/>
              <w:spacing w:after="0" w:line="240" w:lineRule="auto"/>
              <w:jc w:val="center"/>
              <w:textAlignment w:val="baseline"/>
              <w:rPr>
                <w:noProof/>
              </w:rPr>
            </w:pPr>
            <w:r>
              <w:rPr>
                <w:noProof/>
              </w:rPr>
              <w:t>C2.7.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22C3D50"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36390479" w14:textId="77777777" w:rsidR="00553430" w:rsidRDefault="00212577">
            <w:pPr>
              <w:pStyle w:val="P68B1DB1-Normal102"/>
              <w:spacing w:after="0" w:line="240" w:lineRule="auto"/>
              <w:textAlignment w:val="baseline"/>
              <w:rPr>
                <w:noProof/>
              </w:rPr>
            </w:pPr>
            <w:r>
              <w:rPr>
                <w:noProof/>
              </w:rPr>
              <w:t>Assurer la pleine fonctionnalité de la commission de la politique budgétaire.</w:t>
            </w:r>
          </w:p>
        </w:tc>
      </w:tr>
      <w:tr w:rsidR="00553430" w14:paraId="22447F3B"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34A33F94" w14:textId="77777777" w:rsidR="00553430" w:rsidRDefault="00212577">
            <w:pPr>
              <w:pStyle w:val="P68B1DB1-Normal102"/>
              <w:spacing w:after="0" w:line="240" w:lineRule="auto"/>
              <w:jc w:val="center"/>
              <w:textAlignment w:val="baseline"/>
              <w:rPr>
                <w:noProof/>
              </w:rPr>
            </w:pPr>
            <w:r>
              <w:rPr>
                <w:noProof/>
              </w:rPr>
              <w:t>250</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5CACF7A" w14:textId="77777777" w:rsidR="00553430" w:rsidRDefault="00212577">
            <w:pPr>
              <w:pStyle w:val="P68B1DB1-Normal102"/>
              <w:spacing w:after="0" w:line="240" w:lineRule="auto"/>
              <w:jc w:val="center"/>
              <w:textAlignment w:val="baseline"/>
              <w:rPr>
                <w:noProof/>
              </w:rPr>
            </w:pPr>
            <w:r>
              <w:rPr>
                <w:noProof/>
              </w:rPr>
              <w:t>C2.8.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0867CCD"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26E7327" w14:textId="77777777" w:rsidR="00553430" w:rsidRDefault="00212577">
            <w:pPr>
              <w:pStyle w:val="P68B1DB1-Normal102"/>
              <w:spacing w:after="0" w:line="240" w:lineRule="auto"/>
              <w:textAlignment w:val="baseline"/>
              <w:rPr>
                <w:noProof/>
              </w:rPr>
            </w:pPr>
            <w:r>
              <w:rPr>
                <w:noProof/>
              </w:rPr>
              <w:t>Sensibilisation de toutes les parties responsables grâce à une formation régulière</w:t>
            </w:r>
          </w:p>
        </w:tc>
      </w:tr>
      <w:tr w:rsidR="00553430" w14:paraId="1041DC8D"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38D1B421" w14:textId="77777777" w:rsidR="00553430" w:rsidRDefault="00212577">
            <w:pPr>
              <w:pStyle w:val="P68B1DB1-Normal102"/>
              <w:spacing w:after="0" w:line="240" w:lineRule="auto"/>
              <w:jc w:val="center"/>
              <w:textAlignment w:val="baseline"/>
              <w:rPr>
                <w:noProof/>
              </w:rPr>
            </w:pPr>
            <w:r>
              <w:rPr>
                <w:noProof/>
              </w:rPr>
              <w:t>251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5FF82A95" w14:textId="77777777" w:rsidR="00553430" w:rsidRDefault="00212577">
            <w:pPr>
              <w:pStyle w:val="P68B1DB1-Normal102"/>
              <w:spacing w:after="0" w:line="240" w:lineRule="auto"/>
              <w:jc w:val="center"/>
              <w:textAlignment w:val="baseline"/>
              <w:rPr>
                <w:noProof/>
              </w:rPr>
            </w:pPr>
            <w:r>
              <w:rPr>
                <w:noProof/>
              </w:rPr>
              <w:t>C2.8.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E8672BD"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6ECA9FC" w14:textId="77777777" w:rsidR="00553430" w:rsidRDefault="00212577">
            <w:pPr>
              <w:pStyle w:val="P68B1DB1-Normal102"/>
              <w:spacing w:after="0" w:line="240" w:lineRule="auto"/>
              <w:textAlignment w:val="baseline"/>
              <w:rPr>
                <w:noProof/>
              </w:rPr>
            </w:pPr>
            <w:r>
              <w:rPr>
                <w:noProof/>
              </w:rPr>
              <w:t xml:space="preserve">Poursuite de la coopération entre l’Office de lutte contre le blanchiment de capitaux et les autorités de contrôle </w:t>
            </w:r>
          </w:p>
        </w:tc>
      </w:tr>
      <w:tr w:rsidR="00553430" w14:paraId="54C8E2E7"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49B6C2F2" w14:textId="77777777" w:rsidR="00553430" w:rsidRDefault="00212577">
            <w:pPr>
              <w:pStyle w:val="P68B1DB1-Normal102"/>
              <w:spacing w:after="0" w:line="240" w:lineRule="auto"/>
              <w:jc w:val="center"/>
              <w:textAlignment w:val="baseline"/>
              <w:rPr>
                <w:noProof/>
              </w:rPr>
            </w:pPr>
            <w:r>
              <w:rPr>
                <w:noProof/>
              </w:rPr>
              <w:t>253</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361A0D3" w14:textId="77777777" w:rsidR="00553430" w:rsidRDefault="00212577">
            <w:pPr>
              <w:pStyle w:val="P68B1DB1-Normal102"/>
              <w:spacing w:after="0" w:line="240" w:lineRule="auto"/>
              <w:jc w:val="center"/>
              <w:textAlignment w:val="baseline"/>
              <w:rPr>
                <w:noProof/>
              </w:rPr>
            </w:pPr>
            <w:r>
              <w:rPr>
                <w:noProof/>
              </w:rPr>
              <w:t>C2.8. R3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53636923"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27C53D2E" w14:textId="77777777" w:rsidR="00553430" w:rsidRDefault="00212577">
            <w:pPr>
              <w:pStyle w:val="P68B1DB1-Normal102"/>
              <w:spacing w:after="0" w:line="240" w:lineRule="auto"/>
              <w:textAlignment w:val="baseline"/>
              <w:rPr>
                <w:noProof/>
              </w:rPr>
            </w:pPr>
            <w:r>
              <w:rPr>
                <w:noProof/>
              </w:rPr>
              <w:t>Achever la mise en œuvre du nouveau plan d'action visant à atténuer les risques identifiés de blanchiment d'argent et de fin</w:t>
            </w:r>
            <w:r>
              <w:rPr>
                <w:noProof/>
              </w:rPr>
              <w:t>ancement du terrorisme sur la base d'une évaluation nationale des risques mise à jour.</w:t>
            </w:r>
          </w:p>
        </w:tc>
      </w:tr>
      <w:tr w:rsidR="00553430" w14:paraId="0B77AA58"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39B5A5EA" w14:textId="77777777" w:rsidR="00553430" w:rsidRDefault="00212577">
            <w:pPr>
              <w:pStyle w:val="P68B1DB1-Normal102"/>
              <w:spacing w:after="0" w:line="240" w:lineRule="auto"/>
              <w:jc w:val="center"/>
              <w:textAlignment w:val="baseline"/>
              <w:rPr>
                <w:noProof/>
              </w:rPr>
            </w:pPr>
            <w:r>
              <w:rPr>
                <w:noProof/>
              </w:rPr>
              <w:t>265</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8AACE5D" w14:textId="77777777" w:rsidR="00553430" w:rsidRDefault="00212577">
            <w:pPr>
              <w:pStyle w:val="P68B1DB1-Normal102"/>
              <w:spacing w:after="0" w:line="240" w:lineRule="auto"/>
              <w:jc w:val="center"/>
              <w:textAlignment w:val="baseline"/>
              <w:rPr>
                <w:noProof/>
              </w:rPr>
            </w:pPr>
            <w:r>
              <w:rPr>
                <w:noProof/>
              </w:rPr>
              <w:t>C3.1.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1BBB7CC9"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02AEEAF0" w14:textId="77777777" w:rsidR="00553430" w:rsidRDefault="00212577">
            <w:pPr>
              <w:pStyle w:val="P68B1DB1-Normal102"/>
              <w:spacing w:after="0" w:line="240" w:lineRule="auto"/>
              <w:textAlignment w:val="baseline"/>
              <w:rPr>
                <w:noProof/>
              </w:rPr>
            </w:pPr>
            <w:r>
              <w:rPr>
                <w:noProof/>
              </w:rPr>
              <w:t xml:space="preserve">Adoption du cadre juridique révisé en matière d'éducation et de formation des adultes </w:t>
            </w:r>
          </w:p>
        </w:tc>
      </w:tr>
      <w:tr w:rsidR="00553430" w14:paraId="433B6C71"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08CEAB72" w14:textId="77777777" w:rsidR="00553430" w:rsidRDefault="00212577">
            <w:pPr>
              <w:pStyle w:val="P68B1DB1-Normal102"/>
              <w:spacing w:after="0" w:line="240" w:lineRule="auto"/>
              <w:jc w:val="center"/>
              <w:textAlignment w:val="baseline"/>
              <w:rPr>
                <w:noProof/>
              </w:rPr>
            </w:pPr>
            <w:r>
              <w:rPr>
                <w:noProof/>
              </w:rPr>
              <w:t>293</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B93E4BB" w14:textId="77777777" w:rsidR="00553430" w:rsidRDefault="00212577">
            <w:pPr>
              <w:pStyle w:val="P68B1DB1-Normal102"/>
              <w:spacing w:after="0" w:line="240" w:lineRule="auto"/>
              <w:jc w:val="center"/>
              <w:textAlignment w:val="baseline"/>
              <w:rPr>
                <w:noProof/>
              </w:rPr>
            </w:pPr>
            <w:r>
              <w:rPr>
                <w:noProof/>
              </w:rPr>
              <w:t>C4.1. R4</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3BAD0F2"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60EEC654" w14:textId="77777777" w:rsidR="00553430" w:rsidRDefault="00212577">
            <w:pPr>
              <w:pStyle w:val="P68B1DB1-Normal102"/>
              <w:spacing w:after="0" w:line="240" w:lineRule="auto"/>
              <w:textAlignment w:val="baseline"/>
              <w:rPr>
                <w:noProof/>
              </w:rPr>
            </w:pPr>
            <w:r>
              <w:rPr>
                <w:noProof/>
              </w:rPr>
              <w:t xml:space="preserve">Entrée en vigueur des amendements à la loi sur le </w:t>
            </w:r>
            <w:r>
              <w:rPr>
                <w:noProof/>
              </w:rPr>
              <w:t>salaire minimum</w:t>
            </w:r>
          </w:p>
        </w:tc>
      </w:tr>
      <w:tr w:rsidR="00553430" w14:paraId="1C9045BD"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59BC026A" w14:textId="77777777" w:rsidR="00553430" w:rsidRDefault="00212577">
            <w:pPr>
              <w:pStyle w:val="P68B1DB1-Normal102"/>
              <w:spacing w:after="0" w:line="240" w:lineRule="auto"/>
              <w:jc w:val="center"/>
              <w:textAlignment w:val="baseline"/>
              <w:rPr>
                <w:noProof/>
              </w:rPr>
            </w:pPr>
            <w:r>
              <w:rPr>
                <w:noProof/>
              </w:rPr>
              <w:t>302</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1CB594C5" w14:textId="77777777" w:rsidR="00553430" w:rsidRDefault="00212577">
            <w:pPr>
              <w:pStyle w:val="P68B1DB1-Normal102"/>
              <w:spacing w:after="0" w:line="240" w:lineRule="auto"/>
              <w:jc w:val="center"/>
              <w:textAlignment w:val="baseline"/>
              <w:rPr>
                <w:noProof/>
              </w:rPr>
            </w:pPr>
            <w:r>
              <w:rPr>
                <w:noProof/>
              </w:rPr>
              <w:t>C4.3.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D19117F"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5C11D5D" w14:textId="77777777" w:rsidR="00553430" w:rsidRDefault="00212577">
            <w:pPr>
              <w:pStyle w:val="P68B1DB1-Normal102"/>
              <w:spacing w:after="0" w:line="240" w:lineRule="auto"/>
              <w:textAlignment w:val="baseline"/>
              <w:rPr>
                <w:noProof/>
              </w:rPr>
            </w:pPr>
            <w:r>
              <w:rPr>
                <w:noProof/>
              </w:rPr>
              <w:t>Adoption du plan national de lutte contre la pauvreté et l’exclusion sociale 2021-2027</w:t>
            </w:r>
          </w:p>
        </w:tc>
      </w:tr>
      <w:tr w:rsidR="00553430" w14:paraId="6FB0FF38"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65D02C0A" w14:textId="77777777" w:rsidR="00553430" w:rsidRDefault="00212577">
            <w:pPr>
              <w:pStyle w:val="P68B1DB1-Normal102"/>
              <w:spacing w:after="0" w:line="240" w:lineRule="auto"/>
              <w:jc w:val="center"/>
              <w:textAlignment w:val="baseline"/>
              <w:rPr>
                <w:noProof/>
              </w:rPr>
            </w:pPr>
            <w:r>
              <w:rPr>
                <w:noProof/>
              </w:rPr>
              <w:t>312</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E36674D" w14:textId="77777777" w:rsidR="00553430" w:rsidRDefault="00212577">
            <w:pPr>
              <w:pStyle w:val="P68B1DB1-Normal102"/>
              <w:spacing w:after="0" w:line="240" w:lineRule="auto"/>
              <w:jc w:val="center"/>
              <w:textAlignment w:val="baseline"/>
              <w:rPr>
                <w:noProof/>
              </w:rPr>
            </w:pPr>
            <w:r>
              <w:rPr>
                <w:noProof/>
              </w:rPr>
              <w:t>C4.3. R3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825F5DA"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33556FDB" w14:textId="77777777" w:rsidR="00553430" w:rsidRDefault="00212577">
            <w:pPr>
              <w:pStyle w:val="P68B1DB1-Normal102"/>
              <w:spacing w:after="0" w:line="240" w:lineRule="auto"/>
              <w:textAlignment w:val="baseline"/>
              <w:rPr>
                <w:noProof/>
              </w:rPr>
            </w:pPr>
            <w:r>
              <w:rPr>
                <w:noProof/>
              </w:rPr>
              <w:t>Adoption du plan national pour le développement des services sociaux 2021-2027</w:t>
            </w:r>
          </w:p>
        </w:tc>
      </w:tr>
      <w:tr w:rsidR="00553430" w14:paraId="1C55FB80"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43BFF4D" w14:textId="77777777" w:rsidR="00553430" w:rsidRDefault="00212577">
            <w:pPr>
              <w:pStyle w:val="P68B1DB1-Normal102"/>
              <w:spacing w:after="0" w:line="240" w:lineRule="auto"/>
              <w:jc w:val="center"/>
              <w:textAlignment w:val="baseline"/>
              <w:rPr>
                <w:noProof/>
              </w:rPr>
            </w:pPr>
            <w:r>
              <w:rPr>
                <w:noProof/>
              </w:rPr>
              <w:t>333</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3CBE25D5" w14:textId="77777777" w:rsidR="00553430" w:rsidRDefault="00212577">
            <w:pPr>
              <w:pStyle w:val="P68B1DB1-Normal102"/>
              <w:spacing w:after="0" w:line="240" w:lineRule="auto"/>
              <w:jc w:val="center"/>
              <w:textAlignment w:val="baseline"/>
              <w:rPr>
                <w:noProof/>
              </w:rPr>
            </w:pPr>
            <w:r>
              <w:rPr>
                <w:noProof/>
              </w:rPr>
              <w:t>C5.1. R3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5BE35C4"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D2194CB" w14:textId="77777777" w:rsidR="00553430" w:rsidRDefault="00212577">
            <w:pPr>
              <w:pStyle w:val="P68B1DB1-Normal102"/>
              <w:spacing w:after="0" w:line="240" w:lineRule="auto"/>
              <w:textAlignment w:val="baseline"/>
              <w:rPr>
                <w:noProof/>
              </w:rPr>
            </w:pPr>
            <w:r>
              <w:rPr>
                <w:noProof/>
              </w:rPr>
              <w:t xml:space="preserve">Plan national de </w:t>
            </w:r>
            <w:r>
              <w:rPr>
                <w:noProof/>
              </w:rPr>
              <w:t>développement sanitaire 2021-2027</w:t>
            </w:r>
          </w:p>
        </w:tc>
      </w:tr>
      <w:tr w:rsidR="00553430" w14:paraId="36E7DA76"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299E297B" w14:textId="77777777" w:rsidR="00553430" w:rsidRDefault="00212577">
            <w:pPr>
              <w:pStyle w:val="P68B1DB1-Normal102"/>
              <w:spacing w:after="0" w:line="240" w:lineRule="auto"/>
              <w:jc w:val="center"/>
              <w:textAlignment w:val="baseline"/>
              <w:rPr>
                <w:noProof/>
              </w:rPr>
            </w:pPr>
            <w:r>
              <w:rPr>
                <w:noProof/>
              </w:rPr>
              <w:t>351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33AA0E34" w14:textId="77777777" w:rsidR="00553430" w:rsidRDefault="00212577">
            <w:pPr>
              <w:pStyle w:val="P68B1DB1-Normal102"/>
              <w:spacing w:after="0" w:line="240" w:lineRule="auto"/>
              <w:jc w:val="center"/>
              <w:textAlignment w:val="baseline"/>
              <w:rPr>
                <w:noProof/>
              </w:rPr>
            </w:pPr>
            <w:r>
              <w:rPr>
                <w:noProof/>
              </w:rPr>
              <w:t>C6.1.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1DEFB56A"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00F52CA" w14:textId="7188F944" w:rsidR="00553430" w:rsidRDefault="00212577">
            <w:pPr>
              <w:pStyle w:val="P68B1DB1-Normal102"/>
              <w:spacing w:after="0" w:line="240" w:lineRule="auto"/>
              <w:textAlignment w:val="baseline"/>
              <w:rPr>
                <w:noProof/>
              </w:rPr>
            </w:pPr>
            <w:r>
              <w:rPr>
                <w:noProof/>
              </w:rPr>
              <w:t>Adoption de programmes nationaux de rénovation énergétique pour i) les bâtiments à logements multiples, ii) les bâtiments ayant le statut de bien culturel (pour la période 2021-2030) et iii) la réduction de</w:t>
            </w:r>
            <w:r>
              <w:rPr>
                <w:noProof/>
              </w:rPr>
              <w:t xml:space="preserve"> la précarité énergétique dans les zones préoccupantes pour l’État (pour la période 2021-2025)</w:t>
            </w:r>
          </w:p>
        </w:tc>
      </w:tr>
      <w:tr w:rsidR="00553430" w14:paraId="43E58A25"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7B4BADA" w14:textId="77777777" w:rsidR="00553430" w:rsidRDefault="00212577">
            <w:pPr>
              <w:pStyle w:val="P68B1DB1-Normal102"/>
              <w:spacing w:after="0" w:line="240" w:lineRule="auto"/>
              <w:jc w:val="center"/>
              <w:textAlignment w:val="baseline"/>
              <w:rPr>
                <w:noProof/>
              </w:rPr>
            </w:pPr>
            <w:r>
              <w:rPr>
                <w:noProof/>
              </w:rPr>
              <w:t>362</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B71432A" w14:textId="77777777" w:rsidR="00553430" w:rsidRDefault="00212577">
            <w:pPr>
              <w:pStyle w:val="P68B1DB1-Normal102"/>
              <w:spacing w:after="0" w:line="240" w:lineRule="auto"/>
              <w:jc w:val="center"/>
              <w:textAlignment w:val="baseline"/>
              <w:rPr>
                <w:noProof/>
              </w:rPr>
            </w:pPr>
            <w:r>
              <w:rPr>
                <w:noProof/>
              </w:rPr>
              <w:t>C6.1. R3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32A99C4"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459E99E" w14:textId="77777777" w:rsidR="00553430" w:rsidRDefault="00212577">
            <w:pPr>
              <w:pStyle w:val="P68B1DB1-Normal102"/>
              <w:spacing w:after="0" w:line="240" w:lineRule="auto"/>
              <w:textAlignment w:val="baseline"/>
              <w:rPr>
                <w:noProof/>
              </w:rPr>
            </w:pPr>
            <w:r>
              <w:rPr>
                <w:noProof/>
              </w:rPr>
              <w:t xml:space="preserve">Un guichet unique physique pour la rénovation énergétique et les activités sismiques </w:t>
            </w:r>
          </w:p>
          <w:p w14:paraId="48641E27" w14:textId="77777777" w:rsidR="00553430" w:rsidRDefault="00212577">
            <w:pPr>
              <w:pStyle w:val="P68B1DB1-Normal102"/>
              <w:spacing w:after="0" w:line="240" w:lineRule="auto"/>
              <w:textAlignment w:val="baseline"/>
              <w:rPr>
                <w:noProof/>
              </w:rPr>
            </w:pPr>
            <w:r>
              <w:rPr>
                <w:noProof/>
              </w:rPr>
              <w:t>renforcement mis en place et opérationnel</w:t>
            </w:r>
          </w:p>
        </w:tc>
      </w:tr>
      <w:tr w:rsidR="00553430" w14:paraId="5600CD2A"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57F18E53" w14:textId="77777777" w:rsidR="00553430" w:rsidRDefault="00212577">
            <w:pPr>
              <w:pStyle w:val="P68B1DB1-Normal102"/>
              <w:spacing w:after="0" w:line="240" w:lineRule="auto"/>
              <w:jc w:val="center"/>
              <w:textAlignment w:val="baseline"/>
              <w:rPr>
                <w:noProof/>
              </w:rPr>
            </w:pPr>
            <w:r>
              <w:rPr>
                <w:noProof/>
              </w:rPr>
              <w:t>368</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8EDDAAB" w14:textId="77777777" w:rsidR="00553430" w:rsidRDefault="00212577">
            <w:pPr>
              <w:pStyle w:val="P68B1DB1-Normal102"/>
              <w:spacing w:after="0" w:line="240" w:lineRule="auto"/>
              <w:jc w:val="center"/>
              <w:textAlignment w:val="baseline"/>
              <w:rPr>
                <w:noProof/>
              </w:rPr>
            </w:pPr>
            <w:r>
              <w:rPr>
                <w:noProof/>
              </w:rPr>
              <w:t>C6.1. R5</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7EACE22"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55F29311" w14:textId="77777777" w:rsidR="00553430" w:rsidRDefault="00212577">
            <w:pPr>
              <w:pStyle w:val="P68B1DB1-Normal102"/>
              <w:spacing w:after="0" w:line="240" w:lineRule="auto"/>
              <w:textAlignment w:val="baseline"/>
              <w:rPr>
                <w:noProof/>
              </w:rPr>
            </w:pPr>
            <w:r>
              <w:rPr>
                <w:noProof/>
              </w:rPr>
              <w:t>Adoption du programme de développement de la gestion circulaire de l’espace et des bâtiments pour la période 2021-2030 et du programme de développement des infrastructures vertes urbaines pour la période 2021-2030</w:t>
            </w:r>
          </w:p>
        </w:tc>
      </w:tr>
      <w:tr w:rsidR="00553430" w14:paraId="6E73A169"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7CBA3DD" w14:textId="77777777" w:rsidR="00553430" w:rsidRDefault="00553430">
            <w:pPr>
              <w:spacing w:after="0" w:line="240" w:lineRule="auto"/>
              <w:jc w:val="center"/>
              <w:textAlignment w:val="baseline"/>
              <w:rPr>
                <w:rFonts w:ascii="Times New Roman" w:hAnsi="Times New Roman" w:cs="Times New Roman"/>
                <w:noProof/>
                <w:color w:val="000000"/>
                <w:sz w:val="20"/>
                <w:szCs w:val="20"/>
              </w:rPr>
            </w:pPr>
          </w:p>
        </w:tc>
        <w:tc>
          <w:tcPr>
            <w:tcW w:w="1642" w:type="dxa"/>
            <w:tcBorders>
              <w:top w:val="single" w:sz="6" w:space="0" w:color="auto"/>
              <w:left w:val="nil"/>
              <w:bottom w:val="single" w:sz="6" w:space="0" w:color="auto"/>
              <w:right w:val="single" w:sz="6" w:space="0" w:color="auto"/>
            </w:tcBorders>
            <w:shd w:val="clear" w:color="auto" w:fill="C6EFCE"/>
            <w:vAlign w:val="center"/>
          </w:tcPr>
          <w:p w14:paraId="5A5A4CCB" w14:textId="77777777" w:rsidR="00553430" w:rsidRDefault="00553430">
            <w:pPr>
              <w:spacing w:after="0" w:line="240" w:lineRule="auto"/>
              <w:jc w:val="center"/>
              <w:textAlignment w:val="baseline"/>
              <w:rPr>
                <w:rFonts w:ascii="Times New Roman" w:hAnsi="Times New Roman" w:cs="Times New Roman"/>
                <w:noProof/>
                <w:color w:val="000000"/>
                <w:sz w:val="20"/>
                <w:szCs w:val="20"/>
              </w:rPr>
            </w:pPr>
          </w:p>
        </w:tc>
        <w:tc>
          <w:tcPr>
            <w:tcW w:w="1276" w:type="dxa"/>
            <w:tcBorders>
              <w:top w:val="single" w:sz="6" w:space="0" w:color="auto"/>
              <w:left w:val="nil"/>
              <w:bottom w:val="single" w:sz="6" w:space="0" w:color="auto"/>
              <w:right w:val="single" w:sz="6" w:space="0" w:color="auto"/>
            </w:tcBorders>
            <w:shd w:val="clear" w:color="auto" w:fill="C6EFCE"/>
            <w:vAlign w:val="center"/>
          </w:tcPr>
          <w:p w14:paraId="5540FD28" w14:textId="77777777" w:rsidR="00553430" w:rsidRDefault="00212577">
            <w:pPr>
              <w:pStyle w:val="P68B1DB1-Normal102"/>
              <w:spacing w:after="0" w:line="240" w:lineRule="auto"/>
              <w:jc w:val="center"/>
              <w:textAlignment w:val="baseline"/>
              <w:rPr>
                <w:noProof/>
              </w:rPr>
            </w:pPr>
            <w:r>
              <w:rPr>
                <w:noProof/>
              </w:rPr>
              <w:t>Montant des acomptes provisionnels</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393CD993" w14:textId="76F9D16E" w:rsidR="00553430" w:rsidRDefault="00212577">
            <w:pPr>
              <w:pStyle w:val="P68B1DB1-Normal102"/>
              <w:spacing w:after="0" w:line="240" w:lineRule="auto"/>
              <w:textAlignment w:val="baseline"/>
              <w:rPr>
                <w:noProof/>
              </w:rPr>
            </w:pPr>
            <w:r>
              <w:rPr>
                <w:noProof/>
              </w:rPr>
              <w:t xml:space="preserve">804 </w:t>
            </w:r>
            <w:r>
              <w:rPr>
                <w:noProof/>
              </w:rPr>
              <w:t>597 701 EUR</w:t>
            </w:r>
          </w:p>
        </w:tc>
      </w:tr>
    </w:tbl>
    <w:p w14:paraId="65041E25" w14:textId="77777777" w:rsidR="00553430" w:rsidRDefault="00553430">
      <w:pPr>
        <w:rPr>
          <w:noProof/>
        </w:rPr>
      </w:pPr>
    </w:p>
    <w:p w14:paraId="6A056BF2" w14:textId="77777777" w:rsidR="00553430" w:rsidRDefault="00212577">
      <w:pPr>
        <w:pStyle w:val="P68B1DB1-Normal134"/>
        <w:spacing w:after="0" w:line="240" w:lineRule="auto"/>
        <w:jc w:val="both"/>
        <w:textAlignment w:val="baseline"/>
        <w:rPr>
          <w:noProof/>
        </w:rPr>
      </w:pPr>
      <w:r>
        <w:rPr>
          <w:noProof/>
        </w:rPr>
        <w:t> </w:t>
      </w:r>
    </w:p>
    <w:p w14:paraId="6D0B2271" w14:textId="6D451C3C" w:rsidR="00553430" w:rsidRDefault="00212577">
      <w:pPr>
        <w:pStyle w:val="P68B1DB1-Normal125"/>
        <w:numPr>
          <w:ilvl w:val="0"/>
          <w:numId w:val="79"/>
        </w:numPr>
        <w:spacing w:line="240" w:lineRule="auto"/>
        <w:jc w:val="both"/>
        <w:textAlignment w:val="baseline"/>
        <w:rPr>
          <w:noProof/>
        </w:rPr>
      </w:pPr>
      <w:r>
        <w:rPr>
          <w:noProof/>
        </w:rPr>
        <w:t xml:space="preserve">Deuxième tranche (soutien non remboursable): </w:t>
      </w:r>
    </w:p>
    <w:tbl>
      <w:tblPr>
        <w:tblW w:w="9401"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5"/>
        <w:gridCol w:w="1642"/>
        <w:gridCol w:w="1276"/>
        <w:gridCol w:w="5388"/>
      </w:tblGrid>
      <w:tr w:rsidR="00553430" w14:paraId="728D75D2" w14:textId="77777777">
        <w:trPr>
          <w:trHeight w:val="1191"/>
          <w:tblHeader/>
        </w:trPr>
        <w:tc>
          <w:tcPr>
            <w:tcW w:w="1095" w:type="dxa"/>
            <w:tcBorders>
              <w:top w:val="single" w:sz="6" w:space="0" w:color="auto"/>
              <w:left w:val="single" w:sz="6" w:space="0" w:color="auto"/>
              <w:bottom w:val="single" w:sz="6" w:space="0" w:color="000000"/>
              <w:right w:val="single" w:sz="6" w:space="0" w:color="auto"/>
            </w:tcBorders>
            <w:shd w:val="clear" w:color="auto" w:fill="BDD7EE"/>
            <w:vAlign w:val="center"/>
            <w:hideMark/>
          </w:tcPr>
          <w:p w14:paraId="5F3528BC" w14:textId="77777777" w:rsidR="00553430" w:rsidRDefault="00212577">
            <w:pPr>
              <w:pStyle w:val="P68B1DB1-Normal76"/>
              <w:spacing w:after="0" w:line="240" w:lineRule="auto"/>
              <w:jc w:val="center"/>
              <w:textAlignment w:val="baseline"/>
              <w:rPr>
                <w:noProof/>
              </w:rPr>
            </w:pPr>
            <w:r>
              <w:rPr>
                <w:b/>
                <w:noProof/>
              </w:rPr>
              <w:t>Numéro séquentiel</w:t>
            </w:r>
            <w:r>
              <w:rPr>
                <w:noProof/>
              </w:rPr>
              <w:t> </w:t>
            </w:r>
          </w:p>
        </w:tc>
        <w:tc>
          <w:tcPr>
            <w:tcW w:w="1642" w:type="dxa"/>
            <w:tcBorders>
              <w:top w:val="single" w:sz="6" w:space="0" w:color="auto"/>
              <w:left w:val="single" w:sz="6" w:space="0" w:color="auto"/>
              <w:bottom w:val="single" w:sz="6" w:space="0" w:color="000000"/>
              <w:right w:val="single" w:sz="6" w:space="0" w:color="auto"/>
            </w:tcBorders>
            <w:shd w:val="clear" w:color="auto" w:fill="BDD7EE"/>
            <w:vAlign w:val="center"/>
            <w:hideMark/>
          </w:tcPr>
          <w:p w14:paraId="15688C7E" w14:textId="77777777" w:rsidR="00553430" w:rsidRDefault="00212577">
            <w:pPr>
              <w:pStyle w:val="P68B1DB1-Normal76"/>
              <w:spacing w:after="0" w:line="240" w:lineRule="auto"/>
              <w:jc w:val="center"/>
              <w:textAlignment w:val="baseline"/>
              <w:rPr>
                <w:noProof/>
              </w:rPr>
            </w:pPr>
            <w:r>
              <w:rPr>
                <w:b/>
                <w:noProof/>
              </w:rPr>
              <w:t>Mesure connexe (réforme ou investissement)</w:t>
            </w:r>
            <w:r>
              <w:rPr>
                <w:noProof/>
              </w:rPr>
              <w:t> </w:t>
            </w:r>
          </w:p>
        </w:tc>
        <w:tc>
          <w:tcPr>
            <w:tcW w:w="1276" w:type="dxa"/>
            <w:tcBorders>
              <w:top w:val="single" w:sz="6" w:space="0" w:color="auto"/>
              <w:left w:val="single" w:sz="6" w:space="0" w:color="auto"/>
              <w:bottom w:val="single" w:sz="6" w:space="0" w:color="000000"/>
              <w:right w:val="single" w:sz="4" w:space="0" w:color="auto"/>
            </w:tcBorders>
            <w:shd w:val="clear" w:color="auto" w:fill="BDD7EE"/>
            <w:vAlign w:val="center"/>
            <w:hideMark/>
          </w:tcPr>
          <w:p w14:paraId="66E2693B" w14:textId="77777777" w:rsidR="00553430" w:rsidRDefault="00212577">
            <w:pPr>
              <w:pStyle w:val="P68B1DB1-Normal76"/>
              <w:spacing w:after="0" w:line="240" w:lineRule="auto"/>
              <w:jc w:val="center"/>
              <w:textAlignment w:val="baseline"/>
              <w:rPr>
                <w:noProof/>
              </w:rPr>
            </w:pPr>
            <w:r>
              <w:rPr>
                <w:b/>
                <w:noProof/>
              </w:rPr>
              <w:t>Étape/cible</w:t>
            </w:r>
            <w:r>
              <w:rPr>
                <w:noProof/>
              </w:rPr>
              <w:t> </w:t>
            </w:r>
          </w:p>
        </w:tc>
        <w:tc>
          <w:tcPr>
            <w:tcW w:w="538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6EBE3C3" w14:textId="77777777" w:rsidR="00553430" w:rsidRDefault="00212577">
            <w:pPr>
              <w:pStyle w:val="P68B1DB1-Normal76"/>
              <w:spacing w:after="0" w:line="240" w:lineRule="auto"/>
              <w:jc w:val="center"/>
              <w:textAlignment w:val="baseline"/>
              <w:rPr>
                <w:noProof/>
              </w:rPr>
            </w:pPr>
            <w:r>
              <w:rPr>
                <w:b/>
                <w:noProof/>
              </w:rPr>
              <w:t>Nom</w:t>
            </w:r>
            <w:r>
              <w:rPr>
                <w:noProof/>
              </w:rPr>
              <w:t> </w:t>
            </w:r>
          </w:p>
        </w:tc>
      </w:tr>
      <w:tr w:rsidR="00553430" w14:paraId="2F354117" w14:textId="77777777">
        <w:trPr>
          <w:trHeight w:val="397"/>
        </w:trPr>
        <w:tc>
          <w:tcPr>
            <w:tcW w:w="1095" w:type="dxa"/>
            <w:tcBorders>
              <w:top w:val="nil"/>
              <w:left w:val="single" w:sz="6" w:space="0" w:color="auto"/>
              <w:bottom w:val="single" w:sz="6" w:space="0" w:color="auto"/>
              <w:right w:val="single" w:sz="6" w:space="0" w:color="auto"/>
            </w:tcBorders>
            <w:shd w:val="clear" w:color="auto" w:fill="C6EFCE"/>
            <w:vAlign w:val="center"/>
            <w:hideMark/>
          </w:tcPr>
          <w:p w14:paraId="37EDEC28" w14:textId="77777777" w:rsidR="00553430" w:rsidRDefault="00212577">
            <w:pPr>
              <w:pStyle w:val="P68B1DB1-Normal102"/>
              <w:spacing w:after="0" w:line="240" w:lineRule="auto"/>
              <w:jc w:val="center"/>
              <w:textAlignment w:val="baseline"/>
              <w:rPr>
                <w:rFonts w:eastAsia="Times New Roman"/>
                <w:noProof/>
              </w:rPr>
            </w:pPr>
            <w:r>
              <w:rPr>
                <w:noProof/>
              </w:rPr>
              <w:t>2</w:t>
            </w:r>
          </w:p>
        </w:tc>
        <w:tc>
          <w:tcPr>
            <w:tcW w:w="1642" w:type="dxa"/>
            <w:tcBorders>
              <w:top w:val="nil"/>
              <w:left w:val="nil"/>
              <w:bottom w:val="single" w:sz="6" w:space="0" w:color="auto"/>
              <w:right w:val="single" w:sz="6" w:space="0" w:color="auto"/>
            </w:tcBorders>
            <w:shd w:val="clear" w:color="auto" w:fill="C6EFCE"/>
            <w:vAlign w:val="center"/>
            <w:hideMark/>
          </w:tcPr>
          <w:p w14:paraId="3D897F8A" w14:textId="77777777" w:rsidR="00553430" w:rsidRDefault="00212577">
            <w:pPr>
              <w:pStyle w:val="P68B1DB1-Normal102"/>
              <w:spacing w:after="0" w:line="240" w:lineRule="auto"/>
              <w:jc w:val="center"/>
              <w:textAlignment w:val="baseline"/>
              <w:rPr>
                <w:rFonts w:eastAsia="Times New Roman"/>
                <w:noProof/>
              </w:rPr>
            </w:pPr>
            <w:r>
              <w:rPr>
                <w:noProof/>
              </w:rPr>
              <w:t>C1.1.1. R1-I1</w:t>
            </w:r>
          </w:p>
        </w:tc>
        <w:tc>
          <w:tcPr>
            <w:tcW w:w="1276" w:type="dxa"/>
            <w:tcBorders>
              <w:top w:val="nil"/>
              <w:left w:val="nil"/>
              <w:bottom w:val="single" w:sz="6" w:space="0" w:color="auto"/>
              <w:right w:val="single" w:sz="6" w:space="0" w:color="auto"/>
            </w:tcBorders>
            <w:shd w:val="clear" w:color="auto" w:fill="C6EFCE"/>
            <w:vAlign w:val="center"/>
            <w:hideMark/>
          </w:tcPr>
          <w:p w14:paraId="5EEEB622" w14:textId="77777777" w:rsidR="00553430" w:rsidRDefault="00212577">
            <w:pPr>
              <w:pStyle w:val="P68B1DB1-Normal102"/>
              <w:spacing w:after="0" w:line="240" w:lineRule="auto"/>
              <w:jc w:val="center"/>
              <w:textAlignment w:val="baseline"/>
              <w:rPr>
                <w:rFonts w:eastAsia="Times New Roman"/>
                <w:noProof/>
              </w:rPr>
            </w:pPr>
            <w:r>
              <w:rPr>
                <w:noProof/>
              </w:rPr>
              <w:t>M</w:t>
            </w:r>
          </w:p>
        </w:tc>
        <w:tc>
          <w:tcPr>
            <w:tcW w:w="5388" w:type="dxa"/>
            <w:tcBorders>
              <w:top w:val="single" w:sz="4" w:space="0" w:color="auto"/>
              <w:left w:val="nil"/>
              <w:bottom w:val="single" w:sz="6" w:space="0" w:color="auto"/>
              <w:right w:val="single" w:sz="6" w:space="0" w:color="auto"/>
            </w:tcBorders>
            <w:shd w:val="clear" w:color="auto" w:fill="C6EFCE"/>
            <w:vAlign w:val="center"/>
            <w:hideMark/>
          </w:tcPr>
          <w:p w14:paraId="06CE30DD" w14:textId="77777777" w:rsidR="00553430" w:rsidRDefault="00212577">
            <w:pPr>
              <w:pStyle w:val="P68B1DB1-Normal102"/>
              <w:spacing w:after="0" w:line="240" w:lineRule="auto"/>
              <w:textAlignment w:val="baseline"/>
              <w:rPr>
                <w:rFonts w:eastAsia="Times New Roman"/>
                <w:noProof/>
              </w:rPr>
            </w:pPr>
            <w:r>
              <w:rPr>
                <w:noProof/>
              </w:rPr>
              <w:t xml:space="preserve">Plateforme numérique opérationnelle pour payer les frais </w:t>
            </w:r>
          </w:p>
        </w:tc>
      </w:tr>
      <w:tr w:rsidR="00553430" w14:paraId="57E6B05F" w14:textId="77777777">
        <w:trPr>
          <w:trHeight w:val="633"/>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hideMark/>
          </w:tcPr>
          <w:p w14:paraId="290EC8AD" w14:textId="77777777" w:rsidR="00553430" w:rsidRDefault="00212577">
            <w:pPr>
              <w:pStyle w:val="P68B1DB1-Normal102"/>
              <w:spacing w:after="0" w:line="240" w:lineRule="auto"/>
              <w:jc w:val="center"/>
              <w:textAlignment w:val="baseline"/>
              <w:rPr>
                <w:rFonts w:eastAsia="Times New Roman"/>
                <w:noProof/>
              </w:rPr>
            </w:pPr>
            <w:r>
              <w:rPr>
                <w:noProof/>
              </w:rPr>
              <w:t>6</w:t>
            </w:r>
          </w:p>
        </w:tc>
        <w:tc>
          <w:tcPr>
            <w:tcW w:w="1642" w:type="dxa"/>
            <w:tcBorders>
              <w:top w:val="single" w:sz="6" w:space="0" w:color="auto"/>
              <w:left w:val="nil"/>
              <w:bottom w:val="single" w:sz="6" w:space="0" w:color="auto"/>
              <w:right w:val="single" w:sz="6" w:space="0" w:color="auto"/>
            </w:tcBorders>
            <w:shd w:val="clear" w:color="auto" w:fill="C6EFCE"/>
            <w:vAlign w:val="center"/>
            <w:hideMark/>
          </w:tcPr>
          <w:p w14:paraId="37356CF7" w14:textId="77777777" w:rsidR="00553430" w:rsidRDefault="00212577">
            <w:pPr>
              <w:pStyle w:val="P68B1DB1-Normal102"/>
              <w:spacing w:after="0" w:line="240" w:lineRule="auto"/>
              <w:jc w:val="center"/>
              <w:textAlignment w:val="baseline"/>
              <w:rPr>
                <w:rFonts w:eastAsia="Times New Roman"/>
                <w:noProof/>
              </w:rPr>
            </w:pPr>
            <w:r>
              <w:rPr>
                <w:noProof/>
              </w:rPr>
              <w:t>C1.1.1. R1-I2</w:t>
            </w:r>
          </w:p>
        </w:tc>
        <w:tc>
          <w:tcPr>
            <w:tcW w:w="1276" w:type="dxa"/>
            <w:tcBorders>
              <w:top w:val="single" w:sz="6" w:space="0" w:color="auto"/>
              <w:left w:val="nil"/>
              <w:bottom w:val="single" w:sz="6" w:space="0" w:color="auto"/>
              <w:right w:val="single" w:sz="6" w:space="0" w:color="auto"/>
            </w:tcBorders>
            <w:shd w:val="clear" w:color="auto" w:fill="C6EFCE"/>
            <w:vAlign w:val="center"/>
            <w:hideMark/>
          </w:tcPr>
          <w:p w14:paraId="17A20A96" w14:textId="77777777" w:rsidR="00553430" w:rsidRDefault="00212577">
            <w:pPr>
              <w:pStyle w:val="P68B1DB1-Normal102"/>
              <w:spacing w:after="0" w:line="240" w:lineRule="auto"/>
              <w:jc w:val="center"/>
              <w:textAlignment w:val="baseline"/>
              <w:rPr>
                <w:rFonts w:eastAsia="Times New Roman"/>
                <w:noProof/>
              </w:rPr>
            </w:pPr>
            <w:r>
              <w:rPr>
                <w:noProof/>
              </w:rPr>
              <w:t>T</w:t>
            </w:r>
          </w:p>
        </w:tc>
        <w:tc>
          <w:tcPr>
            <w:tcW w:w="5388" w:type="dxa"/>
            <w:tcBorders>
              <w:top w:val="single" w:sz="6" w:space="0" w:color="auto"/>
              <w:left w:val="nil"/>
              <w:bottom w:val="single" w:sz="6" w:space="0" w:color="auto"/>
              <w:right w:val="single" w:sz="6" w:space="0" w:color="auto"/>
            </w:tcBorders>
            <w:shd w:val="clear" w:color="auto" w:fill="C6EFCE"/>
            <w:vAlign w:val="center"/>
            <w:hideMark/>
          </w:tcPr>
          <w:p w14:paraId="3E7CE194" w14:textId="77777777" w:rsidR="00553430" w:rsidRDefault="00212577">
            <w:pPr>
              <w:pStyle w:val="P68B1DB1-Normal102"/>
              <w:spacing w:after="0" w:line="240" w:lineRule="auto"/>
              <w:textAlignment w:val="baseline"/>
              <w:rPr>
                <w:rFonts w:eastAsia="Times New Roman"/>
                <w:noProof/>
              </w:rPr>
            </w:pPr>
            <w:r>
              <w:rPr>
                <w:noProof/>
              </w:rPr>
              <w:t xml:space="preserve">Mise en œuvre du </w:t>
            </w:r>
            <w:r>
              <w:rPr>
                <w:noProof/>
              </w:rPr>
              <w:t>plan d’action pour la réduction des taxes non fiscales et parafiscales 2020</w:t>
            </w:r>
          </w:p>
        </w:tc>
      </w:tr>
      <w:tr w:rsidR="00553430" w14:paraId="56E13BC3" w14:textId="77777777">
        <w:trPr>
          <w:trHeight w:val="1208"/>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480922E6" w14:textId="77777777" w:rsidR="00553430" w:rsidRDefault="00212577">
            <w:pPr>
              <w:pStyle w:val="P68B1DB1-Normal102"/>
              <w:spacing w:after="0" w:line="240" w:lineRule="auto"/>
              <w:jc w:val="center"/>
              <w:textAlignment w:val="baseline"/>
              <w:rPr>
                <w:noProof/>
              </w:rPr>
            </w:pPr>
            <w:r>
              <w:rPr>
                <w:noProof/>
              </w:rPr>
              <w:t>14</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18CAB19" w14:textId="77777777" w:rsidR="00553430" w:rsidRDefault="00212577">
            <w:pPr>
              <w:pStyle w:val="P68B1DB1-Normal102"/>
              <w:spacing w:after="0" w:line="240" w:lineRule="auto"/>
              <w:jc w:val="center"/>
              <w:textAlignment w:val="baseline"/>
              <w:rPr>
                <w:noProof/>
              </w:rPr>
            </w:pPr>
            <w:r>
              <w:rPr>
                <w:noProof/>
              </w:rPr>
              <w:t>C1.1.1. R4-I1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2C8C93E2"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2812089D" w14:textId="77777777" w:rsidR="00553430" w:rsidRDefault="00212577">
            <w:pPr>
              <w:pStyle w:val="P68B1DB1-Normal102"/>
              <w:spacing w:after="0" w:line="240" w:lineRule="auto"/>
              <w:textAlignment w:val="baseline"/>
              <w:rPr>
                <w:noProof/>
              </w:rPr>
            </w:pPr>
            <w:r>
              <w:rPr>
                <w:noProof/>
              </w:rPr>
              <w:t xml:space="preserve">Publication d’appels à financement pour des investissements ciblant des activités respectueuses de l’environnement avec des critères d’éligibilité établis pour </w:t>
            </w:r>
            <w:r>
              <w:rPr>
                <w:noProof/>
              </w:rPr>
              <w:t>les demandeurs et les projets (y compris les critères de conformité au principe consistant à «ne pas causer de préjudice important»)</w:t>
            </w:r>
          </w:p>
        </w:tc>
      </w:tr>
      <w:tr w:rsidR="00553430" w14:paraId="27C92FC1"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19BE81AE" w14:textId="77777777" w:rsidR="00553430" w:rsidRDefault="00212577">
            <w:pPr>
              <w:pStyle w:val="P68B1DB1-Normal102"/>
              <w:spacing w:after="0" w:line="240" w:lineRule="auto"/>
              <w:jc w:val="center"/>
              <w:textAlignment w:val="baseline"/>
              <w:rPr>
                <w:noProof/>
              </w:rPr>
            </w:pPr>
            <w:r>
              <w:rPr>
                <w:noProof/>
              </w:rPr>
              <w:t>16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3C81C1E2" w14:textId="77777777" w:rsidR="00553430" w:rsidRDefault="00212577">
            <w:pPr>
              <w:pStyle w:val="P68B1DB1-Normal102"/>
              <w:spacing w:after="0" w:line="240" w:lineRule="auto"/>
              <w:jc w:val="center"/>
              <w:textAlignment w:val="baseline"/>
              <w:rPr>
                <w:noProof/>
              </w:rPr>
            </w:pPr>
            <w:r>
              <w:rPr>
                <w:noProof/>
              </w:rPr>
              <w:t>C1.1.1. R4-I2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58F7D47D"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369FB400" w14:textId="77777777" w:rsidR="00553430" w:rsidRDefault="00212577">
            <w:pPr>
              <w:pStyle w:val="P68B1DB1-Normal102"/>
              <w:spacing w:after="0" w:line="240" w:lineRule="auto"/>
              <w:textAlignment w:val="baseline"/>
              <w:rPr>
                <w:noProof/>
              </w:rPr>
            </w:pPr>
            <w:r>
              <w:rPr>
                <w:noProof/>
              </w:rPr>
              <w:t xml:space="preserve">Mise en place d'un instrument financier pour soutenir les investissements des micro, petites et </w:t>
            </w:r>
            <w:r>
              <w:rPr>
                <w:noProof/>
              </w:rPr>
              <w:t>moyennes entreprises</w:t>
            </w:r>
          </w:p>
        </w:tc>
      </w:tr>
      <w:tr w:rsidR="00553430" w14:paraId="5E636EE9" w14:textId="77777777">
        <w:trPr>
          <w:trHeight w:val="615"/>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6C39CB17" w14:textId="77777777" w:rsidR="00553430" w:rsidRDefault="00212577">
            <w:pPr>
              <w:pStyle w:val="P68B1DB1-Normal102"/>
              <w:spacing w:after="0" w:line="240" w:lineRule="auto"/>
              <w:jc w:val="center"/>
              <w:textAlignment w:val="baseline"/>
              <w:rPr>
                <w:noProof/>
              </w:rPr>
            </w:pPr>
            <w:r>
              <w:rPr>
                <w:noProof/>
              </w:rPr>
              <w:t>19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031123E" w14:textId="77777777" w:rsidR="00553430" w:rsidRDefault="00212577">
            <w:pPr>
              <w:pStyle w:val="P68B1DB1-Normal102"/>
              <w:spacing w:after="0" w:line="240" w:lineRule="auto"/>
              <w:jc w:val="center"/>
              <w:textAlignment w:val="baseline"/>
              <w:rPr>
                <w:noProof/>
              </w:rPr>
            </w:pPr>
            <w:r>
              <w:rPr>
                <w:noProof/>
              </w:rPr>
              <w:t>C1.1.1. R4-I3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59582C0"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03C602BB" w14:textId="77777777" w:rsidR="00553430" w:rsidRDefault="00212577">
            <w:pPr>
              <w:pStyle w:val="P68B1DB1-Normal102"/>
              <w:spacing w:after="0" w:line="240" w:lineRule="auto"/>
              <w:textAlignment w:val="baseline"/>
              <w:rPr>
                <w:noProof/>
              </w:rPr>
            </w:pPr>
            <w:r>
              <w:rPr>
                <w:noProof/>
              </w:rPr>
              <w:t>Mise en place d'un instrument financier pour soutenir les investissements des entreprises à moyenne capitalisation et des grandes entreprises</w:t>
            </w:r>
          </w:p>
        </w:tc>
      </w:tr>
      <w:tr w:rsidR="00553430" w14:paraId="6A953AD3" w14:textId="77777777">
        <w:trPr>
          <w:trHeight w:val="695"/>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27A2DC94" w14:textId="77777777" w:rsidR="00553430" w:rsidRDefault="00212577">
            <w:pPr>
              <w:pStyle w:val="P68B1DB1-Normal102"/>
              <w:spacing w:after="0" w:line="240" w:lineRule="auto"/>
              <w:jc w:val="center"/>
              <w:textAlignment w:val="baseline"/>
              <w:rPr>
                <w:noProof/>
              </w:rPr>
            </w:pPr>
            <w:r>
              <w:rPr>
                <w:noProof/>
              </w:rPr>
              <w:t>21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DF4DDE0" w14:textId="77777777" w:rsidR="00553430" w:rsidRDefault="00212577">
            <w:pPr>
              <w:pStyle w:val="P68B1DB1-Normal102"/>
              <w:spacing w:after="0" w:line="240" w:lineRule="auto"/>
              <w:jc w:val="center"/>
              <w:textAlignment w:val="baseline"/>
              <w:rPr>
                <w:noProof/>
              </w:rPr>
            </w:pPr>
            <w:r>
              <w:rPr>
                <w:noProof/>
              </w:rPr>
              <w:t>C1.1.1. R4-I4</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25F0B87D"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EE24C48" w14:textId="6973C1EA" w:rsidR="00553430" w:rsidRDefault="00212577">
            <w:pPr>
              <w:pStyle w:val="P68B1DB1-Normal102"/>
              <w:spacing w:after="0" w:line="240" w:lineRule="auto"/>
              <w:textAlignment w:val="baseline"/>
              <w:rPr>
                <w:noProof/>
              </w:rPr>
            </w:pPr>
            <w:r>
              <w:rPr>
                <w:noProof/>
              </w:rPr>
              <w:t xml:space="preserve">Mise en place d'un instrument financier pour un </w:t>
            </w:r>
            <w:r>
              <w:rPr>
                <w:noProof/>
              </w:rPr>
              <w:t>financement plus favorable des entités publiques</w:t>
            </w:r>
          </w:p>
        </w:tc>
      </w:tr>
      <w:tr w:rsidR="00553430" w14:paraId="5F496F88"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9FE943B" w14:textId="77777777" w:rsidR="00553430" w:rsidRDefault="00212577">
            <w:pPr>
              <w:pStyle w:val="P68B1DB1-Normal102"/>
              <w:spacing w:after="0" w:line="240" w:lineRule="auto"/>
              <w:jc w:val="center"/>
              <w:textAlignment w:val="baseline"/>
              <w:rPr>
                <w:noProof/>
              </w:rPr>
            </w:pPr>
            <w:r>
              <w:rPr>
                <w:noProof/>
              </w:rPr>
              <w:t>25</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368984A2" w14:textId="77777777" w:rsidR="00553430" w:rsidRDefault="00212577">
            <w:pPr>
              <w:pStyle w:val="P68B1DB1-Normal102"/>
              <w:spacing w:after="0" w:line="240" w:lineRule="auto"/>
              <w:jc w:val="center"/>
              <w:textAlignment w:val="baseline"/>
              <w:rPr>
                <w:noProof/>
              </w:rPr>
            </w:pPr>
            <w:r>
              <w:rPr>
                <w:noProof/>
              </w:rPr>
              <w:t>C1.1.1. R6</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54B21597"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EF31A6C" w14:textId="77777777" w:rsidR="00553430" w:rsidRDefault="00212577">
            <w:pPr>
              <w:pStyle w:val="P68B1DB1-Normal102"/>
              <w:spacing w:after="0" w:line="240" w:lineRule="auto"/>
              <w:textAlignment w:val="baseline"/>
              <w:rPr>
                <w:noProof/>
              </w:rPr>
            </w:pPr>
            <w:r>
              <w:rPr>
                <w:noProof/>
              </w:rPr>
              <w:t>Modifications du cadre juridique</w:t>
            </w:r>
          </w:p>
        </w:tc>
      </w:tr>
      <w:tr w:rsidR="00553430" w14:paraId="772A9A13" w14:textId="77777777">
        <w:trPr>
          <w:trHeight w:val="1278"/>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1F48AD7E" w14:textId="77777777" w:rsidR="00553430" w:rsidRDefault="00212577">
            <w:pPr>
              <w:pStyle w:val="P68B1DB1-Normal102"/>
              <w:spacing w:after="0" w:line="240" w:lineRule="auto"/>
              <w:jc w:val="center"/>
              <w:textAlignment w:val="baseline"/>
              <w:rPr>
                <w:noProof/>
              </w:rPr>
            </w:pPr>
            <w:r>
              <w:rPr>
                <w:noProof/>
              </w:rPr>
              <w:t>36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423482A1" w14:textId="77777777" w:rsidR="00553430" w:rsidRDefault="00212577">
            <w:pPr>
              <w:pStyle w:val="P68B1DB1-Normal102"/>
              <w:spacing w:after="0" w:line="240" w:lineRule="auto"/>
              <w:jc w:val="center"/>
              <w:textAlignment w:val="baseline"/>
              <w:rPr>
                <w:noProof/>
              </w:rPr>
            </w:pPr>
            <w:r>
              <w:rPr>
                <w:noProof/>
              </w:rPr>
              <w:t>C1.2.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3843BBE"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32F4DF63" w14:textId="77777777" w:rsidR="00553430" w:rsidRDefault="00212577">
            <w:pPr>
              <w:pStyle w:val="P68B1DB1-Normal102"/>
              <w:spacing w:after="0" w:line="240" w:lineRule="auto"/>
              <w:textAlignment w:val="baseline"/>
              <w:rPr>
                <w:noProof/>
              </w:rPr>
            </w:pPr>
            <w:r>
              <w:rPr>
                <w:noProof/>
              </w:rPr>
              <w:t xml:space="preserve">Publication d’un document d’évaluation contenant des recommandations visant à réduire les obstacles et les procédures administratives </w:t>
            </w:r>
            <w:r>
              <w:rPr>
                <w:noProof/>
              </w:rPr>
              <w:t>entravant une utilisation accrue des sources d’énergie renouvelables</w:t>
            </w:r>
          </w:p>
        </w:tc>
      </w:tr>
      <w:tr w:rsidR="00553430" w14:paraId="0D648698" w14:textId="77777777">
        <w:trPr>
          <w:trHeight w:val="403"/>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3865C530" w14:textId="77777777" w:rsidR="00553430" w:rsidRDefault="00212577">
            <w:pPr>
              <w:pStyle w:val="P68B1DB1-Normal102"/>
              <w:spacing w:after="0" w:line="240" w:lineRule="auto"/>
              <w:jc w:val="center"/>
              <w:textAlignment w:val="baseline"/>
              <w:rPr>
                <w:noProof/>
              </w:rPr>
            </w:pPr>
            <w:r>
              <w:rPr>
                <w:noProof/>
              </w:rPr>
              <w:t>50</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334A86B3" w14:textId="77777777" w:rsidR="00553430" w:rsidRDefault="00212577">
            <w:pPr>
              <w:pStyle w:val="P68B1DB1-Normal102"/>
              <w:spacing w:after="0" w:line="240" w:lineRule="auto"/>
              <w:jc w:val="center"/>
              <w:textAlignment w:val="baseline"/>
              <w:rPr>
                <w:noProof/>
              </w:rPr>
            </w:pPr>
            <w:r>
              <w:rPr>
                <w:noProof/>
              </w:rPr>
              <w:t>C1.2. R1-I3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D1E46B6"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D8B8B1D" w14:textId="77777777" w:rsidR="00553430" w:rsidRDefault="00212577">
            <w:pPr>
              <w:pStyle w:val="P68B1DB1-Normal102"/>
              <w:spacing w:after="0" w:line="240" w:lineRule="auto"/>
              <w:textAlignment w:val="baseline"/>
              <w:rPr>
                <w:noProof/>
              </w:rPr>
            </w:pPr>
            <w:r>
              <w:rPr>
                <w:noProof/>
              </w:rPr>
              <w:t>Adoption de la stratégie de développement de l'hydrogène</w:t>
            </w:r>
          </w:p>
        </w:tc>
      </w:tr>
      <w:tr w:rsidR="00553430" w14:paraId="29024F2D"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648C2B64" w14:textId="77777777" w:rsidR="00553430" w:rsidRDefault="00212577">
            <w:pPr>
              <w:pStyle w:val="P68B1DB1-Normal102"/>
              <w:spacing w:after="0" w:line="240" w:lineRule="auto"/>
              <w:jc w:val="center"/>
              <w:textAlignment w:val="baseline"/>
              <w:rPr>
                <w:noProof/>
              </w:rPr>
            </w:pPr>
            <w:r>
              <w:rPr>
                <w:noProof/>
              </w:rPr>
              <w:t>63</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06981AD" w14:textId="77777777" w:rsidR="00553430" w:rsidRDefault="00212577">
            <w:pPr>
              <w:pStyle w:val="P68B1DB1-Normal102"/>
              <w:spacing w:after="0" w:line="240" w:lineRule="auto"/>
              <w:jc w:val="center"/>
              <w:textAlignment w:val="baseline"/>
              <w:rPr>
                <w:noProof/>
              </w:rPr>
            </w:pPr>
            <w:r>
              <w:rPr>
                <w:noProof/>
              </w:rPr>
              <w:t>C1.3. R1-I1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1AA0CEB3" w14:textId="77777777" w:rsidR="00553430" w:rsidRDefault="00212577">
            <w:pPr>
              <w:pStyle w:val="P68B1DB1-Normal102"/>
              <w:spacing w:after="0" w:line="240" w:lineRule="auto"/>
              <w:jc w:val="center"/>
              <w:textAlignment w:val="baseline"/>
              <w:rPr>
                <w:noProof/>
              </w:rPr>
            </w:pPr>
            <w:r>
              <w:rPr>
                <w:noProof/>
              </w:rPr>
              <w:t>T</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26265E74" w14:textId="77777777" w:rsidR="00553430" w:rsidRDefault="00212577">
            <w:pPr>
              <w:pStyle w:val="P68B1DB1-Normal102"/>
              <w:spacing w:after="0" w:line="240" w:lineRule="auto"/>
              <w:textAlignment w:val="baseline"/>
              <w:rPr>
                <w:noProof/>
              </w:rPr>
            </w:pPr>
            <w:r>
              <w:rPr>
                <w:noProof/>
              </w:rPr>
              <w:t xml:space="preserve">Réseau d'assainissement public construit ou reconstruit </w:t>
            </w:r>
          </w:p>
        </w:tc>
      </w:tr>
      <w:tr w:rsidR="00553430" w14:paraId="6BDB64DB"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58A42C51" w14:textId="77777777" w:rsidR="00553430" w:rsidRDefault="00212577">
            <w:pPr>
              <w:pStyle w:val="P68B1DB1-Normal102"/>
              <w:spacing w:after="0" w:line="240" w:lineRule="auto"/>
              <w:jc w:val="center"/>
              <w:textAlignment w:val="baseline"/>
              <w:rPr>
                <w:noProof/>
              </w:rPr>
            </w:pPr>
            <w:r>
              <w:rPr>
                <w:noProof/>
              </w:rPr>
              <w:t>68</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D44F765" w14:textId="77777777" w:rsidR="00553430" w:rsidRDefault="00212577">
            <w:pPr>
              <w:pStyle w:val="P68B1DB1-Normal102"/>
              <w:spacing w:after="0" w:line="240" w:lineRule="auto"/>
              <w:jc w:val="center"/>
              <w:textAlignment w:val="baseline"/>
              <w:rPr>
                <w:noProof/>
              </w:rPr>
            </w:pPr>
            <w:r>
              <w:rPr>
                <w:noProof/>
              </w:rPr>
              <w:t>C1.3. R1-I2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9D39A9C" w14:textId="77777777" w:rsidR="00553430" w:rsidRDefault="00212577">
            <w:pPr>
              <w:pStyle w:val="P68B1DB1-Normal102"/>
              <w:spacing w:after="0" w:line="240" w:lineRule="auto"/>
              <w:jc w:val="center"/>
              <w:textAlignment w:val="baseline"/>
              <w:rPr>
                <w:noProof/>
              </w:rPr>
            </w:pPr>
            <w:r>
              <w:rPr>
                <w:noProof/>
              </w:rPr>
              <w:t>T</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55DF1FFF" w14:textId="77777777" w:rsidR="00553430" w:rsidRDefault="00212577">
            <w:pPr>
              <w:pStyle w:val="P68B1DB1-Normal102"/>
              <w:spacing w:after="0" w:line="240" w:lineRule="auto"/>
              <w:textAlignment w:val="baseline"/>
              <w:rPr>
                <w:noProof/>
              </w:rPr>
            </w:pPr>
            <w:r>
              <w:rPr>
                <w:noProof/>
              </w:rPr>
              <w:t xml:space="preserve">Construction ou reconstruction d'un réseau public d'approvisionnement en eau </w:t>
            </w:r>
          </w:p>
        </w:tc>
      </w:tr>
      <w:tr w:rsidR="00553430" w14:paraId="22E717A7"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5AB922FD" w14:textId="77777777" w:rsidR="00553430" w:rsidRDefault="00212577">
            <w:pPr>
              <w:pStyle w:val="P68B1DB1-Normal102"/>
              <w:spacing w:after="0" w:line="240" w:lineRule="auto"/>
              <w:jc w:val="center"/>
              <w:textAlignment w:val="baseline"/>
              <w:rPr>
                <w:noProof/>
              </w:rPr>
            </w:pPr>
            <w:r>
              <w:rPr>
                <w:noProof/>
              </w:rPr>
              <w:t>131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B802073" w14:textId="77777777" w:rsidR="00553430" w:rsidRDefault="00212577">
            <w:pPr>
              <w:pStyle w:val="P68B1DB1-Normal102"/>
              <w:spacing w:after="0" w:line="240" w:lineRule="auto"/>
              <w:jc w:val="center"/>
              <w:textAlignment w:val="baseline"/>
              <w:rPr>
                <w:noProof/>
              </w:rPr>
            </w:pPr>
            <w:r>
              <w:rPr>
                <w:noProof/>
              </w:rPr>
              <w:t>C1.5.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D699BC4"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67898CB0" w14:textId="77777777" w:rsidR="00553430" w:rsidRDefault="00212577">
            <w:pPr>
              <w:pStyle w:val="P68B1DB1-Normal102"/>
              <w:spacing w:after="0" w:line="240" w:lineRule="auto"/>
              <w:textAlignment w:val="baseline"/>
              <w:rPr>
                <w:noProof/>
              </w:rPr>
            </w:pPr>
            <w:r>
              <w:rPr>
                <w:noProof/>
              </w:rPr>
              <w:t>Nouvelle loi sur la consolidation des terres agricoles</w:t>
            </w:r>
          </w:p>
        </w:tc>
      </w:tr>
      <w:tr w:rsidR="00553430" w14:paraId="3F7F9C8B"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168321BC" w14:textId="77777777" w:rsidR="00553430" w:rsidRDefault="00212577">
            <w:pPr>
              <w:pStyle w:val="P68B1DB1-Normal102"/>
              <w:spacing w:after="0" w:line="240" w:lineRule="auto"/>
              <w:jc w:val="center"/>
              <w:textAlignment w:val="baseline"/>
              <w:rPr>
                <w:noProof/>
              </w:rPr>
            </w:pPr>
            <w:r>
              <w:rPr>
                <w:noProof/>
              </w:rPr>
              <w:t>138</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3FB1E863" w14:textId="77777777" w:rsidR="00553430" w:rsidRDefault="00212577">
            <w:pPr>
              <w:pStyle w:val="P68B1DB1-Normal102"/>
              <w:spacing w:after="0" w:line="240" w:lineRule="auto"/>
              <w:jc w:val="center"/>
              <w:textAlignment w:val="baseline"/>
              <w:rPr>
                <w:noProof/>
              </w:rPr>
            </w:pPr>
            <w:r>
              <w:rPr>
                <w:noProof/>
              </w:rPr>
              <w:t>C1.5. R4</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272CF58F"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02D52F64" w14:textId="77777777" w:rsidR="00553430" w:rsidRDefault="00212577">
            <w:pPr>
              <w:pStyle w:val="P68B1DB1-Normal102"/>
              <w:spacing w:after="0" w:line="240" w:lineRule="auto"/>
              <w:textAlignment w:val="baseline"/>
              <w:rPr>
                <w:noProof/>
              </w:rPr>
            </w:pPr>
            <w:r>
              <w:rPr>
                <w:noProof/>
              </w:rPr>
              <w:t xml:space="preserve">La plateforme en ligne pour la prévention du gaspillage alimentaire et la mise à niveau des denrées alimentaires </w:t>
            </w:r>
          </w:p>
          <w:p w14:paraId="4787CAE5" w14:textId="77777777" w:rsidR="00553430" w:rsidRDefault="00212577">
            <w:pPr>
              <w:pStyle w:val="P68B1DB1-Normal102"/>
              <w:spacing w:after="0" w:line="240" w:lineRule="auto"/>
              <w:textAlignment w:val="baseline"/>
              <w:rPr>
                <w:noProof/>
              </w:rPr>
            </w:pPr>
            <w:r>
              <w:rPr>
                <w:noProof/>
              </w:rPr>
              <w:t>système informatique de don</w:t>
            </w:r>
          </w:p>
        </w:tc>
      </w:tr>
      <w:tr w:rsidR="00553430" w14:paraId="5BFCBE35"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1DA559D0" w14:textId="77777777" w:rsidR="00553430" w:rsidRDefault="00212577">
            <w:pPr>
              <w:pStyle w:val="P68B1DB1-Normal102"/>
              <w:spacing w:after="0" w:line="240" w:lineRule="auto"/>
              <w:jc w:val="center"/>
              <w:textAlignment w:val="baseline"/>
              <w:rPr>
                <w:noProof/>
              </w:rPr>
            </w:pPr>
            <w:r>
              <w:rPr>
                <w:noProof/>
              </w:rPr>
              <w:t>160</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B7347D1" w14:textId="77777777" w:rsidR="00553430" w:rsidRDefault="00212577">
            <w:pPr>
              <w:pStyle w:val="P68B1DB1-Normal102"/>
              <w:spacing w:after="0" w:line="240" w:lineRule="auto"/>
              <w:jc w:val="center"/>
              <w:textAlignment w:val="baseline"/>
              <w:rPr>
                <w:noProof/>
              </w:rPr>
            </w:pPr>
            <w:r>
              <w:rPr>
                <w:noProof/>
              </w:rPr>
              <w:t>C2.1.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097132A"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330B8511" w14:textId="315577CB" w:rsidR="00553430" w:rsidRDefault="00212577">
            <w:pPr>
              <w:pStyle w:val="P68B1DB1-Normal102"/>
              <w:spacing w:after="0" w:line="240" w:lineRule="auto"/>
              <w:textAlignment w:val="baseline"/>
              <w:rPr>
                <w:noProof/>
              </w:rPr>
            </w:pPr>
            <w:r>
              <w:rPr>
                <w:noProof/>
              </w:rPr>
              <w:t xml:space="preserve">Mise à niveau du système informatique eFondovi: Système de répertoire pour l'audit et les </w:t>
            </w:r>
            <w:r>
              <w:rPr>
                <w:noProof/>
              </w:rPr>
              <w:t>contrôles: informations pour le suivi de la mise en œuvre de la FRR</w:t>
            </w:r>
          </w:p>
        </w:tc>
      </w:tr>
      <w:tr w:rsidR="00553430" w14:paraId="2BC96ABA"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0A19D9B7" w14:textId="77777777" w:rsidR="00553430" w:rsidRDefault="00212577">
            <w:pPr>
              <w:pStyle w:val="P68B1DB1-Normal102"/>
              <w:spacing w:after="0" w:line="240" w:lineRule="auto"/>
              <w:jc w:val="center"/>
              <w:textAlignment w:val="baseline"/>
              <w:rPr>
                <w:noProof/>
              </w:rPr>
            </w:pPr>
            <w:r>
              <w:rPr>
                <w:noProof/>
              </w:rPr>
              <w:t>174</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1CC1E885" w14:textId="77777777" w:rsidR="00553430" w:rsidRDefault="00212577">
            <w:pPr>
              <w:pStyle w:val="P68B1DB1-Normal102"/>
              <w:spacing w:after="0" w:line="240" w:lineRule="auto"/>
              <w:jc w:val="center"/>
              <w:textAlignment w:val="baseline"/>
              <w:rPr>
                <w:noProof/>
              </w:rPr>
            </w:pPr>
            <w:r>
              <w:rPr>
                <w:noProof/>
              </w:rPr>
              <w:t>C2.2. R4</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56020225"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26191864" w14:textId="77777777" w:rsidR="00553430" w:rsidRDefault="00212577">
            <w:pPr>
              <w:pStyle w:val="P68B1DB1-Normal102"/>
              <w:spacing w:after="0" w:line="240" w:lineRule="auto"/>
              <w:textAlignment w:val="baseline"/>
              <w:rPr>
                <w:noProof/>
              </w:rPr>
            </w:pPr>
            <w:r>
              <w:rPr>
                <w:noProof/>
              </w:rPr>
              <w:t>Modification des cadres législatifs visant à encourager la fusion volontaire fonctionnelle ou effective des collectivités locales et adoption d’une décision du gouvernement</w:t>
            </w:r>
            <w:r>
              <w:rPr>
                <w:noProof/>
              </w:rPr>
              <w:t xml:space="preserve"> croate sur les critères d’octroi d’incitations fiscales pour les fusions volontaires fonctionnelles ou réelles</w:t>
            </w:r>
          </w:p>
        </w:tc>
      </w:tr>
      <w:tr w:rsidR="00553430" w14:paraId="32A48811"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69103676" w14:textId="77777777" w:rsidR="00553430" w:rsidRDefault="00212577">
            <w:pPr>
              <w:pStyle w:val="P68B1DB1-Normal102"/>
              <w:spacing w:after="0" w:line="240" w:lineRule="auto"/>
              <w:jc w:val="center"/>
              <w:textAlignment w:val="baseline"/>
              <w:rPr>
                <w:noProof/>
              </w:rPr>
            </w:pPr>
            <w:r>
              <w:rPr>
                <w:noProof/>
              </w:rPr>
              <w:t>202</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E06455A" w14:textId="77777777" w:rsidR="00553430" w:rsidRDefault="00212577">
            <w:pPr>
              <w:pStyle w:val="P68B1DB1-Normal102"/>
              <w:spacing w:after="0" w:line="240" w:lineRule="auto"/>
              <w:jc w:val="center"/>
              <w:textAlignment w:val="baseline"/>
              <w:rPr>
                <w:noProof/>
              </w:rPr>
            </w:pPr>
            <w:r>
              <w:rPr>
                <w:noProof/>
              </w:rPr>
              <w:t>C2.3. R4</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19F6A88"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BC6BF45" w14:textId="77777777" w:rsidR="00553430" w:rsidRDefault="00212577">
            <w:pPr>
              <w:pStyle w:val="P68B1DB1-Normal102"/>
              <w:spacing w:after="0" w:line="240" w:lineRule="auto"/>
              <w:textAlignment w:val="baseline"/>
              <w:rPr>
                <w:noProof/>
              </w:rPr>
            </w:pPr>
            <w:r>
              <w:rPr>
                <w:noProof/>
              </w:rPr>
              <w:t xml:space="preserve">Optimisation de la procédure d’octroi des autorisations pour les investissements dans la connectivité </w:t>
            </w:r>
          </w:p>
        </w:tc>
      </w:tr>
      <w:tr w:rsidR="00553430" w14:paraId="4B334154"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6D04D162" w14:textId="77777777" w:rsidR="00553430" w:rsidRDefault="00212577">
            <w:pPr>
              <w:pStyle w:val="P68B1DB1-Normal102"/>
              <w:spacing w:after="0" w:line="240" w:lineRule="auto"/>
              <w:jc w:val="center"/>
              <w:textAlignment w:val="baseline"/>
              <w:rPr>
                <w:noProof/>
              </w:rPr>
            </w:pPr>
            <w:r>
              <w:rPr>
                <w:noProof/>
              </w:rPr>
              <w:t>214</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CE19B4E" w14:textId="77777777" w:rsidR="00553430" w:rsidRDefault="00212577">
            <w:pPr>
              <w:pStyle w:val="P68B1DB1-Normal102"/>
              <w:spacing w:after="0" w:line="240" w:lineRule="auto"/>
              <w:jc w:val="center"/>
              <w:textAlignment w:val="baseline"/>
              <w:rPr>
                <w:noProof/>
              </w:rPr>
            </w:pPr>
            <w:r>
              <w:rPr>
                <w:noProof/>
              </w:rPr>
              <w:t>C2.5.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260FDF2C"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9F15AC0" w14:textId="77777777" w:rsidR="00553430" w:rsidRDefault="00212577">
            <w:pPr>
              <w:pStyle w:val="P68B1DB1-Normal102"/>
              <w:spacing w:after="0" w:line="240" w:lineRule="auto"/>
              <w:textAlignment w:val="baseline"/>
              <w:rPr>
                <w:noProof/>
              </w:rPr>
            </w:pPr>
            <w:r>
              <w:rPr>
                <w:noProof/>
              </w:rPr>
              <w:t xml:space="preserve">Outils </w:t>
            </w:r>
            <w:r>
              <w:rPr>
                <w:noProof/>
              </w:rPr>
              <w:t>électroniques fournis et capacités administratives adéquates pour le Conseil national de la magistrature (Državno sudbeno vijeće, DSV) et le Conseil du procureur général (Državnoodvjetničko vijeće, DOV)</w:t>
            </w:r>
          </w:p>
        </w:tc>
      </w:tr>
      <w:tr w:rsidR="00553430" w14:paraId="18BCAB41"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085E1B98" w14:textId="77777777" w:rsidR="00553430" w:rsidRDefault="00212577">
            <w:pPr>
              <w:pStyle w:val="P68B1DB1-Normal102"/>
              <w:spacing w:after="0" w:line="240" w:lineRule="auto"/>
              <w:jc w:val="center"/>
              <w:textAlignment w:val="baseline"/>
              <w:rPr>
                <w:noProof/>
              </w:rPr>
            </w:pPr>
            <w:r>
              <w:rPr>
                <w:noProof/>
              </w:rPr>
              <w:t>215</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1D555529" w14:textId="77777777" w:rsidR="00553430" w:rsidRDefault="00212577">
            <w:pPr>
              <w:pStyle w:val="P68B1DB1-Normal102"/>
              <w:spacing w:after="0" w:line="240" w:lineRule="auto"/>
              <w:jc w:val="center"/>
              <w:textAlignment w:val="baseline"/>
              <w:rPr>
                <w:noProof/>
              </w:rPr>
            </w:pPr>
            <w:r>
              <w:rPr>
                <w:noProof/>
              </w:rPr>
              <w:t>C2.5.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DB0CF8C"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33171CE7" w14:textId="77777777" w:rsidR="00553430" w:rsidRDefault="00212577">
            <w:pPr>
              <w:pStyle w:val="P68B1DB1-Normal102"/>
              <w:spacing w:after="0" w:line="240" w:lineRule="auto"/>
              <w:textAlignment w:val="baseline"/>
              <w:rPr>
                <w:noProof/>
              </w:rPr>
            </w:pPr>
            <w:r>
              <w:rPr>
                <w:noProof/>
              </w:rPr>
              <w:t xml:space="preserve">Modifications adoptées à la Loi sur </w:t>
            </w:r>
            <w:r>
              <w:rPr>
                <w:noProof/>
              </w:rPr>
              <w:t>la faillite et à la Loi sur l'insolvabilité des consommateurs</w:t>
            </w:r>
          </w:p>
        </w:tc>
      </w:tr>
      <w:tr w:rsidR="00553430" w14:paraId="24102A41"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19028E38" w14:textId="77777777" w:rsidR="00553430" w:rsidRDefault="00212577">
            <w:pPr>
              <w:pStyle w:val="P68B1DB1-Normal102"/>
              <w:spacing w:after="0" w:line="240" w:lineRule="auto"/>
              <w:jc w:val="center"/>
              <w:textAlignment w:val="baseline"/>
              <w:rPr>
                <w:noProof/>
              </w:rPr>
            </w:pPr>
            <w:r>
              <w:rPr>
                <w:noProof/>
              </w:rPr>
              <w:t>216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1216B743" w14:textId="77777777" w:rsidR="00553430" w:rsidRDefault="00212577">
            <w:pPr>
              <w:pStyle w:val="P68B1DB1-Normal102"/>
              <w:spacing w:after="0" w:line="240" w:lineRule="auto"/>
              <w:jc w:val="center"/>
              <w:textAlignment w:val="baseline"/>
              <w:rPr>
                <w:noProof/>
              </w:rPr>
            </w:pPr>
            <w:r>
              <w:rPr>
                <w:noProof/>
              </w:rPr>
              <w:t>C2.5.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C8152AB"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584D2EFB" w14:textId="77777777" w:rsidR="00553430" w:rsidRDefault="00212577">
            <w:pPr>
              <w:pStyle w:val="P68B1DB1-Normal102"/>
              <w:spacing w:after="0" w:line="240" w:lineRule="auto"/>
              <w:textAlignment w:val="baseline"/>
              <w:rPr>
                <w:noProof/>
              </w:rPr>
            </w:pPr>
            <w:r>
              <w:rPr>
                <w:noProof/>
              </w:rPr>
              <w:t>Amendements adoptés au Code de procédure pénale</w:t>
            </w:r>
          </w:p>
        </w:tc>
      </w:tr>
      <w:tr w:rsidR="00553430" w14:paraId="4AB26005"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1B31B5A4" w14:textId="77777777" w:rsidR="00553430" w:rsidRDefault="00212577">
            <w:pPr>
              <w:pStyle w:val="P68B1DB1-Normal102"/>
              <w:spacing w:after="0" w:line="240" w:lineRule="auto"/>
              <w:jc w:val="center"/>
              <w:textAlignment w:val="baseline"/>
              <w:rPr>
                <w:noProof/>
              </w:rPr>
            </w:pPr>
            <w:r>
              <w:rPr>
                <w:noProof/>
              </w:rPr>
              <w:t>266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5D1206A1" w14:textId="77777777" w:rsidR="00553430" w:rsidRDefault="00212577">
            <w:pPr>
              <w:pStyle w:val="P68B1DB1-Normal102"/>
              <w:spacing w:after="0" w:line="240" w:lineRule="auto"/>
              <w:jc w:val="center"/>
              <w:textAlignment w:val="baseline"/>
              <w:rPr>
                <w:noProof/>
              </w:rPr>
            </w:pPr>
            <w:r>
              <w:rPr>
                <w:noProof/>
              </w:rPr>
              <w:t>C3.1.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17953538"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522759F1" w14:textId="77777777" w:rsidR="00553430" w:rsidRDefault="00212577">
            <w:pPr>
              <w:pStyle w:val="P68B1DB1-Normal102"/>
              <w:spacing w:after="0" w:line="240" w:lineRule="auto"/>
              <w:textAlignment w:val="baseline"/>
              <w:rPr>
                <w:noProof/>
              </w:rPr>
            </w:pPr>
            <w:r>
              <w:rPr>
                <w:noProof/>
              </w:rPr>
              <w:t>Analyse complète des besoins en matière d'enseignement secondaire</w:t>
            </w:r>
          </w:p>
        </w:tc>
      </w:tr>
      <w:tr w:rsidR="00553430" w14:paraId="5D2C56CF"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381A881E" w14:textId="77777777" w:rsidR="00553430" w:rsidRDefault="00212577">
            <w:pPr>
              <w:pStyle w:val="P68B1DB1-Normal102"/>
              <w:spacing w:after="0" w:line="240" w:lineRule="auto"/>
              <w:jc w:val="center"/>
              <w:textAlignment w:val="baseline"/>
              <w:rPr>
                <w:noProof/>
              </w:rPr>
            </w:pPr>
            <w:r>
              <w:rPr>
                <w:noProof/>
              </w:rPr>
              <w:t>286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CE4BABE" w14:textId="77777777" w:rsidR="00553430" w:rsidRDefault="00212577">
            <w:pPr>
              <w:pStyle w:val="P68B1DB1-Normal102"/>
              <w:spacing w:after="0" w:line="240" w:lineRule="auto"/>
              <w:jc w:val="center"/>
              <w:textAlignment w:val="baseline"/>
              <w:rPr>
                <w:noProof/>
              </w:rPr>
            </w:pPr>
            <w:r>
              <w:rPr>
                <w:noProof/>
              </w:rPr>
              <w:t>C4.1.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1DDCEEAE"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3FBD532A" w14:textId="77777777" w:rsidR="00553430" w:rsidRDefault="00212577">
            <w:pPr>
              <w:pStyle w:val="P68B1DB1-Normal102"/>
              <w:spacing w:after="0" w:line="240" w:lineRule="auto"/>
              <w:textAlignment w:val="baseline"/>
              <w:rPr>
                <w:noProof/>
              </w:rPr>
            </w:pPr>
            <w:r>
              <w:rPr>
                <w:noProof/>
              </w:rPr>
              <w:t>Compléter les politiques actives</w:t>
            </w:r>
            <w:r>
              <w:rPr>
                <w:noProof/>
              </w:rPr>
              <w:t xml:space="preserve"> du marché du travail</w:t>
            </w:r>
          </w:p>
        </w:tc>
      </w:tr>
      <w:tr w:rsidR="00553430" w14:paraId="2A5E23EC"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090B3A44" w14:textId="77777777" w:rsidR="00553430" w:rsidRDefault="00212577">
            <w:pPr>
              <w:pStyle w:val="P68B1DB1-Normal102"/>
              <w:spacing w:after="0" w:line="240" w:lineRule="auto"/>
              <w:jc w:val="center"/>
              <w:textAlignment w:val="baseline"/>
              <w:rPr>
                <w:noProof/>
              </w:rPr>
            </w:pPr>
            <w:r>
              <w:rPr>
                <w:noProof/>
              </w:rPr>
              <w:t>291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EC6E7DF" w14:textId="77777777" w:rsidR="00553430" w:rsidRDefault="00212577">
            <w:pPr>
              <w:pStyle w:val="P68B1DB1-Normal102"/>
              <w:spacing w:after="0" w:line="240" w:lineRule="auto"/>
              <w:jc w:val="center"/>
              <w:textAlignment w:val="baseline"/>
              <w:rPr>
                <w:noProof/>
              </w:rPr>
            </w:pPr>
            <w:r>
              <w:rPr>
                <w:noProof/>
              </w:rPr>
              <w:t>C4.1. R3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FBA0D15"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F94CBE0" w14:textId="77777777" w:rsidR="00553430" w:rsidRDefault="00212577">
            <w:pPr>
              <w:pStyle w:val="P68B1DB1-Normal102"/>
              <w:spacing w:after="0" w:line="240" w:lineRule="auto"/>
              <w:textAlignment w:val="baseline"/>
              <w:rPr>
                <w:noProof/>
              </w:rPr>
            </w:pPr>
            <w:r>
              <w:rPr>
                <w:noProof/>
              </w:rPr>
              <w:t>Développer les compétences en fonction des besoins du marché</w:t>
            </w:r>
          </w:p>
        </w:tc>
      </w:tr>
      <w:tr w:rsidR="00553430" w14:paraId="12A3FAAB"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894DC83" w14:textId="77777777" w:rsidR="00553430" w:rsidRDefault="00212577">
            <w:pPr>
              <w:pStyle w:val="P68B1DB1-Normal102"/>
              <w:spacing w:after="0" w:line="240" w:lineRule="auto"/>
              <w:jc w:val="center"/>
              <w:textAlignment w:val="baseline"/>
              <w:rPr>
                <w:noProof/>
              </w:rPr>
            </w:pPr>
            <w:r>
              <w:rPr>
                <w:noProof/>
              </w:rPr>
              <w:t>303</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1DC8E3F" w14:textId="77777777" w:rsidR="00553430" w:rsidRDefault="00212577">
            <w:pPr>
              <w:pStyle w:val="P68B1DB1-Normal102"/>
              <w:spacing w:after="0" w:line="240" w:lineRule="auto"/>
              <w:jc w:val="center"/>
              <w:textAlignment w:val="baseline"/>
              <w:rPr>
                <w:noProof/>
              </w:rPr>
            </w:pPr>
            <w:r>
              <w:rPr>
                <w:noProof/>
              </w:rPr>
              <w:t>C4.3.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549B5B9"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77CD1B79" w14:textId="77777777" w:rsidR="00553430" w:rsidRDefault="00212577">
            <w:pPr>
              <w:pStyle w:val="P68B1DB1-Normal102"/>
              <w:spacing w:after="0" w:line="240" w:lineRule="auto"/>
              <w:textAlignment w:val="baseline"/>
              <w:rPr>
                <w:noProof/>
              </w:rPr>
            </w:pPr>
            <w:r>
              <w:rPr>
                <w:noProof/>
              </w:rPr>
              <w:t>Adoption de la nouvelle loi sur la protection sociale</w:t>
            </w:r>
          </w:p>
        </w:tc>
      </w:tr>
      <w:tr w:rsidR="00553430" w14:paraId="038E1AB2"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37D43748" w14:textId="77777777" w:rsidR="00553430" w:rsidRDefault="00212577">
            <w:pPr>
              <w:pStyle w:val="P68B1DB1-Normal102"/>
              <w:spacing w:after="0" w:line="240" w:lineRule="auto"/>
              <w:jc w:val="center"/>
              <w:textAlignment w:val="baseline"/>
              <w:rPr>
                <w:noProof/>
              </w:rPr>
            </w:pPr>
            <w:r>
              <w:rPr>
                <w:noProof/>
              </w:rPr>
              <w:t>309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35991BB" w14:textId="77777777" w:rsidR="00553430" w:rsidRDefault="00212577">
            <w:pPr>
              <w:pStyle w:val="P68B1DB1-Normal102"/>
              <w:spacing w:after="0" w:line="240" w:lineRule="auto"/>
              <w:jc w:val="center"/>
              <w:textAlignment w:val="baseline"/>
              <w:rPr>
                <w:noProof/>
              </w:rPr>
            </w:pPr>
            <w:r>
              <w:rPr>
                <w:noProof/>
              </w:rPr>
              <w:t>C4.3.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E38A532" w14:textId="77777777" w:rsidR="00553430" w:rsidRDefault="00212577">
            <w:pPr>
              <w:pStyle w:val="P68B1DB1-Normal102"/>
              <w:spacing w:after="0" w:line="240" w:lineRule="auto"/>
              <w:jc w:val="center"/>
              <w:textAlignment w:val="baseline"/>
              <w:rPr>
                <w:noProof/>
              </w:rPr>
            </w:pPr>
            <w:r>
              <w:rPr>
                <w:noProof/>
              </w:rPr>
              <w:t>T</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5E266F71" w14:textId="77777777" w:rsidR="00553430" w:rsidRDefault="00212577">
            <w:pPr>
              <w:pStyle w:val="P68B1DB1-Normal102"/>
              <w:spacing w:after="0" w:line="240" w:lineRule="auto"/>
              <w:textAlignment w:val="baseline"/>
              <w:rPr>
                <w:noProof/>
              </w:rPr>
            </w:pPr>
            <w:r>
              <w:rPr>
                <w:noProof/>
              </w:rPr>
              <w:t xml:space="preserve">Formation de professionnels du mentorat social </w:t>
            </w:r>
          </w:p>
        </w:tc>
      </w:tr>
      <w:tr w:rsidR="00553430" w14:paraId="45417278"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DA2CD91" w14:textId="77777777" w:rsidR="00553430" w:rsidRDefault="00212577">
            <w:pPr>
              <w:pStyle w:val="P68B1DB1-Normal102"/>
              <w:spacing w:after="0" w:line="240" w:lineRule="auto"/>
              <w:jc w:val="center"/>
              <w:textAlignment w:val="baseline"/>
              <w:rPr>
                <w:noProof/>
              </w:rPr>
            </w:pPr>
            <w:r>
              <w:rPr>
                <w:noProof/>
              </w:rPr>
              <w:t>352</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9B528A3" w14:textId="77777777" w:rsidR="00553430" w:rsidRDefault="00212577">
            <w:pPr>
              <w:pStyle w:val="P68B1DB1-Normal102"/>
              <w:spacing w:after="0" w:line="240" w:lineRule="auto"/>
              <w:jc w:val="center"/>
              <w:textAlignment w:val="baseline"/>
              <w:rPr>
                <w:noProof/>
              </w:rPr>
            </w:pPr>
            <w:r>
              <w:rPr>
                <w:noProof/>
              </w:rPr>
              <w:t>C6.1.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5E4E3E2" w14:textId="77777777" w:rsidR="00553430" w:rsidRDefault="00212577">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90739CF" w14:textId="77777777" w:rsidR="00553430" w:rsidRDefault="00212577">
            <w:pPr>
              <w:pStyle w:val="P68B1DB1-Normal102"/>
              <w:spacing w:after="0" w:line="240" w:lineRule="auto"/>
              <w:textAlignment w:val="baseline"/>
              <w:rPr>
                <w:noProof/>
              </w:rPr>
            </w:pPr>
            <w:r>
              <w:rPr>
                <w:noProof/>
              </w:rPr>
              <w:t>Adoption du programme de rénovation énergétique des bâtiments du secteur public pour la période 2021-2030</w:t>
            </w:r>
          </w:p>
        </w:tc>
      </w:tr>
      <w:tr w:rsidR="00553430" w14:paraId="07E6AE12"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AD14F3D" w14:textId="77777777" w:rsidR="00553430" w:rsidRDefault="00553430">
            <w:pPr>
              <w:spacing w:after="0" w:line="240" w:lineRule="auto"/>
              <w:jc w:val="center"/>
              <w:textAlignment w:val="baseline"/>
              <w:rPr>
                <w:rFonts w:ascii="Times New Roman" w:hAnsi="Times New Roman" w:cs="Times New Roman"/>
                <w:noProof/>
                <w:color w:val="000000"/>
                <w:sz w:val="20"/>
                <w:szCs w:val="20"/>
              </w:rPr>
            </w:pPr>
          </w:p>
        </w:tc>
        <w:tc>
          <w:tcPr>
            <w:tcW w:w="1642" w:type="dxa"/>
            <w:tcBorders>
              <w:top w:val="single" w:sz="6" w:space="0" w:color="auto"/>
              <w:left w:val="nil"/>
              <w:bottom w:val="single" w:sz="6" w:space="0" w:color="auto"/>
              <w:right w:val="single" w:sz="6" w:space="0" w:color="auto"/>
            </w:tcBorders>
            <w:shd w:val="clear" w:color="auto" w:fill="C6EFCE"/>
            <w:vAlign w:val="center"/>
          </w:tcPr>
          <w:p w14:paraId="4AD9DBB5" w14:textId="77777777" w:rsidR="00553430" w:rsidRDefault="00553430">
            <w:pPr>
              <w:spacing w:after="0" w:line="240" w:lineRule="auto"/>
              <w:jc w:val="center"/>
              <w:textAlignment w:val="baseline"/>
              <w:rPr>
                <w:rFonts w:ascii="Times New Roman" w:hAnsi="Times New Roman" w:cs="Times New Roman"/>
                <w:noProof/>
                <w:color w:val="000000"/>
                <w:sz w:val="20"/>
                <w:szCs w:val="20"/>
              </w:rPr>
            </w:pPr>
          </w:p>
        </w:tc>
        <w:tc>
          <w:tcPr>
            <w:tcW w:w="1276" w:type="dxa"/>
            <w:tcBorders>
              <w:top w:val="single" w:sz="6" w:space="0" w:color="auto"/>
              <w:left w:val="nil"/>
              <w:bottom w:val="single" w:sz="6" w:space="0" w:color="auto"/>
              <w:right w:val="single" w:sz="6" w:space="0" w:color="auto"/>
            </w:tcBorders>
            <w:shd w:val="clear" w:color="auto" w:fill="C6EFCE"/>
            <w:vAlign w:val="center"/>
          </w:tcPr>
          <w:p w14:paraId="22CE9508" w14:textId="77777777" w:rsidR="00553430" w:rsidRDefault="00212577">
            <w:pPr>
              <w:pStyle w:val="P68B1DB1-Normal102"/>
              <w:spacing w:after="0" w:line="240" w:lineRule="auto"/>
              <w:jc w:val="center"/>
              <w:textAlignment w:val="baseline"/>
              <w:rPr>
                <w:noProof/>
              </w:rPr>
            </w:pPr>
            <w:r>
              <w:rPr>
                <w:noProof/>
              </w:rPr>
              <w:t>Montant des acomptes provisionnels</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6A382B6C" w14:textId="1ECB54C3" w:rsidR="00553430" w:rsidRDefault="00212577">
            <w:pPr>
              <w:pStyle w:val="P68B1DB1-Normal102"/>
              <w:spacing w:after="0" w:line="240" w:lineRule="auto"/>
              <w:textAlignment w:val="baseline"/>
              <w:rPr>
                <w:noProof/>
              </w:rPr>
            </w:pPr>
            <w:r>
              <w:rPr>
                <w:noProof/>
              </w:rPr>
              <w:t>804 597 701 EUR</w:t>
            </w:r>
          </w:p>
        </w:tc>
      </w:tr>
    </w:tbl>
    <w:p w14:paraId="37B0A83B" w14:textId="77777777" w:rsidR="00553430" w:rsidRDefault="00553430">
      <w:pPr>
        <w:spacing w:after="0" w:line="240" w:lineRule="auto"/>
        <w:jc w:val="both"/>
        <w:textAlignment w:val="baseline"/>
        <w:rPr>
          <w:rFonts w:eastAsia="Times New Roman"/>
          <w:noProof/>
          <w:szCs w:val="24"/>
        </w:rPr>
      </w:pPr>
    </w:p>
    <w:p w14:paraId="0F32A20C" w14:textId="77777777" w:rsidR="00553430" w:rsidRDefault="00553430">
      <w:pPr>
        <w:spacing w:after="0" w:line="240" w:lineRule="auto"/>
        <w:jc w:val="both"/>
        <w:textAlignment w:val="baseline"/>
        <w:rPr>
          <w:rFonts w:ascii="Segoe UI" w:eastAsia="Times New Roman" w:hAnsi="Segoe UI" w:cs="Segoe UI"/>
          <w:noProof/>
          <w:sz w:val="18"/>
          <w:szCs w:val="18"/>
        </w:rPr>
      </w:pPr>
    </w:p>
    <w:p w14:paraId="247F6C32" w14:textId="77777777" w:rsidR="00553430" w:rsidRDefault="00553430">
      <w:pPr>
        <w:spacing w:after="0" w:line="240" w:lineRule="auto"/>
        <w:jc w:val="both"/>
        <w:textAlignment w:val="baseline"/>
        <w:rPr>
          <w:rFonts w:ascii="Segoe UI" w:eastAsia="Times New Roman" w:hAnsi="Segoe UI" w:cs="Segoe UI"/>
          <w:noProof/>
          <w:sz w:val="18"/>
          <w:szCs w:val="18"/>
        </w:rPr>
      </w:pPr>
    </w:p>
    <w:p w14:paraId="476678BB" w14:textId="77777777" w:rsidR="00553430" w:rsidRDefault="00553430">
      <w:pPr>
        <w:spacing w:after="0" w:line="240" w:lineRule="auto"/>
        <w:jc w:val="both"/>
        <w:textAlignment w:val="baseline"/>
        <w:rPr>
          <w:rFonts w:ascii="Segoe UI" w:eastAsia="Times New Roman" w:hAnsi="Segoe UI" w:cs="Segoe UI"/>
          <w:noProof/>
          <w:sz w:val="18"/>
          <w:szCs w:val="18"/>
        </w:rPr>
      </w:pPr>
    </w:p>
    <w:p w14:paraId="41326B1C" w14:textId="5EC9BB47" w:rsidR="00553430" w:rsidRDefault="00212577">
      <w:pPr>
        <w:pStyle w:val="P68B1DB1-Normal125"/>
        <w:numPr>
          <w:ilvl w:val="0"/>
          <w:numId w:val="80"/>
        </w:numPr>
        <w:spacing w:line="240" w:lineRule="auto"/>
        <w:jc w:val="both"/>
        <w:textAlignment w:val="baseline"/>
        <w:rPr>
          <w:noProof/>
        </w:rPr>
      </w:pPr>
      <w:r>
        <w:rPr>
          <w:noProof/>
        </w:rPr>
        <w:t xml:space="preserve">Troisième tranche (soutien non remboursable): </w:t>
      </w:r>
    </w:p>
    <w:tbl>
      <w:tblPr>
        <w:tblW w:w="9401"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6"/>
        <w:gridCol w:w="1642"/>
        <w:gridCol w:w="1276"/>
        <w:gridCol w:w="5387"/>
      </w:tblGrid>
      <w:tr w:rsidR="00553430" w14:paraId="2C1C141F" w14:textId="77777777">
        <w:trPr>
          <w:trHeight w:val="517"/>
          <w:tblHeader/>
        </w:trPr>
        <w:tc>
          <w:tcPr>
            <w:tcW w:w="1096" w:type="dxa"/>
            <w:tcBorders>
              <w:top w:val="single" w:sz="6" w:space="0" w:color="auto"/>
              <w:left w:val="single" w:sz="6" w:space="0" w:color="auto"/>
              <w:bottom w:val="single" w:sz="6" w:space="0" w:color="000000"/>
              <w:right w:val="single" w:sz="6" w:space="0" w:color="auto"/>
            </w:tcBorders>
            <w:shd w:val="clear" w:color="auto" w:fill="BDD7EE"/>
            <w:vAlign w:val="center"/>
            <w:hideMark/>
          </w:tcPr>
          <w:p w14:paraId="4643EE75" w14:textId="77777777" w:rsidR="00553430" w:rsidRDefault="00212577">
            <w:pPr>
              <w:pStyle w:val="P68B1DB1-Normal76"/>
              <w:spacing w:after="0" w:line="240" w:lineRule="auto"/>
              <w:jc w:val="center"/>
              <w:textAlignment w:val="baseline"/>
              <w:rPr>
                <w:noProof/>
              </w:rPr>
            </w:pPr>
            <w:r>
              <w:rPr>
                <w:b/>
                <w:noProof/>
              </w:rPr>
              <w:t>Numéro séquentiel</w:t>
            </w:r>
            <w:r>
              <w:rPr>
                <w:noProof/>
              </w:rPr>
              <w:t> </w:t>
            </w:r>
          </w:p>
        </w:tc>
        <w:tc>
          <w:tcPr>
            <w:tcW w:w="1642" w:type="dxa"/>
            <w:tcBorders>
              <w:top w:val="single" w:sz="6" w:space="0" w:color="auto"/>
              <w:left w:val="single" w:sz="6" w:space="0" w:color="auto"/>
              <w:bottom w:val="single" w:sz="6" w:space="0" w:color="000000"/>
              <w:right w:val="single" w:sz="6" w:space="0" w:color="auto"/>
            </w:tcBorders>
            <w:shd w:val="clear" w:color="auto" w:fill="BDD7EE"/>
            <w:vAlign w:val="center"/>
            <w:hideMark/>
          </w:tcPr>
          <w:p w14:paraId="371FDDD0" w14:textId="77777777" w:rsidR="00553430" w:rsidRDefault="00212577">
            <w:pPr>
              <w:pStyle w:val="P68B1DB1-Normal76"/>
              <w:spacing w:after="0" w:line="240" w:lineRule="auto"/>
              <w:jc w:val="center"/>
              <w:textAlignment w:val="baseline"/>
              <w:rPr>
                <w:noProof/>
              </w:rPr>
            </w:pPr>
            <w:r>
              <w:rPr>
                <w:b/>
                <w:noProof/>
              </w:rPr>
              <w:t xml:space="preserve">Mesure connexe (réforme </w:t>
            </w:r>
            <w:r>
              <w:rPr>
                <w:b/>
                <w:noProof/>
              </w:rPr>
              <w:t>ou investissement)</w:t>
            </w:r>
            <w:r>
              <w:rPr>
                <w:noProof/>
              </w:rPr>
              <w:t> </w:t>
            </w:r>
          </w:p>
        </w:tc>
        <w:tc>
          <w:tcPr>
            <w:tcW w:w="1276" w:type="dxa"/>
            <w:tcBorders>
              <w:top w:val="single" w:sz="6" w:space="0" w:color="auto"/>
              <w:left w:val="single" w:sz="6" w:space="0" w:color="auto"/>
              <w:bottom w:val="single" w:sz="6" w:space="0" w:color="000000"/>
              <w:right w:val="single" w:sz="4" w:space="0" w:color="auto"/>
            </w:tcBorders>
            <w:shd w:val="clear" w:color="auto" w:fill="BDD7EE"/>
            <w:vAlign w:val="center"/>
            <w:hideMark/>
          </w:tcPr>
          <w:p w14:paraId="5C8D5033" w14:textId="77777777" w:rsidR="00553430" w:rsidRDefault="00212577">
            <w:pPr>
              <w:pStyle w:val="P68B1DB1-Normal76"/>
              <w:spacing w:after="0" w:line="240" w:lineRule="auto"/>
              <w:jc w:val="center"/>
              <w:textAlignment w:val="baseline"/>
              <w:rPr>
                <w:noProof/>
              </w:rPr>
            </w:pPr>
            <w:r>
              <w:rPr>
                <w:b/>
                <w:noProof/>
              </w:rPr>
              <w:t>Étape/cible</w:t>
            </w:r>
            <w:r>
              <w:rPr>
                <w:noProof/>
              </w:rPr>
              <w:t> </w:t>
            </w:r>
          </w:p>
        </w:tc>
        <w:tc>
          <w:tcPr>
            <w:tcW w:w="53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44A93FD" w14:textId="77777777" w:rsidR="00553430" w:rsidRDefault="00212577">
            <w:pPr>
              <w:pStyle w:val="P68B1DB1-Normal76"/>
              <w:spacing w:after="0" w:line="240" w:lineRule="auto"/>
              <w:jc w:val="center"/>
              <w:textAlignment w:val="baseline"/>
              <w:rPr>
                <w:noProof/>
              </w:rPr>
            </w:pPr>
            <w:r>
              <w:rPr>
                <w:b/>
                <w:noProof/>
              </w:rPr>
              <w:t>Nom</w:t>
            </w:r>
            <w:r>
              <w:rPr>
                <w:noProof/>
              </w:rPr>
              <w:t> </w:t>
            </w:r>
          </w:p>
        </w:tc>
      </w:tr>
      <w:tr w:rsidR="00553430" w14:paraId="48B19B02" w14:textId="77777777">
        <w:trPr>
          <w:trHeight w:val="51"/>
        </w:trPr>
        <w:tc>
          <w:tcPr>
            <w:tcW w:w="1096" w:type="dxa"/>
            <w:tcBorders>
              <w:top w:val="nil"/>
              <w:left w:val="single" w:sz="6" w:space="0" w:color="auto"/>
              <w:bottom w:val="single" w:sz="6" w:space="0" w:color="auto"/>
              <w:right w:val="single" w:sz="6" w:space="0" w:color="auto"/>
            </w:tcBorders>
            <w:shd w:val="clear" w:color="auto" w:fill="C6EFCE"/>
            <w:vAlign w:val="center"/>
            <w:hideMark/>
          </w:tcPr>
          <w:p w14:paraId="4C3CC07A" w14:textId="77777777" w:rsidR="00553430" w:rsidRDefault="00212577">
            <w:pPr>
              <w:pStyle w:val="P68B1DB1-Normal102"/>
              <w:spacing w:after="0" w:line="240" w:lineRule="auto"/>
              <w:jc w:val="center"/>
              <w:textAlignment w:val="baseline"/>
              <w:rPr>
                <w:rFonts w:eastAsia="Times New Roman"/>
                <w:noProof/>
              </w:rPr>
            </w:pPr>
            <w:r>
              <w:rPr>
                <w:noProof/>
              </w:rPr>
              <w:t>1</w:t>
            </w:r>
          </w:p>
        </w:tc>
        <w:tc>
          <w:tcPr>
            <w:tcW w:w="1642" w:type="dxa"/>
            <w:tcBorders>
              <w:top w:val="nil"/>
              <w:left w:val="nil"/>
              <w:bottom w:val="single" w:sz="6" w:space="0" w:color="auto"/>
              <w:right w:val="single" w:sz="6" w:space="0" w:color="auto"/>
            </w:tcBorders>
            <w:shd w:val="clear" w:color="auto" w:fill="C6EFCE"/>
            <w:vAlign w:val="center"/>
            <w:hideMark/>
          </w:tcPr>
          <w:p w14:paraId="51B0F2A5" w14:textId="77777777" w:rsidR="00553430" w:rsidRDefault="00212577">
            <w:pPr>
              <w:pStyle w:val="P68B1DB1-Normal102"/>
              <w:spacing w:after="0" w:line="240" w:lineRule="auto"/>
              <w:jc w:val="center"/>
              <w:textAlignment w:val="baseline"/>
              <w:rPr>
                <w:rFonts w:eastAsia="Times New Roman"/>
                <w:noProof/>
              </w:rPr>
            </w:pPr>
            <w:r>
              <w:rPr>
                <w:noProof/>
              </w:rPr>
              <w:t>C1.1.1. R1</w:t>
            </w:r>
          </w:p>
        </w:tc>
        <w:tc>
          <w:tcPr>
            <w:tcW w:w="1276" w:type="dxa"/>
            <w:tcBorders>
              <w:top w:val="nil"/>
              <w:left w:val="nil"/>
              <w:bottom w:val="single" w:sz="6" w:space="0" w:color="auto"/>
              <w:right w:val="single" w:sz="6" w:space="0" w:color="auto"/>
            </w:tcBorders>
            <w:shd w:val="clear" w:color="auto" w:fill="C6EFCE"/>
            <w:vAlign w:val="center"/>
            <w:hideMark/>
          </w:tcPr>
          <w:p w14:paraId="0C59741E" w14:textId="77777777" w:rsidR="00553430" w:rsidRDefault="00212577">
            <w:pPr>
              <w:pStyle w:val="P68B1DB1-Normal102"/>
              <w:spacing w:after="0" w:line="240" w:lineRule="auto"/>
              <w:jc w:val="center"/>
              <w:textAlignment w:val="baseline"/>
              <w:rPr>
                <w:rFonts w:eastAsia="Times New Roman"/>
                <w:noProof/>
              </w:rPr>
            </w:pPr>
            <w:r>
              <w:rPr>
                <w:noProof/>
              </w:rPr>
              <w:t>M</w:t>
            </w:r>
          </w:p>
        </w:tc>
        <w:tc>
          <w:tcPr>
            <w:tcW w:w="5387" w:type="dxa"/>
            <w:tcBorders>
              <w:top w:val="single" w:sz="4" w:space="0" w:color="auto"/>
              <w:left w:val="nil"/>
              <w:bottom w:val="single" w:sz="6" w:space="0" w:color="auto"/>
              <w:right w:val="single" w:sz="6" w:space="0" w:color="auto"/>
            </w:tcBorders>
            <w:shd w:val="clear" w:color="auto" w:fill="C6EFCE"/>
            <w:vAlign w:val="center"/>
            <w:hideMark/>
          </w:tcPr>
          <w:p w14:paraId="5EC86402" w14:textId="77777777" w:rsidR="00553430" w:rsidRDefault="00212577">
            <w:pPr>
              <w:pStyle w:val="P68B1DB1-Normal102"/>
              <w:spacing w:after="0" w:line="240" w:lineRule="auto"/>
              <w:textAlignment w:val="baseline"/>
              <w:rPr>
                <w:rFonts w:eastAsia="Times New Roman"/>
                <w:noProof/>
              </w:rPr>
            </w:pPr>
            <w:r>
              <w:rPr>
                <w:noProof/>
              </w:rPr>
              <w:t xml:space="preserve">Adoption de la stratégie d'évaluation des effets économiques de la réglementation sur le secteur des PME par le gouvernement croate et du plan d'action qui l'accompagne </w:t>
            </w:r>
          </w:p>
        </w:tc>
      </w:tr>
      <w:tr w:rsidR="00553430" w14:paraId="143213BC"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hideMark/>
          </w:tcPr>
          <w:p w14:paraId="60948659" w14:textId="77777777" w:rsidR="00553430" w:rsidRDefault="00212577">
            <w:pPr>
              <w:pStyle w:val="P68B1DB1-Normal102"/>
              <w:spacing w:after="0" w:line="240" w:lineRule="auto"/>
              <w:jc w:val="center"/>
              <w:textAlignment w:val="baseline"/>
              <w:rPr>
                <w:rFonts w:eastAsia="Times New Roman"/>
                <w:noProof/>
              </w:rPr>
            </w:pPr>
            <w:r>
              <w:rPr>
                <w:noProof/>
              </w:rPr>
              <w:t>7</w:t>
            </w:r>
          </w:p>
        </w:tc>
        <w:tc>
          <w:tcPr>
            <w:tcW w:w="1642" w:type="dxa"/>
            <w:tcBorders>
              <w:top w:val="single" w:sz="6" w:space="0" w:color="auto"/>
              <w:left w:val="nil"/>
              <w:bottom w:val="single" w:sz="6" w:space="0" w:color="auto"/>
              <w:right w:val="single" w:sz="6" w:space="0" w:color="auto"/>
            </w:tcBorders>
            <w:shd w:val="clear" w:color="auto" w:fill="C6EFCE"/>
            <w:vAlign w:val="center"/>
            <w:hideMark/>
          </w:tcPr>
          <w:p w14:paraId="3CF2F061" w14:textId="77777777" w:rsidR="00553430" w:rsidRDefault="00212577">
            <w:pPr>
              <w:pStyle w:val="P68B1DB1-Normal102"/>
              <w:spacing w:after="0" w:line="240" w:lineRule="auto"/>
              <w:jc w:val="center"/>
              <w:textAlignment w:val="baseline"/>
              <w:rPr>
                <w:rFonts w:eastAsia="Times New Roman"/>
                <w:noProof/>
              </w:rPr>
            </w:pPr>
            <w:r>
              <w:rPr>
                <w:noProof/>
              </w:rPr>
              <w:t>C1.1.1. R1-I2</w:t>
            </w:r>
          </w:p>
        </w:tc>
        <w:tc>
          <w:tcPr>
            <w:tcW w:w="1276" w:type="dxa"/>
            <w:tcBorders>
              <w:top w:val="single" w:sz="6" w:space="0" w:color="auto"/>
              <w:left w:val="nil"/>
              <w:bottom w:val="single" w:sz="6" w:space="0" w:color="auto"/>
              <w:right w:val="single" w:sz="6" w:space="0" w:color="auto"/>
            </w:tcBorders>
            <w:shd w:val="clear" w:color="auto" w:fill="C6EFCE"/>
            <w:vAlign w:val="center"/>
            <w:hideMark/>
          </w:tcPr>
          <w:p w14:paraId="4EFC903B" w14:textId="77777777" w:rsidR="00553430" w:rsidRDefault="00212577">
            <w:pPr>
              <w:pStyle w:val="P68B1DB1-Normal102"/>
              <w:spacing w:after="0" w:line="240" w:lineRule="auto"/>
              <w:jc w:val="center"/>
              <w:textAlignment w:val="baseline"/>
              <w:rPr>
                <w:rFonts w:eastAsia="Times New Roman"/>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hideMark/>
          </w:tcPr>
          <w:p w14:paraId="4A35FCDA" w14:textId="77777777" w:rsidR="00553430" w:rsidRDefault="00212577">
            <w:pPr>
              <w:pStyle w:val="P68B1DB1-Normal102"/>
              <w:spacing w:after="0" w:line="240" w:lineRule="auto"/>
              <w:textAlignment w:val="baseline"/>
              <w:rPr>
                <w:rFonts w:eastAsia="Times New Roman"/>
                <w:noProof/>
              </w:rPr>
            </w:pPr>
            <w:r>
              <w:rPr>
                <w:noProof/>
              </w:rPr>
              <w:t>Mise en œuvre</w:t>
            </w:r>
            <w:r>
              <w:rPr>
                <w:noProof/>
              </w:rPr>
              <w:t xml:space="preserve"> des mesures prévues dans les plans d’action pour alléger la charge administrative pesant sur l’économie en 2018, 2019, 2020</w:t>
            </w:r>
          </w:p>
        </w:tc>
      </w:tr>
      <w:tr w:rsidR="00553430" w14:paraId="5FB7BEF8"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602BD349" w14:textId="77777777" w:rsidR="00553430" w:rsidRDefault="00212577">
            <w:pPr>
              <w:pStyle w:val="P68B1DB1-Normal102"/>
              <w:spacing w:after="0" w:line="240" w:lineRule="auto"/>
              <w:jc w:val="center"/>
              <w:textAlignment w:val="baseline"/>
              <w:rPr>
                <w:noProof/>
              </w:rPr>
            </w:pPr>
            <w:r>
              <w:rPr>
                <w:noProof/>
              </w:rPr>
              <w:t>23</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C557602" w14:textId="77777777" w:rsidR="00553430" w:rsidRDefault="00212577">
            <w:pPr>
              <w:pStyle w:val="P68B1DB1-Normal102"/>
              <w:spacing w:after="0" w:line="240" w:lineRule="auto"/>
              <w:jc w:val="center"/>
              <w:textAlignment w:val="baseline"/>
              <w:rPr>
                <w:noProof/>
              </w:rPr>
            </w:pPr>
            <w:r>
              <w:rPr>
                <w:noProof/>
              </w:rPr>
              <w:t>C1.1.1. R5-I1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59CE013"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2E4D1F55" w14:textId="77777777" w:rsidR="00553430" w:rsidRDefault="00212577">
            <w:pPr>
              <w:pStyle w:val="P68B1DB1-Normal102"/>
              <w:spacing w:after="0" w:line="240" w:lineRule="auto"/>
              <w:textAlignment w:val="baseline"/>
              <w:rPr>
                <w:noProof/>
              </w:rPr>
            </w:pPr>
            <w:r>
              <w:rPr>
                <w:noProof/>
              </w:rPr>
              <w:t xml:space="preserve">Création d'un instrument de financement en fonds propres et quasi-fonds propres (PE) </w:t>
            </w:r>
          </w:p>
        </w:tc>
      </w:tr>
      <w:tr w:rsidR="00553430" w14:paraId="3AEB369F"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272607B0" w14:textId="77777777" w:rsidR="00553430" w:rsidRDefault="00212577">
            <w:pPr>
              <w:pStyle w:val="P68B1DB1-Normal102"/>
              <w:spacing w:after="0" w:line="240" w:lineRule="auto"/>
              <w:jc w:val="center"/>
              <w:textAlignment w:val="baseline"/>
              <w:rPr>
                <w:noProof/>
              </w:rPr>
            </w:pPr>
            <w:r>
              <w:rPr>
                <w:noProof/>
              </w:rPr>
              <w:t>37</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901AB5F" w14:textId="77777777" w:rsidR="00553430" w:rsidRDefault="00212577">
            <w:pPr>
              <w:pStyle w:val="P68B1DB1-Normal102"/>
              <w:spacing w:after="0" w:line="240" w:lineRule="auto"/>
              <w:jc w:val="center"/>
              <w:textAlignment w:val="baseline"/>
              <w:rPr>
                <w:noProof/>
              </w:rPr>
            </w:pPr>
            <w:r>
              <w:rPr>
                <w:noProof/>
              </w:rPr>
              <w:t>C1.2.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501863CE"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52B9BF42" w14:textId="77777777" w:rsidR="00553430" w:rsidRDefault="00212577">
            <w:pPr>
              <w:pStyle w:val="P68B1DB1-Normal102"/>
              <w:spacing w:after="0" w:line="240" w:lineRule="auto"/>
              <w:textAlignment w:val="baseline"/>
              <w:rPr>
                <w:noProof/>
              </w:rPr>
            </w:pPr>
            <w:r>
              <w:rPr>
                <w:noProof/>
              </w:rPr>
              <w:t xml:space="preserve">Entrée en </w:t>
            </w:r>
            <w:r>
              <w:rPr>
                <w:noProof/>
              </w:rPr>
              <w:t>vigueur de la législation et/ou de la réglementation visant à améliorer l’utilisation des sources d’énergie renouvelables, y compris l’introduction d’un système fondé sur des primes pour le soutien aux sources d’énergie renouvelables.</w:t>
            </w:r>
          </w:p>
        </w:tc>
      </w:tr>
      <w:tr w:rsidR="00553430" w14:paraId="406EE044"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6C9B3DF6" w14:textId="77777777" w:rsidR="00553430" w:rsidRDefault="00212577">
            <w:pPr>
              <w:pStyle w:val="P68B1DB1-Normal102"/>
              <w:spacing w:after="0" w:line="240" w:lineRule="auto"/>
              <w:jc w:val="center"/>
              <w:textAlignment w:val="baseline"/>
              <w:rPr>
                <w:noProof/>
              </w:rPr>
            </w:pPr>
            <w:r>
              <w:rPr>
                <w:noProof/>
              </w:rPr>
              <w:t>60</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1AA4FC28" w14:textId="77777777" w:rsidR="00553430" w:rsidRDefault="00212577">
            <w:pPr>
              <w:pStyle w:val="P68B1DB1-Normal102"/>
              <w:spacing w:after="0" w:line="240" w:lineRule="auto"/>
              <w:jc w:val="center"/>
              <w:textAlignment w:val="baseline"/>
              <w:rPr>
                <w:noProof/>
              </w:rPr>
            </w:pPr>
            <w:r>
              <w:rPr>
                <w:noProof/>
              </w:rPr>
              <w:t>C1.3.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66A52B0"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77F300B4" w14:textId="77777777" w:rsidR="00553430" w:rsidRDefault="00212577">
            <w:pPr>
              <w:pStyle w:val="P68B1DB1-Normal102"/>
              <w:spacing w:after="0" w:line="240" w:lineRule="auto"/>
              <w:textAlignment w:val="baseline"/>
              <w:rPr>
                <w:noProof/>
              </w:rPr>
            </w:pPr>
            <w:r>
              <w:rPr>
                <w:noProof/>
              </w:rPr>
              <w:t xml:space="preserve">Modifications du cadre juridique dans le secteur de l'eau </w:t>
            </w:r>
          </w:p>
        </w:tc>
      </w:tr>
      <w:tr w:rsidR="00553430" w14:paraId="30540796"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789E79AD" w14:textId="77777777" w:rsidR="00553430" w:rsidRDefault="00212577">
            <w:pPr>
              <w:pStyle w:val="P68B1DB1-Normal102"/>
              <w:spacing w:after="0" w:line="240" w:lineRule="auto"/>
              <w:jc w:val="center"/>
              <w:textAlignment w:val="baseline"/>
              <w:rPr>
                <w:noProof/>
              </w:rPr>
            </w:pPr>
            <w:r>
              <w:rPr>
                <w:noProof/>
              </w:rPr>
              <w:t>69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2AECE0B" w14:textId="77777777" w:rsidR="00553430" w:rsidRDefault="00212577">
            <w:pPr>
              <w:pStyle w:val="P68B1DB1-Normal102"/>
              <w:spacing w:after="0" w:line="240" w:lineRule="auto"/>
              <w:jc w:val="center"/>
              <w:textAlignment w:val="baseline"/>
              <w:rPr>
                <w:noProof/>
              </w:rPr>
            </w:pPr>
            <w:r>
              <w:rPr>
                <w:noProof/>
              </w:rPr>
              <w:t>C1.3. R1-I2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372360ED" w14:textId="77777777" w:rsidR="00553430" w:rsidRDefault="00212577">
            <w:pPr>
              <w:pStyle w:val="P68B1DB1-Normal102"/>
              <w:spacing w:after="0" w:line="240" w:lineRule="auto"/>
              <w:jc w:val="center"/>
              <w:textAlignment w:val="baseline"/>
              <w:rPr>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634A3159" w14:textId="77777777" w:rsidR="00553430" w:rsidRDefault="00212577">
            <w:pPr>
              <w:pStyle w:val="P68B1DB1-Normal102"/>
              <w:spacing w:after="0" w:line="240" w:lineRule="auto"/>
              <w:textAlignment w:val="baseline"/>
              <w:rPr>
                <w:noProof/>
              </w:rPr>
            </w:pPr>
            <w:r>
              <w:rPr>
                <w:noProof/>
              </w:rPr>
              <w:t xml:space="preserve">Dispositifs de mesure de l'eau installés sur les sites de captage d'eau </w:t>
            </w:r>
          </w:p>
        </w:tc>
      </w:tr>
      <w:tr w:rsidR="00553430" w14:paraId="5877FAE2"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22B3E0AF" w14:textId="77777777" w:rsidR="00553430" w:rsidRDefault="00212577">
            <w:pPr>
              <w:pStyle w:val="P68B1DB1-Normal102"/>
              <w:spacing w:after="0" w:line="240" w:lineRule="auto"/>
              <w:jc w:val="center"/>
              <w:textAlignment w:val="baseline"/>
              <w:rPr>
                <w:noProof/>
              </w:rPr>
            </w:pPr>
            <w:r>
              <w:rPr>
                <w:noProof/>
              </w:rPr>
              <w:t>74</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9BF4F38" w14:textId="77777777" w:rsidR="00553430" w:rsidRDefault="00212577">
            <w:pPr>
              <w:pStyle w:val="P68B1DB1-Normal102"/>
              <w:spacing w:after="0" w:line="240" w:lineRule="auto"/>
              <w:jc w:val="center"/>
              <w:textAlignment w:val="baseline"/>
              <w:rPr>
                <w:noProof/>
              </w:rPr>
            </w:pPr>
            <w:r>
              <w:rPr>
                <w:noProof/>
              </w:rPr>
              <w:t>C1.3. R1-I3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B4F19A4" w14:textId="77777777" w:rsidR="00553430" w:rsidRDefault="00212577">
            <w:pPr>
              <w:pStyle w:val="P68B1DB1-Normal102"/>
              <w:spacing w:after="0" w:line="240" w:lineRule="auto"/>
              <w:jc w:val="center"/>
              <w:textAlignment w:val="baseline"/>
              <w:rPr>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5497A3E9" w14:textId="77777777" w:rsidR="00553430" w:rsidRDefault="00212577">
            <w:pPr>
              <w:pStyle w:val="P68B1DB1-Normal102"/>
              <w:spacing w:after="0" w:line="240" w:lineRule="auto"/>
              <w:textAlignment w:val="baseline"/>
              <w:rPr>
                <w:noProof/>
              </w:rPr>
            </w:pPr>
            <w:r>
              <w:rPr>
                <w:noProof/>
              </w:rPr>
              <w:t xml:space="preserve">Contrats de travaux conclus pour des projets de protection contre les inondations </w:t>
            </w:r>
          </w:p>
        </w:tc>
      </w:tr>
      <w:tr w:rsidR="00553430" w14:paraId="0834BF8E"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0DE096C2" w14:textId="77777777" w:rsidR="00553430" w:rsidRDefault="00212577">
            <w:pPr>
              <w:pStyle w:val="P68B1DB1-Normal102"/>
              <w:spacing w:after="0" w:line="240" w:lineRule="auto"/>
              <w:jc w:val="center"/>
              <w:textAlignment w:val="baseline"/>
              <w:rPr>
                <w:noProof/>
              </w:rPr>
            </w:pPr>
            <w:r>
              <w:rPr>
                <w:noProof/>
              </w:rPr>
              <w:t>75</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C043E1B" w14:textId="77777777" w:rsidR="00553430" w:rsidRDefault="00212577">
            <w:pPr>
              <w:pStyle w:val="P68B1DB1-Normal102"/>
              <w:spacing w:after="0" w:line="240" w:lineRule="auto"/>
              <w:jc w:val="center"/>
              <w:textAlignment w:val="baseline"/>
              <w:rPr>
                <w:noProof/>
              </w:rPr>
            </w:pPr>
            <w:r>
              <w:rPr>
                <w:noProof/>
              </w:rPr>
              <w:t>C1.3. R1-I3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9CF8366" w14:textId="77777777" w:rsidR="00553430" w:rsidRDefault="00212577">
            <w:pPr>
              <w:pStyle w:val="P68B1DB1-Normal102"/>
              <w:spacing w:after="0" w:line="240" w:lineRule="auto"/>
              <w:jc w:val="center"/>
              <w:textAlignment w:val="baseline"/>
              <w:rPr>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38F0C7FB" w14:textId="77777777" w:rsidR="00553430" w:rsidRDefault="00212577">
            <w:pPr>
              <w:pStyle w:val="P68B1DB1-Normal102"/>
              <w:spacing w:after="0" w:line="240" w:lineRule="auto"/>
              <w:textAlignment w:val="baseline"/>
              <w:rPr>
                <w:noProof/>
              </w:rPr>
            </w:pPr>
            <w:r>
              <w:rPr>
                <w:noProof/>
              </w:rPr>
              <w:t xml:space="preserve">Construction de structures de protection contre les inondations </w:t>
            </w:r>
          </w:p>
        </w:tc>
      </w:tr>
      <w:tr w:rsidR="00553430" w14:paraId="45955CCC"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6AA5561E" w14:textId="77777777" w:rsidR="00553430" w:rsidRDefault="00212577">
            <w:pPr>
              <w:pStyle w:val="P68B1DB1-Normal102"/>
              <w:spacing w:after="0" w:line="240" w:lineRule="auto"/>
              <w:jc w:val="center"/>
              <w:textAlignment w:val="baseline"/>
              <w:rPr>
                <w:noProof/>
              </w:rPr>
            </w:pPr>
            <w:r>
              <w:rPr>
                <w:noProof/>
              </w:rPr>
              <w:t>76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3E5AB31" w14:textId="77777777" w:rsidR="00553430" w:rsidRDefault="00212577">
            <w:pPr>
              <w:pStyle w:val="P68B1DB1-Normal102"/>
              <w:spacing w:after="0" w:line="240" w:lineRule="auto"/>
              <w:jc w:val="center"/>
              <w:textAlignment w:val="baseline"/>
              <w:rPr>
                <w:noProof/>
              </w:rPr>
            </w:pPr>
            <w:r>
              <w:rPr>
                <w:noProof/>
              </w:rPr>
              <w:t>C1.3. R1-I3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CE55F06" w14:textId="77777777" w:rsidR="00553430" w:rsidRDefault="00212577">
            <w:pPr>
              <w:pStyle w:val="P68B1DB1-Normal102"/>
              <w:spacing w:after="0" w:line="240" w:lineRule="auto"/>
              <w:jc w:val="center"/>
              <w:textAlignment w:val="baseline"/>
              <w:rPr>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067B5C6C" w14:textId="77777777" w:rsidR="00553430" w:rsidRDefault="00212577">
            <w:pPr>
              <w:pStyle w:val="P68B1DB1-Normal102"/>
              <w:spacing w:after="0" w:line="240" w:lineRule="auto"/>
              <w:textAlignment w:val="baseline"/>
              <w:rPr>
                <w:noProof/>
              </w:rPr>
            </w:pPr>
            <w:r>
              <w:rPr>
                <w:noProof/>
              </w:rPr>
              <w:t xml:space="preserve">Des cours d'eau revitalisés </w:t>
            </w:r>
          </w:p>
        </w:tc>
      </w:tr>
      <w:tr w:rsidR="00553430" w14:paraId="4F309DE8"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0E15D57B" w14:textId="77777777" w:rsidR="00553430" w:rsidRDefault="00212577">
            <w:pPr>
              <w:pStyle w:val="P68B1DB1-Normal102"/>
              <w:spacing w:after="0" w:line="240" w:lineRule="auto"/>
              <w:jc w:val="center"/>
              <w:textAlignment w:val="baseline"/>
              <w:rPr>
                <w:noProof/>
              </w:rPr>
            </w:pPr>
            <w:r>
              <w:rPr>
                <w:noProof/>
              </w:rPr>
              <w:t>83</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6AB7B37" w14:textId="77777777" w:rsidR="00553430" w:rsidRDefault="00212577">
            <w:pPr>
              <w:pStyle w:val="P68B1DB1-Normal102"/>
              <w:spacing w:after="0" w:line="240" w:lineRule="auto"/>
              <w:jc w:val="center"/>
              <w:textAlignment w:val="baseline"/>
              <w:rPr>
                <w:noProof/>
              </w:rPr>
            </w:pPr>
            <w:r>
              <w:rPr>
                <w:noProof/>
              </w:rPr>
              <w:t>C1.3.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2BA2DB47"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21C2F4A8" w14:textId="77777777" w:rsidR="00553430" w:rsidRDefault="00212577">
            <w:pPr>
              <w:pStyle w:val="P68B1DB1-Normal102"/>
              <w:spacing w:after="0" w:line="240" w:lineRule="auto"/>
              <w:textAlignment w:val="baseline"/>
              <w:rPr>
                <w:noProof/>
              </w:rPr>
            </w:pPr>
            <w:r>
              <w:rPr>
                <w:noProof/>
              </w:rPr>
              <w:t>Adoption du plan de gestion des déchets de la République de Croatie pour la période 2023-2029</w:t>
            </w:r>
          </w:p>
        </w:tc>
      </w:tr>
      <w:tr w:rsidR="00553430" w14:paraId="405CB2CA"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1726B50F" w14:textId="77777777" w:rsidR="00553430" w:rsidRDefault="00212577">
            <w:pPr>
              <w:pStyle w:val="P68B1DB1-Normal102"/>
              <w:spacing w:after="0" w:line="240" w:lineRule="auto"/>
              <w:jc w:val="center"/>
              <w:textAlignment w:val="baseline"/>
              <w:rPr>
                <w:noProof/>
              </w:rPr>
            </w:pPr>
            <w:r>
              <w:rPr>
                <w:noProof/>
              </w:rPr>
              <w:t>84</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42FCC9E1" w14:textId="77777777" w:rsidR="00553430" w:rsidRDefault="00212577">
            <w:pPr>
              <w:pStyle w:val="P68B1DB1-Normal102"/>
              <w:spacing w:after="0" w:line="240" w:lineRule="auto"/>
              <w:jc w:val="center"/>
              <w:textAlignment w:val="baseline"/>
              <w:rPr>
                <w:noProof/>
              </w:rPr>
            </w:pPr>
            <w:r>
              <w:rPr>
                <w:noProof/>
              </w:rPr>
              <w:t>C1.3. R2-I1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6D996E0" w14:textId="77777777" w:rsidR="00553430" w:rsidRDefault="00212577">
            <w:pPr>
              <w:pStyle w:val="P68B1DB1-Normal102"/>
              <w:spacing w:after="0" w:line="240" w:lineRule="auto"/>
              <w:jc w:val="center"/>
              <w:textAlignment w:val="baseline"/>
              <w:rPr>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147DFCEC" w14:textId="77777777" w:rsidR="00553430" w:rsidRDefault="00212577">
            <w:pPr>
              <w:pStyle w:val="P68B1DB1-Normal102"/>
              <w:spacing w:after="0" w:line="240" w:lineRule="auto"/>
              <w:textAlignment w:val="baseline"/>
              <w:rPr>
                <w:noProof/>
              </w:rPr>
            </w:pPr>
            <w:r>
              <w:rPr>
                <w:noProof/>
              </w:rPr>
              <w:t>Réduction de la part des déchets municipaux destinés à être éliminés (49 %)</w:t>
            </w:r>
          </w:p>
        </w:tc>
      </w:tr>
      <w:tr w:rsidR="00553430" w14:paraId="7A4C6D0C"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3F43CD0B" w14:textId="77777777" w:rsidR="00553430" w:rsidRDefault="00212577">
            <w:pPr>
              <w:pStyle w:val="P68B1DB1-Normal102"/>
              <w:spacing w:after="0" w:line="240" w:lineRule="auto"/>
              <w:jc w:val="center"/>
              <w:textAlignment w:val="baseline"/>
              <w:rPr>
                <w:noProof/>
              </w:rPr>
            </w:pPr>
            <w:r>
              <w:rPr>
                <w:noProof/>
              </w:rPr>
              <w:t>99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71DFAC9" w14:textId="77777777" w:rsidR="00553430" w:rsidRDefault="00212577">
            <w:pPr>
              <w:pStyle w:val="P68B1DB1-Normal102"/>
              <w:spacing w:after="0" w:line="240" w:lineRule="auto"/>
              <w:jc w:val="center"/>
              <w:textAlignment w:val="baseline"/>
              <w:rPr>
                <w:noProof/>
              </w:rPr>
            </w:pPr>
            <w:r>
              <w:rPr>
                <w:noProof/>
              </w:rPr>
              <w:t>C1.4.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42AB80D"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35E3AC0E" w14:textId="77777777" w:rsidR="00553430" w:rsidRDefault="00212577">
            <w:pPr>
              <w:pStyle w:val="P68B1DB1-Normal102"/>
              <w:spacing w:after="0" w:line="240" w:lineRule="auto"/>
              <w:textAlignment w:val="baseline"/>
              <w:rPr>
                <w:noProof/>
              </w:rPr>
            </w:pPr>
            <w:r>
              <w:rPr>
                <w:noProof/>
              </w:rPr>
              <w:t>Le Plan national de développement de l'infrastructure ferroviaire et le Plan national de gestion de l'infrastructure ferroviaire et des installations de service</w:t>
            </w:r>
          </w:p>
        </w:tc>
      </w:tr>
      <w:tr w:rsidR="00553430" w14:paraId="3AFA79F5"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61006F00" w14:textId="77777777" w:rsidR="00553430" w:rsidRDefault="00212577">
            <w:pPr>
              <w:pStyle w:val="P68B1DB1-Normal102"/>
              <w:spacing w:after="0" w:line="240" w:lineRule="auto"/>
              <w:jc w:val="center"/>
              <w:textAlignment w:val="baseline"/>
              <w:rPr>
                <w:noProof/>
              </w:rPr>
            </w:pPr>
            <w:r>
              <w:rPr>
                <w:noProof/>
              </w:rPr>
              <w:t>111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8AF46C3" w14:textId="77777777" w:rsidR="00553430" w:rsidRDefault="00212577">
            <w:pPr>
              <w:pStyle w:val="P68B1DB1-Normal102"/>
              <w:spacing w:after="0" w:line="240" w:lineRule="auto"/>
              <w:jc w:val="center"/>
              <w:textAlignment w:val="baseline"/>
              <w:rPr>
                <w:noProof/>
              </w:rPr>
            </w:pPr>
            <w:r>
              <w:rPr>
                <w:noProof/>
              </w:rPr>
              <w:t>C1.4. R3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273A9908"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0E0D9ADB" w14:textId="77777777" w:rsidR="00553430" w:rsidRDefault="00212577">
            <w:pPr>
              <w:pStyle w:val="P68B1DB1-Normal102"/>
              <w:spacing w:after="0" w:line="240" w:lineRule="auto"/>
              <w:textAlignment w:val="baseline"/>
              <w:rPr>
                <w:noProof/>
              </w:rPr>
            </w:pPr>
            <w:r>
              <w:rPr>
                <w:noProof/>
              </w:rPr>
              <w:t>La nouvelle loi sur le domaine maritime et les ports maritimes</w:t>
            </w:r>
          </w:p>
        </w:tc>
      </w:tr>
      <w:tr w:rsidR="00553430" w14:paraId="1F58F5B1"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362580E6" w14:textId="77777777" w:rsidR="00553430" w:rsidRDefault="00212577">
            <w:pPr>
              <w:pStyle w:val="P68B1DB1-Normal102"/>
              <w:spacing w:after="0" w:line="240" w:lineRule="auto"/>
              <w:jc w:val="center"/>
              <w:textAlignment w:val="baseline"/>
              <w:rPr>
                <w:noProof/>
              </w:rPr>
            </w:pPr>
            <w:r>
              <w:rPr>
                <w:noProof/>
              </w:rPr>
              <w:t>114</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57CEC9AD" w14:textId="77777777" w:rsidR="00553430" w:rsidRDefault="00212577">
            <w:pPr>
              <w:pStyle w:val="P68B1DB1-Normal102"/>
              <w:spacing w:after="0" w:line="240" w:lineRule="auto"/>
              <w:jc w:val="center"/>
              <w:textAlignment w:val="baseline"/>
              <w:rPr>
                <w:noProof/>
              </w:rPr>
            </w:pPr>
            <w:r>
              <w:rPr>
                <w:noProof/>
              </w:rPr>
              <w:t>C1.4. R3-I3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331BCEAF" w14:textId="77777777" w:rsidR="00553430" w:rsidRDefault="00212577">
            <w:pPr>
              <w:pStyle w:val="P68B1DB1-Normal102"/>
              <w:spacing w:after="0" w:line="240" w:lineRule="auto"/>
              <w:jc w:val="center"/>
              <w:textAlignment w:val="baseline"/>
              <w:rPr>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4CD4EB70" w14:textId="77777777" w:rsidR="00553430" w:rsidRDefault="00212577">
            <w:pPr>
              <w:pStyle w:val="P68B1DB1-Normal102"/>
              <w:spacing w:after="0" w:line="240" w:lineRule="auto"/>
              <w:textAlignment w:val="baseline"/>
              <w:rPr>
                <w:noProof/>
              </w:rPr>
            </w:pPr>
            <w:r>
              <w:rPr>
                <w:noProof/>
              </w:rPr>
              <w:t>Nouveau transbordeur à câbles «Križnica» opérationnel sur la rivière Drava dans la municipalité de Pitomača</w:t>
            </w:r>
          </w:p>
        </w:tc>
      </w:tr>
      <w:tr w:rsidR="00553430" w14:paraId="618637C4"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32D63E26" w14:textId="77777777" w:rsidR="00553430" w:rsidRDefault="00212577">
            <w:pPr>
              <w:pStyle w:val="P68B1DB1-Normal102"/>
              <w:spacing w:after="0" w:line="240" w:lineRule="auto"/>
              <w:jc w:val="center"/>
              <w:textAlignment w:val="baseline"/>
              <w:rPr>
                <w:noProof/>
              </w:rPr>
            </w:pPr>
            <w:r>
              <w:rPr>
                <w:noProof/>
              </w:rPr>
              <w:t>141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01B1025" w14:textId="77777777" w:rsidR="00553430" w:rsidRDefault="00212577">
            <w:pPr>
              <w:pStyle w:val="P68B1DB1-Normal102"/>
              <w:spacing w:after="0" w:line="240" w:lineRule="auto"/>
              <w:jc w:val="center"/>
              <w:textAlignment w:val="baseline"/>
              <w:rPr>
                <w:noProof/>
              </w:rPr>
            </w:pPr>
            <w:r>
              <w:rPr>
                <w:noProof/>
              </w:rPr>
              <w:t>C1.6.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9473B34"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0CB6F29D" w14:textId="537708F1" w:rsidR="00553430" w:rsidRDefault="00212577">
            <w:pPr>
              <w:pStyle w:val="P68B1DB1-Normal102"/>
              <w:spacing w:after="0" w:line="240" w:lineRule="auto"/>
              <w:textAlignment w:val="baseline"/>
              <w:rPr>
                <w:noProof/>
              </w:rPr>
            </w:pPr>
            <w:r>
              <w:rPr>
                <w:noProof/>
              </w:rPr>
              <w:t xml:space="preserve">Adoption de la stratégie pour le développement du tourisme durable à l’horizon 2030 du gouvernement de la République de Croatie </w:t>
            </w:r>
          </w:p>
        </w:tc>
      </w:tr>
      <w:tr w:rsidR="00553430" w14:paraId="489ED4E4"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75164606" w14:textId="77777777" w:rsidR="00553430" w:rsidRDefault="00212577">
            <w:pPr>
              <w:pStyle w:val="P68B1DB1-Normal102"/>
              <w:spacing w:after="0" w:line="240" w:lineRule="auto"/>
              <w:jc w:val="center"/>
              <w:textAlignment w:val="baseline"/>
              <w:rPr>
                <w:noProof/>
              </w:rPr>
            </w:pPr>
            <w:r>
              <w:rPr>
                <w:noProof/>
              </w:rPr>
              <w:t>144</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2893CA1" w14:textId="77777777" w:rsidR="00553430" w:rsidRDefault="00212577">
            <w:pPr>
              <w:pStyle w:val="P68B1DB1-Normal102"/>
              <w:spacing w:after="0" w:line="240" w:lineRule="auto"/>
              <w:jc w:val="center"/>
              <w:textAlignment w:val="baseline"/>
              <w:rPr>
                <w:noProof/>
              </w:rPr>
            </w:pPr>
            <w:r>
              <w:rPr>
                <w:noProof/>
              </w:rPr>
              <w:t>C1.6. R1-I1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15E7CE6C"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78E6C84B" w14:textId="77777777" w:rsidR="00553430" w:rsidRDefault="00212577">
            <w:pPr>
              <w:pStyle w:val="P68B1DB1-Normal102"/>
              <w:spacing w:after="0" w:line="240" w:lineRule="auto"/>
              <w:textAlignment w:val="baseline"/>
              <w:rPr>
                <w:noProof/>
              </w:rPr>
            </w:pPr>
            <w:r>
              <w:rPr>
                <w:noProof/>
              </w:rPr>
              <w:t xml:space="preserve">Lancer des appels publics en faveur de la transition écologique et numérique des infrastructures </w:t>
            </w:r>
            <w:r>
              <w:rPr>
                <w:noProof/>
              </w:rPr>
              <w:t>touristiques publiques existantes et du développement des infrastructures touristiques publiques au-delà des principales zones touristiques et côtières</w:t>
            </w:r>
          </w:p>
        </w:tc>
      </w:tr>
      <w:tr w:rsidR="00553430" w14:paraId="7D1AC0E1"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1059FB2F" w14:textId="77777777" w:rsidR="00553430" w:rsidRDefault="00212577">
            <w:pPr>
              <w:pStyle w:val="P68B1DB1-Normal102"/>
              <w:spacing w:after="0" w:line="240" w:lineRule="auto"/>
              <w:jc w:val="center"/>
              <w:textAlignment w:val="baseline"/>
              <w:rPr>
                <w:noProof/>
              </w:rPr>
            </w:pPr>
            <w:r>
              <w:rPr>
                <w:noProof/>
              </w:rPr>
              <w:t>146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705F112" w14:textId="77777777" w:rsidR="00553430" w:rsidRDefault="00212577">
            <w:pPr>
              <w:pStyle w:val="P68B1DB1-Normal102"/>
              <w:spacing w:after="0" w:line="240" w:lineRule="auto"/>
              <w:jc w:val="center"/>
              <w:textAlignment w:val="baseline"/>
              <w:rPr>
                <w:noProof/>
              </w:rPr>
            </w:pPr>
            <w:r>
              <w:rPr>
                <w:noProof/>
              </w:rPr>
              <w:t>C1.6. R1-I2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9FE25D0"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55FD9A71" w14:textId="77777777" w:rsidR="00553430" w:rsidRDefault="00212577">
            <w:pPr>
              <w:pStyle w:val="P68B1DB1-Normal102"/>
              <w:spacing w:after="0" w:line="240" w:lineRule="auto"/>
              <w:textAlignment w:val="baseline"/>
              <w:rPr>
                <w:noProof/>
              </w:rPr>
            </w:pPr>
            <w:r>
              <w:rPr>
                <w:noProof/>
              </w:rPr>
              <w:t>Lancer des appels publics pour renforcer la durabilité et stimuler la transition écol</w:t>
            </w:r>
            <w:r>
              <w:rPr>
                <w:noProof/>
              </w:rPr>
              <w:t>ogique et numérique des entrepreneurs du tourisme, avec au moins 50 % du total des investissements soutenant la transition écologique</w:t>
            </w:r>
          </w:p>
        </w:tc>
      </w:tr>
      <w:tr w:rsidR="00553430" w14:paraId="677D2379"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06668428" w14:textId="77777777" w:rsidR="00553430" w:rsidRDefault="00212577">
            <w:pPr>
              <w:pStyle w:val="P68B1DB1-Normal102"/>
              <w:spacing w:after="0" w:line="240" w:lineRule="auto"/>
              <w:jc w:val="center"/>
              <w:textAlignment w:val="baseline"/>
              <w:rPr>
                <w:noProof/>
              </w:rPr>
            </w:pPr>
            <w:r>
              <w:rPr>
                <w:noProof/>
              </w:rPr>
              <w:t>150</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5E8B54B" w14:textId="77777777" w:rsidR="00553430" w:rsidRDefault="00212577">
            <w:pPr>
              <w:pStyle w:val="P68B1DB1-Normal102"/>
              <w:spacing w:after="0" w:line="240" w:lineRule="auto"/>
              <w:jc w:val="center"/>
              <w:textAlignment w:val="baseline"/>
              <w:rPr>
                <w:noProof/>
              </w:rPr>
            </w:pPr>
            <w:r>
              <w:rPr>
                <w:noProof/>
              </w:rPr>
              <w:t>C2.1.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B7FD203"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21A8C024" w14:textId="77777777" w:rsidR="00553430" w:rsidRDefault="00212577">
            <w:pPr>
              <w:pStyle w:val="P68B1DB1-Normal102"/>
              <w:spacing w:after="0" w:line="240" w:lineRule="auto"/>
              <w:textAlignment w:val="baseline"/>
              <w:rPr>
                <w:noProof/>
              </w:rPr>
            </w:pPr>
            <w:r>
              <w:rPr>
                <w:noProof/>
              </w:rPr>
              <w:t xml:space="preserve">Amendements à la loi sur le système de planification stratégique et </w:t>
            </w:r>
          </w:p>
          <w:p w14:paraId="61DFF314" w14:textId="77777777" w:rsidR="00553430" w:rsidRDefault="00212577">
            <w:pPr>
              <w:pStyle w:val="P68B1DB1-Normal102"/>
              <w:spacing w:after="0" w:line="240" w:lineRule="auto"/>
              <w:textAlignment w:val="baseline"/>
              <w:rPr>
                <w:noProof/>
              </w:rPr>
            </w:pPr>
            <w:r>
              <w:rPr>
                <w:noProof/>
              </w:rPr>
              <w:t xml:space="preserve">Gestion du développement de la </w:t>
            </w:r>
            <w:r>
              <w:rPr>
                <w:noProof/>
              </w:rPr>
              <w:t>République de Croatie et règlements administratifs</w:t>
            </w:r>
          </w:p>
        </w:tc>
      </w:tr>
      <w:tr w:rsidR="00553430" w14:paraId="771A44CA"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46C6D7A9" w14:textId="77777777" w:rsidR="00553430" w:rsidRDefault="00212577">
            <w:pPr>
              <w:pStyle w:val="P68B1DB1-Normal102"/>
              <w:spacing w:after="0" w:line="240" w:lineRule="auto"/>
              <w:jc w:val="center"/>
              <w:textAlignment w:val="baseline"/>
              <w:rPr>
                <w:noProof/>
              </w:rPr>
            </w:pPr>
            <w:r>
              <w:rPr>
                <w:noProof/>
              </w:rPr>
              <w:t>161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554C4E27" w14:textId="77777777" w:rsidR="00553430" w:rsidRDefault="00212577">
            <w:pPr>
              <w:pStyle w:val="P68B1DB1-Normal102"/>
              <w:spacing w:after="0" w:line="240" w:lineRule="auto"/>
              <w:jc w:val="center"/>
              <w:textAlignment w:val="baseline"/>
              <w:rPr>
                <w:noProof/>
              </w:rPr>
            </w:pPr>
            <w:r>
              <w:rPr>
                <w:noProof/>
              </w:rPr>
              <w:t>C2.1. R2-I1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B5F0D40" w14:textId="77777777" w:rsidR="00553430" w:rsidRDefault="00212577">
            <w:pPr>
              <w:pStyle w:val="P68B1DB1-Normal102"/>
              <w:spacing w:after="0" w:line="240" w:lineRule="auto"/>
              <w:jc w:val="center"/>
              <w:textAlignment w:val="baseline"/>
              <w:rPr>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388C3D59" w14:textId="77777777" w:rsidR="00553430" w:rsidRDefault="00212577">
            <w:pPr>
              <w:pStyle w:val="P68B1DB1-Normal102"/>
              <w:spacing w:after="0" w:line="240" w:lineRule="auto"/>
              <w:textAlignment w:val="baseline"/>
              <w:rPr>
                <w:noProof/>
              </w:rPr>
            </w:pPr>
            <w:r>
              <w:rPr>
                <w:noProof/>
              </w:rPr>
              <w:t>Préparation de la documentation technique des projets de transition écologique et numérique</w:t>
            </w:r>
          </w:p>
        </w:tc>
      </w:tr>
      <w:tr w:rsidR="00553430" w14:paraId="5C165C97"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45CDE1D5" w14:textId="77777777" w:rsidR="00553430" w:rsidRDefault="00212577">
            <w:pPr>
              <w:pStyle w:val="P68B1DB1-Normal102"/>
              <w:spacing w:after="0" w:line="240" w:lineRule="auto"/>
              <w:jc w:val="center"/>
              <w:textAlignment w:val="baseline"/>
              <w:rPr>
                <w:noProof/>
              </w:rPr>
            </w:pPr>
            <w:r>
              <w:rPr>
                <w:noProof/>
              </w:rPr>
              <w:t>165</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65D8A50" w14:textId="77777777" w:rsidR="00553430" w:rsidRDefault="00212577">
            <w:pPr>
              <w:pStyle w:val="P68B1DB1-Normal102"/>
              <w:spacing w:after="0" w:line="240" w:lineRule="auto"/>
              <w:jc w:val="center"/>
              <w:textAlignment w:val="baseline"/>
              <w:rPr>
                <w:noProof/>
              </w:rPr>
            </w:pPr>
            <w:r>
              <w:rPr>
                <w:noProof/>
              </w:rPr>
              <w:t>C2.2. R1-I2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D8FE20C" w14:textId="77777777" w:rsidR="00553430" w:rsidRDefault="00212577">
            <w:pPr>
              <w:pStyle w:val="P68B1DB1-Normal102"/>
              <w:spacing w:after="0" w:line="240" w:lineRule="auto"/>
              <w:jc w:val="center"/>
              <w:textAlignment w:val="baseline"/>
              <w:rPr>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23DFCF09" w14:textId="20B65EF8" w:rsidR="00553430" w:rsidRDefault="00212577">
            <w:pPr>
              <w:pStyle w:val="P68B1DB1-Normal102"/>
              <w:spacing w:after="0" w:line="240" w:lineRule="auto"/>
              <w:textAlignment w:val="baseline"/>
              <w:rPr>
                <w:noProof/>
              </w:rPr>
            </w:pPr>
            <w:r>
              <w:rPr>
                <w:noProof/>
              </w:rPr>
              <w:t xml:space="preserve">100% des fonctionnaires de toutes les institutions publiques doivent passer l'examen d'État, réussir numériquement l'examen d'État, sur la base d'un nouveau modèle d'examen. </w:t>
            </w:r>
          </w:p>
        </w:tc>
      </w:tr>
      <w:tr w:rsidR="00553430" w14:paraId="2961DBCF"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60EB0244" w14:textId="77777777" w:rsidR="00553430" w:rsidRDefault="00212577">
            <w:pPr>
              <w:pStyle w:val="P68B1DB1-Normal102"/>
              <w:spacing w:after="0" w:line="240" w:lineRule="auto"/>
              <w:jc w:val="center"/>
              <w:textAlignment w:val="baseline"/>
              <w:rPr>
                <w:noProof/>
              </w:rPr>
            </w:pPr>
            <w:r>
              <w:rPr>
                <w:noProof/>
              </w:rPr>
              <w:t>176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32C2DCBF" w14:textId="77777777" w:rsidR="00553430" w:rsidRDefault="00212577">
            <w:pPr>
              <w:pStyle w:val="P68B1DB1-Normal102"/>
              <w:spacing w:after="0" w:line="240" w:lineRule="auto"/>
              <w:jc w:val="center"/>
              <w:textAlignment w:val="baseline"/>
              <w:rPr>
                <w:noProof/>
              </w:rPr>
            </w:pPr>
            <w:r>
              <w:rPr>
                <w:noProof/>
              </w:rPr>
              <w:t>C2.3.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89B5064"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796817B1" w14:textId="77777777" w:rsidR="00553430" w:rsidRDefault="00212577">
            <w:pPr>
              <w:pStyle w:val="P68B1DB1-Normal102"/>
              <w:spacing w:after="0" w:line="240" w:lineRule="auto"/>
              <w:textAlignment w:val="baseline"/>
              <w:rPr>
                <w:noProof/>
              </w:rPr>
            </w:pPr>
            <w:r>
              <w:rPr>
                <w:noProof/>
              </w:rPr>
              <w:t xml:space="preserve"> Stratégie numérique pour la Croatie </w:t>
            </w:r>
          </w:p>
        </w:tc>
      </w:tr>
      <w:tr w:rsidR="00553430" w14:paraId="1D876FEA"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2A3A6D71" w14:textId="77777777" w:rsidR="00553430" w:rsidRDefault="00212577">
            <w:pPr>
              <w:pStyle w:val="P68B1DB1-Normal102"/>
              <w:spacing w:after="0" w:line="240" w:lineRule="auto"/>
              <w:jc w:val="center"/>
              <w:textAlignment w:val="baseline"/>
              <w:rPr>
                <w:noProof/>
              </w:rPr>
            </w:pPr>
            <w:r>
              <w:rPr>
                <w:noProof/>
              </w:rPr>
              <w:t>177</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1E854857" w14:textId="77777777" w:rsidR="00553430" w:rsidRDefault="00212577">
            <w:pPr>
              <w:pStyle w:val="P68B1DB1-Normal102"/>
              <w:spacing w:after="0" w:line="240" w:lineRule="auto"/>
              <w:jc w:val="center"/>
              <w:textAlignment w:val="baseline"/>
              <w:rPr>
                <w:noProof/>
              </w:rPr>
            </w:pPr>
            <w:r>
              <w:rPr>
                <w:noProof/>
              </w:rPr>
              <w:t>C2.3. R2</w:t>
            </w:r>
            <w:r>
              <w:rPr>
                <w:noProof/>
              </w:rPr>
              <w:br/>
              <w:t>C2.3. R2.I2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A350599"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5F24B02C" w14:textId="77777777" w:rsidR="00553430" w:rsidRDefault="00212577">
            <w:pPr>
              <w:pStyle w:val="P68B1DB1-Normal102"/>
              <w:spacing w:after="0" w:line="240" w:lineRule="auto"/>
              <w:textAlignment w:val="baseline"/>
              <w:rPr>
                <w:noProof/>
              </w:rPr>
            </w:pPr>
            <w:r>
              <w:rPr>
                <w:noProof/>
              </w:rPr>
              <w:t xml:space="preserve">Mise en place des plates-formes pour le système central d'interopérabilité </w:t>
            </w:r>
          </w:p>
        </w:tc>
      </w:tr>
      <w:tr w:rsidR="00553430" w14:paraId="495205A5"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6FDD1502" w14:textId="77777777" w:rsidR="00553430" w:rsidRDefault="00212577">
            <w:pPr>
              <w:pStyle w:val="P68B1DB1-Normal102"/>
              <w:spacing w:after="0" w:line="240" w:lineRule="auto"/>
              <w:jc w:val="center"/>
              <w:textAlignment w:val="baseline"/>
              <w:rPr>
                <w:noProof/>
              </w:rPr>
            </w:pPr>
            <w:r>
              <w:rPr>
                <w:noProof/>
              </w:rPr>
              <w:t>179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F7BE5FD" w14:textId="77777777" w:rsidR="00553430" w:rsidRDefault="00212577">
            <w:pPr>
              <w:pStyle w:val="P68B1DB1-Normal102"/>
              <w:spacing w:after="0" w:line="240" w:lineRule="auto"/>
              <w:jc w:val="center"/>
              <w:textAlignment w:val="baseline"/>
              <w:rPr>
                <w:noProof/>
              </w:rPr>
            </w:pPr>
            <w:r>
              <w:rPr>
                <w:noProof/>
              </w:rPr>
              <w:t>C2.3. R3-I1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1F32E2EB" w14:textId="77777777" w:rsidR="00553430" w:rsidRDefault="00212577">
            <w:pPr>
              <w:pStyle w:val="P68B1DB1-Normal102"/>
              <w:spacing w:after="0" w:line="240" w:lineRule="auto"/>
              <w:jc w:val="center"/>
              <w:textAlignment w:val="baseline"/>
              <w:rPr>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7E381A33" w14:textId="77777777" w:rsidR="00553430" w:rsidRDefault="00212577">
            <w:pPr>
              <w:pStyle w:val="P68B1DB1-Normal102"/>
              <w:spacing w:after="0" w:line="240" w:lineRule="auto"/>
              <w:textAlignment w:val="baseline"/>
              <w:rPr>
                <w:noProof/>
              </w:rPr>
            </w:pPr>
            <w:r>
              <w:rPr>
                <w:noProof/>
              </w:rPr>
              <w:t xml:space="preserve">Mise à niveau du State Cloud </w:t>
            </w:r>
          </w:p>
        </w:tc>
      </w:tr>
      <w:tr w:rsidR="00553430" w14:paraId="00B394D5"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6AAF732A" w14:textId="77777777" w:rsidR="00553430" w:rsidRDefault="00212577">
            <w:pPr>
              <w:pStyle w:val="P68B1DB1-Normal102"/>
              <w:spacing w:after="0" w:line="240" w:lineRule="auto"/>
              <w:jc w:val="center"/>
              <w:textAlignment w:val="baseline"/>
              <w:rPr>
                <w:noProof/>
              </w:rPr>
            </w:pPr>
            <w:r>
              <w:rPr>
                <w:noProof/>
              </w:rPr>
              <w:t>195</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7E2057F" w14:textId="77777777" w:rsidR="00553430" w:rsidRDefault="00212577">
            <w:pPr>
              <w:pStyle w:val="P68B1DB1-Normal102"/>
              <w:spacing w:after="0" w:line="240" w:lineRule="auto"/>
              <w:jc w:val="center"/>
              <w:textAlignment w:val="baseline"/>
              <w:rPr>
                <w:noProof/>
              </w:rPr>
            </w:pPr>
            <w:r>
              <w:rPr>
                <w:noProof/>
              </w:rPr>
              <w:t>C2.3. R3-I12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4F9C0E9"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5C6A9A70" w14:textId="77777777" w:rsidR="00553430" w:rsidRDefault="00212577">
            <w:pPr>
              <w:pStyle w:val="P68B1DB1-Normal102"/>
              <w:spacing w:after="0" w:line="240" w:lineRule="auto"/>
              <w:textAlignment w:val="baseline"/>
              <w:rPr>
                <w:noProof/>
              </w:rPr>
            </w:pPr>
            <w:r>
              <w:rPr>
                <w:noProof/>
              </w:rPr>
              <w:t>Archives numériques de l'Institut croate d'assurance retraite (HZMO)</w:t>
            </w:r>
          </w:p>
        </w:tc>
      </w:tr>
      <w:tr w:rsidR="00553430" w14:paraId="595E3358"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04615034" w14:textId="77777777" w:rsidR="00553430" w:rsidRDefault="00212577">
            <w:pPr>
              <w:pStyle w:val="P68B1DB1-Normal102"/>
              <w:spacing w:after="0" w:line="240" w:lineRule="auto"/>
              <w:jc w:val="center"/>
              <w:textAlignment w:val="baseline"/>
              <w:rPr>
                <w:noProof/>
              </w:rPr>
            </w:pPr>
            <w:r>
              <w:rPr>
                <w:noProof/>
              </w:rPr>
              <w:t>229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44E7D70" w14:textId="77777777" w:rsidR="00553430" w:rsidRDefault="00212577">
            <w:pPr>
              <w:pStyle w:val="P68B1DB1-Normal102"/>
              <w:spacing w:after="0" w:line="240" w:lineRule="auto"/>
              <w:jc w:val="center"/>
              <w:textAlignment w:val="baseline"/>
              <w:rPr>
                <w:noProof/>
              </w:rPr>
            </w:pPr>
            <w:r>
              <w:rPr>
                <w:noProof/>
              </w:rPr>
              <w:t>C2.5. R1-I6</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22EE68B"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0C4F4D89" w14:textId="77777777" w:rsidR="00553430" w:rsidRDefault="00212577">
            <w:pPr>
              <w:pStyle w:val="P68B1DB1-Normal102"/>
              <w:spacing w:after="0" w:line="240" w:lineRule="auto"/>
              <w:textAlignment w:val="baseline"/>
              <w:rPr>
                <w:noProof/>
              </w:rPr>
            </w:pPr>
            <w:r>
              <w:rPr>
                <w:noProof/>
              </w:rPr>
              <w:t xml:space="preserve">Tous les tribunaux de </w:t>
            </w:r>
            <w:r>
              <w:rPr>
                <w:noProof/>
              </w:rPr>
              <w:t>première instance sont équipés et remplissent les conditions pour être entendus à distance.</w:t>
            </w:r>
          </w:p>
        </w:tc>
      </w:tr>
      <w:tr w:rsidR="00553430" w14:paraId="64F77473"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0DE4A81D" w14:textId="77777777" w:rsidR="00553430" w:rsidRDefault="00212577">
            <w:pPr>
              <w:pStyle w:val="P68B1DB1-Normal102"/>
              <w:spacing w:after="0" w:line="240" w:lineRule="auto"/>
              <w:jc w:val="center"/>
              <w:textAlignment w:val="baseline"/>
              <w:rPr>
                <w:noProof/>
              </w:rPr>
            </w:pPr>
            <w:r>
              <w:rPr>
                <w:noProof/>
              </w:rPr>
              <w:t>233</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18121EA7" w14:textId="77777777" w:rsidR="00553430" w:rsidRDefault="00212577">
            <w:pPr>
              <w:pStyle w:val="P68B1DB1-Normal102"/>
              <w:spacing w:after="0" w:line="240" w:lineRule="auto"/>
              <w:jc w:val="center"/>
              <w:textAlignment w:val="baseline"/>
              <w:rPr>
                <w:noProof/>
              </w:rPr>
            </w:pPr>
            <w:r>
              <w:rPr>
                <w:noProof/>
              </w:rPr>
              <w:t>C2.6.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A2EB667"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3D1836B4" w14:textId="77777777" w:rsidR="00553430" w:rsidRDefault="00212577">
            <w:pPr>
              <w:pStyle w:val="P68B1DB1-Normal102"/>
              <w:spacing w:after="0" w:line="240" w:lineRule="auto"/>
              <w:textAlignment w:val="baseline"/>
              <w:rPr>
                <w:noProof/>
              </w:rPr>
            </w:pPr>
            <w:r>
              <w:rPr>
                <w:noProof/>
              </w:rPr>
              <w:t>Adoption de modifications de la loi sur la protection des personnes signalant des irrégularités</w:t>
            </w:r>
          </w:p>
        </w:tc>
      </w:tr>
      <w:tr w:rsidR="00553430" w14:paraId="27E1397A"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043B508C" w14:textId="77777777" w:rsidR="00553430" w:rsidRDefault="00212577">
            <w:pPr>
              <w:pStyle w:val="P68B1DB1-Normal102"/>
              <w:spacing w:after="0" w:line="240" w:lineRule="auto"/>
              <w:jc w:val="center"/>
              <w:textAlignment w:val="baseline"/>
              <w:rPr>
                <w:noProof/>
              </w:rPr>
            </w:pPr>
            <w:r>
              <w:rPr>
                <w:noProof/>
              </w:rPr>
              <w:t>249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28DCC7E" w14:textId="77777777" w:rsidR="00553430" w:rsidRDefault="00212577">
            <w:pPr>
              <w:pStyle w:val="P68B1DB1-Normal102"/>
              <w:spacing w:after="0" w:line="240" w:lineRule="auto"/>
              <w:jc w:val="center"/>
              <w:textAlignment w:val="baseline"/>
              <w:rPr>
                <w:noProof/>
              </w:rPr>
            </w:pPr>
            <w:r>
              <w:rPr>
                <w:noProof/>
              </w:rPr>
              <w:t>C2.7.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4EB0279"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06CAA9D0" w14:textId="77777777" w:rsidR="00553430" w:rsidRDefault="00212577">
            <w:pPr>
              <w:pStyle w:val="P68B1DB1-Normal102"/>
              <w:spacing w:after="0" w:line="240" w:lineRule="auto"/>
              <w:textAlignment w:val="baseline"/>
              <w:rPr>
                <w:noProof/>
              </w:rPr>
            </w:pPr>
            <w:r>
              <w:rPr>
                <w:noProof/>
              </w:rPr>
              <w:t xml:space="preserve">Développement d'un modèle </w:t>
            </w:r>
            <w:r>
              <w:rPr>
                <w:noProof/>
              </w:rPr>
              <w:t>macroéconomique structurel de l'économie croate pour la production de prévisions macroéconomiques à moyen terme, planification budgétaire</w:t>
            </w:r>
            <w:r>
              <w:rPr>
                <w:noProof/>
              </w:rPr>
              <w:br/>
              <w:t>et analyses de politique économique</w:t>
            </w:r>
          </w:p>
        </w:tc>
      </w:tr>
      <w:tr w:rsidR="00553430" w14:paraId="1F587075"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0666B78B" w14:textId="77777777" w:rsidR="00553430" w:rsidRDefault="00212577">
            <w:pPr>
              <w:pStyle w:val="P68B1DB1-Normal102"/>
              <w:spacing w:after="0" w:line="240" w:lineRule="auto"/>
              <w:jc w:val="center"/>
              <w:textAlignment w:val="baseline"/>
              <w:rPr>
                <w:noProof/>
              </w:rPr>
            </w:pPr>
            <w:r>
              <w:rPr>
                <w:noProof/>
              </w:rPr>
              <w:t>256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D9C0825" w14:textId="77777777" w:rsidR="00553430" w:rsidRDefault="00212577">
            <w:pPr>
              <w:pStyle w:val="P68B1DB1-Normal102"/>
              <w:spacing w:after="0" w:line="240" w:lineRule="auto"/>
              <w:jc w:val="center"/>
              <w:textAlignment w:val="baseline"/>
              <w:rPr>
                <w:noProof/>
              </w:rPr>
            </w:pPr>
            <w:r>
              <w:rPr>
                <w:noProof/>
              </w:rPr>
              <w:t>C2.9.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55F13334"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214641D6" w14:textId="77777777" w:rsidR="00553430" w:rsidRDefault="00212577">
            <w:pPr>
              <w:pStyle w:val="P68B1DB1-Normal102"/>
              <w:spacing w:after="0" w:line="240" w:lineRule="auto"/>
              <w:textAlignment w:val="baseline"/>
              <w:rPr>
                <w:noProof/>
              </w:rPr>
            </w:pPr>
            <w:r>
              <w:rPr>
                <w:noProof/>
              </w:rPr>
              <w:t>Orientations sur l’amélioration de la participation des PME aux pr</w:t>
            </w:r>
            <w:r>
              <w:rPr>
                <w:noProof/>
              </w:rPr>
              <w:t xml:space="preserve">océdures de passation de marchés publics et de leur mise en commun </w:t>
            </w:r>
          </w:p>
        </w:tc>
      </w:tr>
      <w:tr w:rsidR="00553430" w14:paraId="004B6AD1" w14:textId="77777777">
        <w:trPr>
          <w:trHeight w:val="51"/>
        </w:trPr>
        <w:tc>
          <w:tcPr>
            <w:tcW w:w="1096" w:type="dxa"/>
            <w:tcBorders>
              <w:top w:val="single" w:sz="6" w:space="0" w:color="auto"/>
              <w:left w:val="single" w:sz="6" w:space="0" w:color="auto"/>
              <w:bottom w:val="single" w:sz="4" w:space="0" w:color="auto"/>
              <w:right w:val="single" w:sz="6" w:space="0" w:color="auto"/>
            </w:tcBorders>
            <w:shd w:val="clear" w:color="auto" w:fill="C6EFCE"/>
            <w:vAlign w:val="center"/>
          </w:tcPr>
          <w:p w14:paraId="1EDEF772" w14:textId="77777777" w:rsidR="00553430" w:rsidRDefault="00212577">
            <w:pPr>
              <w:pStyle w:val="P68B1DB1-Normal102"/>
              <w:spacing w:after="0" w:line="240" w:lineRule="auto"/>
              <w:jc w:val="center"/>
              <w:textAlignment w:val="baseline"/>
              <w:rPr>
                <w:noProof/>
              </w:rPr>
            </w:pPr>
            <w:r>
              <w:rPr>
                <w:noProof/>
              </w:rPr>
              <w:t>259</w:t>
            </w:r>
          </w:p>
        </w:tc>
        <w:tc>
          <w:tcPr>
            <w:tcW w:w="1642" w:type="dxa"/>
            <w:tcBorders>
              <w:top w:val="single" w:sz="6" w:space="0" w:color="auto"/>
              <w:left w:val="nil"/>
              <w:bottom w:val="single" w:sz="4" w:space="0" w:color="auto"/>
              <w:right w:val="single" w:sz="6" w:space="0" w:color="auto"/>
            </w:tcBorders>
            <w:shd w:val="clear" w:color="auto" w:fill="C6EFCE"/>
            <w:vAlign w:val="center"/>
          </w:tcPr>
          <w:p w14:paraId="6AC79A11" w14:textId="77777777" w:rsidR="00553430" w:rsidRDefault="00212577">
            <w:pPr>
              <w:pStyle w:val="P68B1DB1-Normal102"/>
              <w:spacing w:after="0" w:line="240" w:lineRule="auto"/>
              <w:jc w:val="center"/>
              <w:textAlignment w:val="baseline"/>
              <w:rPr>
                <w:noProof/>
              </w:rPr>
            </w:pPr>
            <w:r>
              <w:rPr>
                <w:noProof/>
              </w:rPr>
              <w:t>C2.9. R1-I1</w:t>
            </w:r>
          </w:p>
        </w:tc>
        <w:tc>
          <w:tcPr>
            <w:tcW w:w="1276" w:type="dxa"/>
            <w:tcBorders>
              <w:top w:val="single" w:sz="6" w:space="0" w:color="auto"/>
              <w:left w:val="nil"/>
              <w:bottom w:val="single" w:sz="4" w:space="0" w:color="auto"/>
              <w:right w:val="single" w:sz="6" w:space="0" w:color="auto"/>
            </w:tcBorders>
            <w:shd w:val="clear" w:color="auto" w:fill="C6EFCE"/>
            <w:vAlign w:val="center"/>
          </w:tcPr>
          <w:p w14:paraId="066E6D39"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4" w:space="0" w:color="auto"/>
              <w:right w:val="single" w:sz="6" w:space="0" w:color="auto"/>
            </w:tcBorders>
            <w:shd w:val="clear" w:color="auto" w:fill="C6EFCE"/>
            <w:vAlign w:val="center"/>
          </w:tcPr>
          <w:p w14:paraId="5560DEAD" w14:textId="77777777" w:rsidR="00553430" w:rsidRDefault="00212577">
            <w:pPr>
              <w:pStyle w:val="P68B1DB1-Normal102"/>
              <w:spacing w:after="0" w:line="240" w:lineRule="auto"/>
              <w:textAlignment w:val="baseline"/>
              <w:rPr>
                <w:noProof/>
              </w:rPr>
            </w:pPr>
            <w:r>
              <w:rPr>
                <w:noProof/>
              </w:rPr>
              <w:t xml:space="preserve">Publication d’analyses indépendantes et de recommandations concrètes visant à améliorer la gestion de la charge de l’ensemble du personnel des principales institutions </w:t>
            </w:r>
            <w:r>
              <w:rPr>
                <w:noProof/>
              </w:rPr>
              <w:t>du système de passation des marchés (MINGOR, SAFU, DKOM).</w:t>
            </w:r>
          </w:p>
        </w:tc>
      </w:tr>
      <w:tr w:rsidR="00553430" w14:paraId="3973CD4B"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684D90D7" w14:textId="77777777" w:rsidR="00553430" w:rsidRDefault="00212577">
            <w:pPr>
              <w:pStyle w:val="P68B1DB1-Normal102"/>
              <w:spacing w:after="0" w:line="240" w:lineRule="auto"/>
              <w:jc w:val="center"/>
              <w:textAlignment w:val="baseline"/>
              <w:rPr>
                <w:noProof/>
              </w:rPr>
            </w:pPr>
            <w:r>
              <w:rPr>
                <w:noProof/>
              </w:rPr>
              <w:t>260</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02BA7BCD" w14:textId="77777777" w:rsidR="00553430" w:rsidRDefault="00212577">
            <w:pPr>
              <w:pStyle w:val="P68B1DB1-Normal102"/>
              <w:spacing w:after="0" w:line="240" w:lineRule="auto"/>
              <w:jc w:val="center"/>
              <w:textAlignment w:val="baseline"/>
              <w:rPr>
                <w:noProof/>
              </w:rPr>
            </w:pPr>
            <w:r>
              <w:rPr>
                <w:noProof/>
              </w:rPr>
              <w:t>C2.9. R2</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72C145B"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0115B956" w14:textId="77777777" w:rsidR="00553430" w:rsidRDefault="00212577">
            <w:pPr>
              <w:pStyle w:val="P68B1DB1-Normal102"/>
              <w:spacing w:after="0" w:line="240" w:lineRule="auto"/>
              <w:textAlignment w:val="baseline"/>
              <w:rPr>
                <w:noProof/>
              </w:rPr>
            </w:pPr>
            <w:r>
              <w:rPr>
                <w:noProof/>
              </w:rPr>
              <w:t>Modification du cadre législatif relatif aux marchés publics faisant de l’utilisation du recours électronique un moyen obligatoire d’introduire un recours</w:t>
            </w:r>
          </w:p>
        </w:tc>
      </w:tr>
      <w:tr w:rsidR="00553430" w14:paraId="2F3A1A69"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2A9780CD" w14:textId="77777777" w:rsidR="00553430" w:rsidRDefault="00212577">
            <w:pPr>
              <w:pStyle w:val="P68B1DB1-Normal102"/>
              <w:spacing w:after="0" w:line="240" w:lineRule="auto"/>
              <w:jc w:val="center"/>
              <w:textAlignment w:val="baseline"/>
              <w:rPr>
                <w:noProof/>
              </w:rPr>
            </w:pPr>
            <w:r>
              <w:rPr>
                <w:noProof/>
              </w:rPr>
              <w:t>273</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11351384" w14:textId="77777777" w:rsidR="00553430" w:rsidRDefault="00212577">
            <w:pPr>
              <w:pStyle w:val="P68B1DB1-Normal102"/>
              <w:spacing w:after="0" w:line="240" w:lineRule="auto"/>
              <w:jc w:val="center"/>
              <w:textAlignment w:val="baseline"/>
              <w:rPr>
                <w:noProof/>
              </w:rPr>
            </w:pPr>
            <w:r>
              <w:rPr>
                <w:noProof/>
              </w:rPr>
              <w:t>C3.1. R2</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3C3A56AA"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251B9BF0" w14:textId="77777777" w:rsidR="00553430" w:rsidRDefault="00212577">
            <w:pPr>
              <w:pStyle w:val="P68B1DB1-Normal102"/>
              <w:spacing w:after="0" w:line="240" w:lineRule="auto"/>
              <w:textAlignment w:val="baseline"/>
              <w:rPr>
                <w:noProof/>
              </w:rPr>
            </w:pPr>
            <w:r>
              <w:rPr>
                <w:noProof/>
              </w:rPr>
              <w:t xml:space="preserve">Adoption de la nouvelle loi sur l'activité scientifique et l'enseignement supérieur </w:t>
            </w:r>
          </w:p>
        </w:tc>
      </w:tr>
      <w:tr w:rsidR="00553430" w14:paraId="1B7D2581"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6313E7EA" w14:textId="77777777" w:rsidR="00553430" w:rsidRDefault="00212577">
            <w:pPr>
              <w:pStyle w:val="P68B1DB1-Normal102"/>
              <w:spacing w:after="0" w:line="240" w:lineRule="auto"/>
              <w:jc w:val="center"/>
              <w:textAlignment w:val="baseline"/>
              <w:rPr>
                <w:noProof/>
              </w:rPr>
            </w:pPr>
            <w:r>
              <w:rPr>
                <w:noProof/>
              </w:rPr>
              <w:t>275</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0DB4D793" w14:textId="77777777" w:rsidR="00553430" w:rsidRDefault="00212577">
            <w:pPr>
              <w:pStyle w:val="P68B1DB1-Normal102"/>
              <w:spacing w:after="0" w:line="240" w:lineRule="auto"/>
              <w:jc w:val="center"/>
              <w:textAlignment w:val="baseline"/>
              <w:rPr>
                <w:noProof/>
              </w:rPr>
            </w:pPr>
            <w:r>
              <w:rPr>
                <w:noProof/>
              </w:rPr>
              <w:t>C3.2. R1</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6DBED487"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4CEC2CBD" w14:textId="77777777" w:rsidR="00553430" w:rsidRDefault="00212577">
            <w:pPr>
              <w:pStyle w:val="P68B1DB1-Normal102"/>
              <w:spacing w:after="0" w:line="240" w:lineRule="auto"/>
              <w:textAlignment w:val="baseline"/>
              <w:rPr>
                <w:noProof/>
              </w:rPr>
            </w:pPr>
            <w:r>
              <w:rPr>
                <w:noProof/>
              </w:rPr>
              <w:t>Nouvelle loi sur la science et l'enseignement supérieur</w:t>
            </w:r>
          </w:p>
        </w:tc>
      </w:tr>
      <w:tr w:rsidR="00553430" w14:paraId="70FDFF3F"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2B148D59" w14:textId="77777777" w:rsidR="00553430" w:rsidRDefault="00212577">
            <w:pPr>
              <w:pStyle w:val="P68B1DB1-Normal102"/>
              <w:spacing w:after="0" w:line="240" w:lineRule="auto"/>
              <w:jc w:val="center"/>
              <w:textAlignment w:val="baseline"/>
              <w:rPr>
                <w:noProof/>
              </w:rPr>
            </w:pPr>
            <w:r>
              <w:rPr>
                <w:noProof/>
              </w:rPr>
              <w:t>281</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4E7F4DBF" w14:textId="77777777" w:rsidR="00553430" w:rsidRDefault="00212577">
            <w:pPr>
              <w:pStyle w:val="P68B1DB1-Normal102"/>
              <w:spacing w:after="0" w:line="240" w:lineRule="auto"/>
              <w:jc w:val="center"/>
              <w:textAlignment w:val="baseline"/>
              <w:rPr>
                <w:noProof/>
              </w:rPr>
            </w:pPr>
            <w:r>
              <w:rPr>
                <w:noProof/>
              </w:rPr>
              <w:t>C3.2. R2</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4D67DFE"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33AC3870" w14:textId="77777777" w:rsidR="00553430" w:rsidRDefault="00212577">
            <w:pPr>
              <w:pStyle w:val="P68B1DB1-Normal102"/>
              <w:spacing w:after="0" w:line="240" w:lineRule="auto"/>
              <w:textAlignment w:val="baseline"/>
              <w:rPr>
                <w:noProof/>
              </w:rPr>
            </w:pPr>
            <w:r>
              <w:rPr>
                <w:noProof/>
              </w:rPr>
              <w:t xml:space="preserve">Nouveau cadre juridique régissant les exigences de qualité pour les programmes d'études, les études doctorales et les conditions de travail des institutions scientifiques </w:t>
            </w:r>
          </w:p>
        </w:tc>
      </w:tr>
      <w:tr w:rsidR="00553430" w14:paraId="5FB0CF4B"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5B35F691" w14:textId="77777777" w:rsidR="00553430" w:rsidRDefault="00212577">
            <w:pPr>
              <w:pStyle w:val="P68B1DB1-Normal102"/>
              <w:spacing w:after="0" w:line="240" w:lineRule="auto"/>
              <w:jc w:val="center"/>
              <w:textAlignment w:val="baseline"/>
              <w:rPr>
                <w:noProof/>
              </w:rPr>
            </w:pPr>
            <w:r>
              <w:rPr>
                <w:noProof/>
              </w:rPr>
              <w:t>284</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4040FB0F" w14:textId="77777777" w:rsidR="00553430" w:rsidRDefault="00212577">
            <w:pPr>
              <w:pStyle w:val="P68B1DB1-Normal102"/>
              <w:spacing w:after="0" w:line="240" w:lineRule="auto"/>
              <w:jc w:val="center"/>
              <w:textAlignment w:val="baseline"/>
              <w:rPr>
                <w:noProof/>
              </w:rPr>
            </w:pPr>
            <w:r>
              <w:rPr>
                <w:noProof/>
              </w:rPr>
              <w:t>C3.2. R3</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7EC34E2"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5BB5920C" w14:textId="77777777" w:rsidR="00553430" w:rsidRDefault="00212577">
            <w:pPr>
              <w:pStyle w:val="P68B1DB1-Normal102"/>
              <w:spacing w:after="0" w:line="240" w:lineRule="auto"/>
              <w:textAlignment w:val="baseline"/>
              <w:rPr>
                <w:noProof/>
              </w:rPr>
            </w:pPr>
            <w:r>
              <w:rPr>
                <w:noProof/>
              </w:rPr>
              <w:t>Nouvelle loi sur la Fondation croate de la science</w:t>
            </w:r>
          </w:p>
        </w:tc>
      </w:tr>
      <w:tr w:rsidR="00553430" w14:paraId="48C4FE64"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1D0D5088" w14:textId="77777777" w:rsidR="00553430" w:rsidRDefault="00212577">
            <w:pPr>
              <w:pStyle w:val="P68B1DB1-Normal102"/>
              <w:spacing w:after="0" w:line="240" w:lineRule="auto"/>
              <w:jc w:val="center"/>
              <w:textAlignment w:val="baseline"/>
              <w:rPr>
                <w:noProof/>
              </w:rPr>
            </w:pPr>
            <w:r>
              <w:rPr>
                <w:noProof/>
              </w:rPr>
              <w:t>294</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22D7348B" w14:textId="77777777" w:rsidR="00553430" w:rsidRDefault="00212577">
            <w:pPr>
              <w:pStyle w:val="P68B1DB1-Normal102"/>
              <w:spacing w:after="0" w:line="240" w:lineRule="auto"/>
              <w:jc w:val="center"/>
              <w:textAlignment w:val="baseline"/>
              <w:rPr>
                <w:noProof/>
              </w:rPr>
            </w:pPr>
            <w:r>
              <w:rPr>
                <w:noProof/>
              </w:rPr>
              <w:t>C4.1. R4</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350788BF"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7D15CF77" w14:textId="77777777" w:rsidR="00553430" w:rsidRDefault="00212577">
            <w:pPr>
              <w:pStyle w:val="P68B1DB1-Normal102"/>
              <w:spacing w:after="0" w:line="240" w:lineRule="auto"/>
              <w:textAlignment w:val="baseline"/>
              <w:rPr>
                <w:noProof/>
              </w:rPr>
            </w:pPr>
            <w:r>
              <w:rPr>
                <w:noProof/>
              </w:rPr>
              <w:t>Adoption de la loi sur la lutte contre le travail non déclaré et de la nouvelle loi sur le travail</w:t>
            </w:r>
          </w:p>
        </w:tc>
      </w:tr>
      <w:tr w:rsidR="00553430" w14:paraId="798219AB"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48602D67" w14:textId="77777777" w:rsidR="00553430" w:rsidRDefault="00212577">
            <w:pPr>
              <w:pStyle w:val="P68B1DB1-Normal102"/>
              <w:spacing w:after="0" w:line="240" w:lineRule="auto"/>
              <w:jc w:val="center"/>
              <w:textAlignment w:val="baseline"/>
              <w:rPr>
                <w:noProof/>
              </w:rPr>
            </w:pPr>
            <w:r>
              <w:rPr>
                <w:noProof/>
              </w:rPr>
              <w:t>313</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2CBA918D" w14:textId="77777777" w:rsidR="00553430" w:rsidRDefault="00212577">
            <w:pPr>
              <w:pStyle w:val="P68B1DB1-Normal102"/>
              <w:spacing w:after="0" w:line="240" w:lineRule="auto"/>
              <w:jc w:val="center"/>
              <w:textAlignment w:val="baseline"/>
              <w:rPr>
                <w:noProof/>
              </w:rPr>
            </w:pPr>
            <w:r>
              <w:rPr>
                <w:noProof/>
              </w:rPr>
              <w:t>C4.3. R3</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C6E8C7E"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08106F14" w14:textId="77777777" w:rsidR="00553430" w:rsidRDefault="00212577">
            <w:pPr>
              <w:pStyle w:val="P68B1DB1-Normal102"/>
              <w:spacing w:after="0" w:line="240" w:lineRule="auto"/>
              <w:textAlignment w:val="baseline"/>
              <w:rPr>
                <w:noProof/>
              </w:rPr>
            </w:pPr>
            <w:r>
              <w:rPr>
                <w:noProof/>
              </w:rPr>
              <w:t xml:space="preserve">Adoption de normes de traitement pour les assistants familiaux </w:t>
            </w:r>
          </w:p>
        </w:tc>
      </w:tr>
      <w:tr w:rsidR="00553430" w14:paraId="36585304"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0F1FB94C" w14:textId="77777777" w:rsidR="00553430" w:rsidRDefault="00212577">
            <w:pPr>
              <w:pStyle w:val="P68B1DB1-Normal102"/>
              <w:spacing w:after="0" w:line="240" w:lineRule="auto"/>
              <w:jc w:val="center"/>
              <w:textAlignment w:val="baseline"/>
              <w:rPr>
                <w:noProof/>
              </w:rPr>
            </w:pPr>
            <w:r>
              <w:rPr>
                <w:noProof/>
              </w:rPr>
              <w:t>318</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4F145BF8" w14:textId="77777777" w:rsidR="00553430" w:rsidRDefault="00212577">
            <w:pPr>
              <w:pStyle w:val="P68B1DB1-Normal102"/>
              <w:spacing w:after="0" w:line="240" w:lineRule="auto"/>
              <w:jc w:val="center"/>
              <w:textAlignment w:val="baseline"/>
              <w:rPr>
                <w:noProof/>
              </w:rPr>
            </w:pPr>
            <w:r>
              <w:rPr>
                <w:noProof/>
              </w:rPr>
              <w:t>C5.1. R1</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5B191E3F"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6DAA38F7" w14:textId="77777777" w:rsidR="00553430" w:rsidRDefault="00212577">
            <w:pPr>
              <w:pStyle w:val="P68B1DB1-Normal102"/>
              <w:spacing w:after="0" w:line="240" w:lineRule="auto"/>
              <w:textAlignment w:val="baseline"/>
              <w:rPr>
                <w:noProof/>
              </w:rPr>
            </w:pPr>
            <w:r>
              <w:rPr>
                <w:noProof/>
              </w:rPr>
              <w:t xml:space="preserve">Adoption du cadre d’évaluation des performances du système de santé (HSPA) </w:t>
            </w:r>
          </w:p>
        </w:tc>
      </w:tr>
      <w:tr w:rsidR="00553430" w14:paraId="4C44809C"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7575A0E2" w14:textId="77777777" w:rsidR="00553430" w:rsidRDefault="00212577">
            <w:pPr>
              <w:pStyle w:val="P68B1DB1-Normal102"/>
              <w:spacing w:after="0" w:line="240" w:lineRule="auto"/>
              <w:jc w:val="center"/>
              <w:textAlignment w:val="baseline"/>
              <w:rPr>
                <w:noProof/>
              </w:rPr>
            </w:pPr>
            <w:r>
              <w:rPr>
                <w:noProof/>
              </w:rPr>
              <w:t>323</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3CA9F58A" w14:textId="77777777" w:rsidR="00553430" w:rsidRDefault="00212577">
            <w:pPr>
              <w:pStyle w:val="P68B1DB1-Normal102"/>
              <w:spacing w:after="0" w:line="240" w:lineRule="auto"/>
              <w:jc w:val="center"/>
              <w:textAlignment w:val="baseline"/>
              <w:rPr>
                <w:noProof/>
              </w:rPr>
            </w:pPr>
            <w:r>
              <w:rPr>
                <w:noProof/>
              </w:rPr>
              <w:t>C5.1. R1-I4</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5F3D774A"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541628A6" w14:textId="77777777" w:rsidR="00553430" w:rsidRDefault="00212577">
            <w:pPr>
              <w:pStyle w:val="P68B1DB1-Normal102"/>
              <w:spacing w:after="0" w:line="240" w:lineRule="auto"/>
              <w:textAlignment w:val="baseline"/>
              <w:rPr>
                <w:noProof/>
              </w:rPr>
            </w:pPr>
            <w:r>
              <w:rPr>
                <w:noProof/>
              </w:rPr>
              <w:t xml:space="preserve">Modernisation des services de santé au Centre hospitalier clinique KBC </w:t>
            </w:r>
          </w:p>
          <w:p w14:paraId="71224F2E" w14:textId="77777777" w:rsidR="00553430" w:rsidRDefault="00212577">
            <w:pPr>
              <w:pStyle w:val="P68B1DB1-Normal102"/>
              <w:spacing w:after="0" w:line="240" w:lineRule="auto"/>
              <w:textAlignment w:val="baseline"/>
              <w:rPr>
                <w:noProof/>
              </w:rPr>
            </w:pPr>
            <w:r>
              <w:rPr>
                <w:noProof/>
              </w:rPr>
              <w:t>Split</w:t>
            </w:r>
          </w:p>
        </w:tc>
      </w:tr>
      <w:tr w:rsidR="00553430" w14:paraId="6BC9FC83"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7B06C5E6" w14:textId="77777777" w:rsidR="00553430" w:rsidRDefault="00212577">
            <w:pPr>
              <w:pStyle w:val="P68B1DB1-Normal102"/>
              <w:spacing w:after="0" w:line="240" w:lineRule="auto"/>
              <w:jc w:val="center"/>
              <w:textAlignment w:val="baseline"/>
              <w:rPr>
                <w:noProof/>
              </w:rPr>
            </w:pPr>
            <w:r>
              <w:rPr>
                <w:noProof/>
              </w:rPr>
              <w:t>336</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4DE2F19B" w14:textId="77777777" w:rsidR="00553430" w:rsidRDefault="00212577">
            <w:pPr>
              <w:pStyle w:val="P68B1DB1-Normal102"/>
              <w:spacing w:after="0" w:line="240" w:lineRule="auto"/>
              <w:jc w:val="center"/>
              <w:textAlignment w:val="baseline"/>
              <w:rPr>
                <w:noProof/>
              </w:rPr>
            </w:pPr>
            <w:r>
              <w:rPr>
                <w:noProof/>
              </w:rPr>
              <w:t>C5.1. R4</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65B9443"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525396B8" w14:textId="77777777" w:rsidR="00553430" w:rsidRDefault="00212577">
            <w:pPr>
              <w:pStyle w:val="P68B1DB1-Normal102"/>
              <w:spacing w:after="0" w:line="240" w:lineRule="auto"/>
              <w:textAlignment w:val="baseline"/>
              <w:rPr>
                <w:noProof/>
              </w:rPr>
            </w:pPr>
            <w:r>
              <w:rPr>
                <w:noProof/>
              </w:rPr>
              <w:t xml:space="preserve">Modification de la loi sur les soins de santé et de la loi sur </w:t>
            </w:r>
            <w:r>
              <w:rPr>
                <w:noProof/>
              </w:rPr>
              <w:t>l'assurance maladie obligatoire</w:t>
            </w:r>
          </w:p>
        </w:tc>
      </w:tr>
      <w:tr w:rsidR="00553430" w14:paraId="30A6F0C0"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3EE92E78" w14:textId="77777777" w:rsidR="00553430" w:rsidRDefault="00212577">
            <w:pPr>
              <w:pStyle w:val="P68B1DB1-Normal102"/>
              <w:spacing w:after="0" w:line="240" w:lineRule="auto"/>
              <w:jc w:val="center"/>
              <w:textAlignment w:val="baseline"/>
              <w:rPr>
                <w:noProof/>
              </w:rPr>
            </w:pPr>
            <w:r>
              <w:rPr>
                <w:noProof/>
              </w:rPr>
              <w:t>346</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12A87542" w14:textId="77777777" w:rsidR="00553430" w:rsidRDefault="00212577">
            <w:pPr>
              <w:pStyle w:val="P68B1DB1-Normal102"/>
              <w:spacing w:after="0" w:line="240" w:lineRule="auto"/>
              <w:jc w:val="center"/>
              <w:textAlignment w:val="baseline"/>
              <w:rPr>
                <w:noProof/>
              </w:rPr>
            </w:pPr>
            <w:r>
              <w:rPr>
                <w:noProof/>
              </w:rPr>
              <w:t>C5.1. R5</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63A71946"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1C818A64" w14:textId="77777777" w:rsidR="00553430" w:rsidRDefault="00212577">
            <w:pPr>
              <w:pStyle w:val="P68B1DB1-Normal102"/>
              <w:spacing w:after="0" w:line="240" w:lineRule="auto"/>
              <w:textAlignment w:val="baseline"/>
              <w:rPr>
                <w:noProof/>
              </w:rPr>
            </w:pPr>
            <w:r>
              <w:rPr>
                <w:noProof/>
              </w:rPr>
              <w:t>Amélioration et extension des services télémédicaux</w:t>
            </w:r>
          </w:p>
        </w:tc>
      </w:tr>
      <w:tr w:rsidR="00553430" w14:paraId="1EDD6914"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0F6EC819" w14:textId="77777777" w:rsidR="00553430" w:rsidRDefault="00212577">
            <w:pPr>
              <w:pStyle w:val="P68B1DB1-Normal102"/>
              <w:spacing w:after="0" w:line="240" w:lineRule="auto"/>
              <w:jc w:val="center"/>
              <w:textAlignment w:val="baseline"/>
              <w:rPr>
                <w:noProof/>
              </w:rPr>
            </w:pPr>
            <w:r>
              <w:rPr>
                <w:noProof/>
              </w:rPr>
              <w:t>349</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27FF3276" w14:textId="77777777" w:rsidR="00553430" w:rsidRDefault="00212577">
            <w:pPr>
              <w:pStyle w:val="P68B1DB1-Normal102"/>
              <w:spacing w:after="0" w:line="240" w:lineRule="auto"/>
              <w:jc w:val="center"/>
              <w:textAlignment w:val="baseline"/>
              <w:rPr>
                <w:noProof/>
              </w:rPr>
            </w:pPr>
            <w:r>
              <w:rPr>
                <w:noProof/>
              </w:rPr>
              <w:t>C5.1. R5-I3</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43FA85F" w14:textId="77777777" w:rsidR="00553430" w:rsidRDefault="00212577">
            <w:pPr>
              <w:pStyle w:val="P68B1DB1-Normal102"/>
              <w:spacing w:after="0" w:line="240" w:lineRule="auto"/>
              <w:jc w:val="center"/>
              <w:textAlignment w:val="baseline"/>
              <w:rPr>
                <w:noProof/>
              </w:rPr>
            </w:pPr>
            <w:r>
              <w:rPr>
                <w:noProof/>
              </w:rPr>
              <w:t>T</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192AED47" w14:textId="77777777" w:rsidR="00553430" w:rsidRDefault="00212577">
            <w:pPr>
              <w:pStyle w:val="P68B1DB1-Normal102"/>
              <w:spacing w:after="0" w:line="240" w:lineRule="auto"/>
              <w:textAlignment w:val="baseline"/>
              <w:rPr>
                <w:noProof/>
              </w:rPr>
            </w:pPr>
            <w:r>
              <w:rPr>
                <w:noProof/>
              </w:rPr>
              <w:t xml:space="preserve">Services de télétransfusion </w:t>
            </w:r>
          </w:p>
        </w:tc>
      </w:tr>
      <w:tr w:rsidR="00553430" w14:paraId="3C5C79F1"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2F14E528" w14:textId="77777777" w:rsidR="00553430" w:rsidRDefault="00212577">
            <w:pPr>
              <w:pStyle w:val="P68B1DB1-Normal102"/>
              <w:spacing w:after="0" w:line="240" w:lineRule="auto"/>
              <w:jc w:val="center"/>
              <w:textAlignment w:val="baseline"/>
              <w:rPr>
                <w:noProof/>
              </w:rPr>
            </w:pPr>
            <w:r>
              <w:rPr>
                <w:noProof/>
              </w:rPr>
              <w:t>353</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4FA7EE8C" w14:textId="77777777" w:rsidR="00553430" w:rsidRDefault="00212577">
            <w:pPr>
              <w:pStyle w:val="P68B1DB1-Normal102"/>
              <w:spacing w:after="0" w:line="240" w:lineRule="auto"/>
              <w:jc w:val="center"/>
              <w:textAlignment w:val="baseline"/>
              <w:rPr>
                <w:noProof/>
              </w:rPr>
            </w:pPr>
            <w:r>
              <w:rPr>
                <w:noProof/>
              </w:rPr>
              <w:t>C6.1. R1-I1</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877417B" w14:textId="77777777" w:rsidR="00553430" w:rsidRDefault="00212577">
            <w:pPr>
              <w:pStyle w:val="P68B1DB1-Normal102"/>
              <w:spacing w:after="0" w:line="240" w:lineRule="auto"/>
              <w:jc w:val="center"/>
              <w:textAlignment w:val="baseline"/>
              <w:rPr>
                <w:noProof/>
              </w:rPr>
            </w:pPr>
            <w:r>
              <w:rPr>
                <w:noProof/>
              </w:rPr>
              <w:t>T</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1217F69C" w14:textId="77777777" w:rsidR="00553430" w:rsidRDefault="00212577">
            <w:pPr>
              <w:pStyle w:val="P68B1DB1-Normal102"/>
              <w:spacing w:after="0" w:line="240" w:lineRule="auto"/>
              <w:textAlignment w:val="baseline"/>
              <w:rPr>
                <w:noProof/>
              </w:rPr>
            </w:pPr>
            <w:r>
              <w:rPr>
                <w:noProof/>
              </w:rPr>
              <w:t xml:space="preserve">Contrats signés pour la rénovation énergétique des bâtiments publics et collectifs </w:t>
            </w:r>
          </w:p>
        </w:tc>
      </w:tr>
      <w:tr w:rsidR="00553430" w14:paraId="4824B887"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42BEE007" w14:textId="77777777" w:rsidR="00553430" w:rsidRDefault="00212577">
            <w:pPr>
              <w:pStyle w:val="P68B1DB1-Normal102"/>
              <w:spacing w:after="0" w:line="240" w:lineRule="auto"/>
              <w:jc w:val="center"/>
              <w:textAlignment w:val="baseline"/>
              <w:rPr>
                <w:noProof/>
              </w:rPr>
            </w:pPr>
            <w:r>
              <w:rPr>
                <w:noProof/>
              </w:rPr>
              <w:t>359</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2FA53F57" w14:textId="77777777" w:rsidR="00553430" w:rsidRDefault="00212577">
            <w:pPr>
              <w:pStyle w:val="P68B1DB1-Normal102"/>
              <w:spacing w:after="0" w:line="240" w:lineRule="auto"/>
              <w:jc w:val="center"/>
              <w:textAlignment w:val="baseline"/>
              <w:rPr>
                <w:noProof/>
              </w:rPr>
            </w:pPr>
            <w:r>
              <w:rPr>
                <w:noProof/>
              </w:rPr>
              <w:t>C6.1. R2</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17BBB6D"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32D24819" w14:textId="77777777" w:rsidR="00553430" w:rsidRDefault="00212577">
            <w:pPr>
              <w:pStyle w:val="P68B1DB1-Normal102"/>
              <w:spacing w:after="0" w:line="240" w:lineRule="auto"/>
              <w:textAlignment w:val="baseline"/>
              <w:rPr>
                <w:noProof/>
              </w:rPr>
            </w:pPr>
            <w:r>
              <w:rPr>
                <w:noProof/>
              </w:rPr>
              <w:t>Adoption du plan national de développement des compétences dans le contexte des emplois verts liés à l’efficacité énergétique et à la reconstruction après le tremblement de terre</w:t>
            </w:r>
          </w:p>
        </w:tc>
      </w:tr>
      <w:tr w:rsidR="00553430" w14:paraId="04BA99F9"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43C7FDE4" w14:textId="77777777" w:rsidR="00553430" w:rsidRDefault="00212577">
            <w:pPr>
              <w:pStyle w:val="P68B1DB1-Normal102"/>
              <w:spacing w:after="0" w:line="240" w:lineRule="auto"/>
              <w:jc w:val="center"/>
              <w:textAlignment w:val="baseline"/>
              <w:rPr>
                <w:noProof/>
              </w:rPr>
            </w:pPr>
            <w:r>
              <w:rPr>
                <w:noProof/>
              </w:rPr>
              <w:t>363</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6A63EE6A" w14:textId="77777777" w:rsidR="00553430" w:rsidRDefault="00212577">
            <w:pPr>
              <w:pStyle w:val="P68B1DB1-Normal102"/>
              <w:spacing w:after="0" w:line="240" w:lineRule="auto"/>
              <w:jc w:val="center"/>
              <w:textAlignment w:val="baseline"/>
              <w:rPr>
                <w:noProof/>
              </w:rPr>
            </w:pPr>
            <w:r>
              <w:rPr>
                <w:noProof/>
              </w:rPr>
              <w:t>C6.1. R3</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6BE4981" w14:textId="77777777" w:rsidR="00553430" w:rsidRDefault="00212577">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1D168A0B" w14:textId="77777777" w:rsidR="00553430" w:rsidRDefault="00212577">
            <w:pPr>
              <w:pStyle w:val="P68B1DB1-Normal102"/>
              <w:spacing w:after="0" w:line="240" w:lineRule="auto"/>
              <w:textAlignment w:val="baseline"/>
              <w:rPr>
                <w:noProof/>
              </w:rPr>
            </w:pPr>
            <w:r>
              <w:rPr>
                <w:noProof/>
              </w:rPr>
              <w:t xml:space="preserve">Mise en place et exploitation d’un guichet unique en ligne pour la rénovation énergétique et le renforcement sismique </w:t>
            </w:r>
          </w:p>
        </w:tc>
      </w:tr>
      <w:tr w:rsidR="00553430" w14:paraId="707F7EF1"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05B18DFF" w14:textId="77777777" w:rsidR="00553430" w:rsidRDefault="00212577">
            <w:pPr>
              <w:pStyle w:val="P68B1DB1-Normal102"/>
              <w:spacing w:after="0" w:line="240" w:lineRule="auto"/>
              <w:jc w:val="center"/>
              <w:textAlignment w:val="baseline"/>
              <w:rPr>
                <w:noProof/>
              </w:rPr>
            </w:pPr>
            <w:r>
              <w:rPr>
                <w:noProof/>
              </w:rPr>
              <w:t>366</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07A12D62" w14:textId="77777777" w:rsidR="00553430" w:rsidRDefault="00212577">
            <w:pPr>
              <w:pStyle w:val="P68B1DB1-Normal102"/>
              <w:spacing w:after="0" w:line="240" w:lineRule="auto"/>
              <w:jc w:val="center"/>
              <w:textAlignment w:val="baseline"/>
              <w:rPr>
                <w:noProof/>
              </w:rPr>
            </w:pPr>
            <w:r>
              <w:rPr>
                <w:noProof/>
              </w:rPr>
              <w:t>C6.1. R4-I1</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D56AF7D" w14:textId="77777777" w:rsidR="00553430" w:rsidRDefault="00212577">
            <w:pPr>
              <w:pStyle w:val="P68B1DB1-Normal102"/>
              <w:spacing w:after="0" w:line="240" w:lineRule="auto"/>
              <w:jc w:val="center"/>
              <w:textAlignment w:val="baseline"/>
              <w:rPr>
                <w:noProof/>
              </w:rPr>
            </w:pPr>
            <w:r>
              <w:rPr>
                <w:noProof/>
              </w:rPr>
              <w:t>T</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119732AB" w14:textId="77777777" w:rsidR="00553430" w:rsidRDefault="00212577">
            <w:pPr>
              <w:pStyle w:val="P68B1DB1-Normal102"/>
              <w:spacing w:after="0" w:line="240" w:lineRule="auto"/>
              <w:textAlignment w:val="baseline"/>
              <w:rPr>
                <w:noProof/>
              </w:rPr>
            </w:pPr>
            <w:r>
              <w:rPr>
                <w:noProof/>
              </w:rPr>
              <w:t xml:space="preserve">Équipements sismiques achetés </w:t>
            </w:r>
          </w:p>
        </w:tc>
      </w:tr>
      <w:tr w:rsidR="00553430" w14:paraId="71CE4BF6"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6635E5ED" w14:textId="77777777" w:rsidR="00553430" w:rsidRDefault="00553430">
            <w:pPr>
              <w:spacing w:after="0" w:line="240" w:lineRule="auto"/>
              <w:jc w:val="center"/>
              <w:textAlignment w:val="baseline"/>
              <w:rPr>
                <w:rFonts w:ascii="Times New Roman" w:hAnsi="Times New Roman" w:cs="Times New Roman"/>
                <w:noProof/>
                <w:color w:val="000000"/>
                <w:sz w:val="20"/>
                <w:szCs w:val="20"/>
              </w:rPr>
            </w:pP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3CC29109" w14:textId="77777777" w:rsidR="00553430" w:rsidRDefault="00553430">
            <w:pPr>
              <w:spacing w:after="0" w:line="240" w:lineRule="auto"/>
              <w:jc w:val="center"/>
              <w:textAlignment w:val="baseline"/>
              <w:rPr>
                <w:rFonts w:ascii="Times New Roman" w:hAnsi="Times New Roman" w:cs="Times New Roman"/>
                <w:noProof/>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F42DB3E" w14:textId="77777777" w:rsidR="00553430" w:rsidRDefault="00212577">
            <w:pPr>
              <w:pStyle w:val="P68B1DB1-Normal102"/>
              <w:spacing w:after="0" w:line="240" w:lineRule="auto"/>
              <w:jc w:val="center"/>
              <w:textAlignment w:val="baseline"/>
              <w:rPr>
                <w:noProof/>
              </w:rPr>
            </w:pPr>
            <w:r>
              <w:rPr>
                <w:noProof/>
              </w:rPr>
              <w:t>Montant des acomptes provisionnels</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12E18C41" w14:textId="2AAB3217" w:rsidR="00553430" w:rsidRDefault="00212577">
            <w:pPr>
              <w:pStyle w:val="P68B1DB1-Normal102"/>
              <w:spacing w:after="0" w:line="240" w:lineRule="auto"/>
              <w:textAlignment w:val="baseline"/>
              <w:rPr>
                <w:noProof/>
              </w:rPr>
            </w:pPr>
            <w:r>
              <w:rPr>
                <w:noProof/>
              </w:rPr>
              <w:t>804 597 701 EUR</w:t>
            </w:r>
          </w:p>
        </w:tc>
      </w:tr>
    </w:tbl>
    <w:p w14:paraId="12451EF8" w14:textId="77777777" w:rsidR="00553430" w:rsidRDefault="00553430">
      <w:pPr>
        <w:rPr>
          <w:noProof/>
          <w:sz w:val="20"/>
          <w:szCs w:val="20"/>
        </w:rPr>
      </w:pPr>
    </w:p>
    <w:p w14:paraId="00C1DAA7" w14:textId="5B07E2A7" w:rsidR="00553430" w:rsidRDefault="00212577">
      <w:pPr>
        <w:pStyle w:val="P68B1DB1-Normal83"/>
        <w:numPr>
          <w:ilvl w:val="0"/>
          <w:numId w:val="80"/>
        </w:numPr>
        <w:spacing w:line="240" w:lineRule="auto"/>
        <w:contextualSpacing/>
        <w:jc w:val="both"/>
        <w:textAlignment w:val="baseline"/>
        <w:rPr>
          <w:noProof/>
        </w:rPr>
      </w:pPr>
      <w:r>
        <w:rPr>
          <w:noProof/>
        </w:rPr>
        <w:t xml:space="preserve"> Quatrième tranche (soutien non remboursable): </w:t>
      </w:r>
    </w:p>
    <w:p w14:paraId="27EDE1E1" w14:textId="77777777" w:rsidR="00553430" w:rsidRDefault="00553430">
      <w:pPr>
        <w:spacing w:line="240" w:lineRule="auto"/>
        <w:ind w:left="720"/>
        <w:contextualSpacing/>
        <w:jc w:val="both"/>
        <w:textAlignment w:val="baseline"/>
        <w:rPr>
          <w:rFonts w:ascii="Times New Roman" w:eastAsia="Times New Roman" w:hAnsi="Times New Roman" w:cs="Times New Roman"/>
          <w:noProof/>
          <w:sz w:val="24"/>
          <w:szCs w:val="24"/>
        </w:rPr>
      </w:pPr>
    </w:p>
    <w:tbl>
      <w:tblPr>
        <w:tblW w:w="935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6"/>
        <w:gridCol w:w="1639"/>
        <w:gridCol w:w="1274"/>
        <w:gridCol w:w="5347"/>
      </w:tblGrid>
      <w:tr w:rsidR="00553430" w14:paraId="26DC3D26" w14:textId="77777777">
        <w:trPr>
          <w:trHeight w:val="517"/>
          <w:tblHeader/>
        </w:trPr>
        <w:tc>
          <w:tcPr>
            <w:tcW w:w="1096" w:type="dxa"/>
            <w:shd w:val="clear" w:color="auto" w:fill="BDD7EE"/>
            <w:vAlign w:val="center"/>
            <w:hideMark/>
          </w:tcPr>
          <w:p w14:paraId="6BFF4AD4" w14:textId="77777777" w:rsidR="00553430" w:rsidRDefault="00212577">
            <w:pPr>
              <w:pStyle w:val="P68B1DB1-Normal76"/>
              <w:spacing w:after="0" w:line="240" w:lineRule="auto"/>
              <w:jc w:val="center"/>
              <w:textAlignment w:val="baseline"/>
              <w:rPr>
                <w:noProof/>
              </w:rPr>
            </w:pPr>
            <w:r>
              <w:rPr>
                <w:b/>
                <w:noProof/>
              </w:rPr>
              <w:t>Numéro séquentiel</w:t>
            </w:r>
            <w:r>
              <w:rPr>
                <w:noProof/>
              </w:rPr>
              <w:t> </w:t>
            </w:r>
          </w:p>
        </w:tc>
        <w:tc>
          <w:tcPr>
            <w:tcW w:w="1639" w:type="dxa"/>
            <w:shd w:val="clear" w:color="auto" w:fill="BDD7EE"/>
            <w:vAlign w:val="center"/>
            <w:hideMark/>
          </w:tcPr>
          <w:p w14:paraId="3BE6A768" w14:textId="77777777" w:rsidR="00553430" w:rsidRDefault="00212577">
            <w:pPr>
              <w:pStyle w:val="P68B1DB1-Normal76"/>
              <w:spacing w:after="0" w:line="240" w:lineRule="auto"/>
              <w:jc w:val="center"/>
              <w:textAlignment w:val="baseline"/>
              <w:rPr>
                <w:noProof/>
              </w:rPr>
            </w:pPr>
            <w:r>
              <w:rPr>
                <w:b/>
                <w:noProof/>
              </w:rPr>
              <w:t>Mesure connexe (réforme ou investissement)</w:t>
            </w:r>
            <w:r>
              <w:rPr>
                <w:noProof/>
              </w:rPr>
              <w:t> </w:t>
            </w:r>
          </w:p>
        </w:tc>
        <w:tc>
          <w:tcPr>
            <w:tcW w:w="1274" w:type="dxa"/>
            <w:shd w:val="clear" w:color="auto" w:fill="BDD7EE"/>
            <w:vAlign w:val="center"/>
            <w:hideMark/>
          </w:tcPr>
          <w:p w14:paraId="1AB110BB" w14:textId="77777777" w:rsidR="00553430" w:rsidRDefault="00212577">
            <w:pPr>
              <w:pStyle w:val="P68B1DB1-Normal76"/>
              <w:spacing w:after="0" w:line="240" w:lineRule="auto"/>
              <w:jc w:val="center"/>
              <w:textAlignment w:val="baseline"/>
              <w:rPr>
                <w:noProof/>
              </w:rPr>
            </w:pPr>
            <w:r>
              <w:rPr>
                <w:b/>
                <w:noProof/>
              </w:rPr>
              <w:t>Étape/cible</w:t>
            </w:r>
            <w:r>
              <w:rPr>
                <w:noProof/>
              </w:rPr>
              <w:t> </w:t>
            </w:r>
          </w:p>
        </w:tc>
        <w:tc>
          <w:tcPr>
            <w:tcW w:w="5347" w:type="dxa"/>
            <w:shd w:val="clear" w:color="auto" w:fill="BDD7EE"/>
            <w:vAlign w:val="center"/>
            <w:hideMark/>
          </w:tcPr>
          <w:p w14:paraId="15DBA882" w14:textId="77777777" w:rsidR="00553430" w:rsidRDefault="00212577">
            <w:pPr>
              <w:pStyle w:val="P68B1DB1-Normal76"/>
              <w:spacing w:after="0" w:line="240" w:lineRule="auto"/>
              <w:jc w:val="center"/>
              <w:textAlignment w:val="baseline"/>
              <w:rPr>
                <w:noProof/>
              </w:rPr>
            </w:pPr>
            <w:r>
              <w:rPr>
                <w:b/>
                <w:noProof/>
              </w:rPr>
              <w:t>Nom</w:t>
            </w:r>
            <w:r>
              <w:rPr>
                <w:noProof/>
              </w:rPr>
              <w:t> </w:t>
            </w:r>
          </w:p>
        </w:tc>
      </w:tr>
      <w:tr w:rsidR="00553430" w14:paraId="44194399" w14:textId="77777777">
        <w:trPr>
          <w:trHeight w:val="51"/>
        </w:trPr>
        <w:tc>
          <w:tcPr>
            <w:tcW w:w="1096" w:type="dxa"/>
            <w:shd w:val="clear" w:color="auto" w:fill="C6EFCE"/>
            <w:vAlign w:val="center"/>
            <w:hideMark/>
          </w:tcPr>
          <w:p w14:paraId="6A229DF0" w14:textId="77777777" w:rsidR="00553430" w:rsidRDefault="00212577">
            <w:pPr>
              <w:pStyle w:val="P68B1DB1-Normal102"/>
              <w:spacing w:after="0" w:line="240" w:lineRule="auto"/>
              <w:jc w:val="center"/>
              <w:textAlignment w:val="baseline"/>
              <w:rPr>
                <w:rFonts w:eastAsia="Times New Roman"/>
                <w:noProof/>
              </w:rPr>
            </w:pPr>
            <w:r>
              <w:rPr>
                <w:noProof/>
              </w:rPr>
              <w:t>39</w:t>
            </w:r>
          </w:p>
        </w:tc>
        <w:tc>
          <w:tcPr>
            <w:tcW w:w="1639" w:type="dxa"/>
            <w:shd w:val="clear" w:color="auto" w:fill="C6EFCE"/>
            <w:vAlign w:val="center"/>
            <w:hideMark/>
          </w:tcPr>
          <w:p w14:paraId="4D11F6CC" w14:textId="77777777" w:rsidR="00553430" w:rsidRDefault="00212577">
            <w:pPr>
              <w:pStyle w:val="P68B1DB1-Normal102"/>
              <w:spacing w:after="0" w:line="240" w:lineRule="auto"/>
              <w:jc w:val="center"/>
              <w:textAlignment w:val="baseline"/>
              <w:rPr>
                <w:rFonts w:eastAsia="Times New Roman"/>
                <w:noProof/>
              </w:rPr>
            </w:pPr>
            <w:r>
              <w:rPr>
                <w:noProof/>
              </w:rPr>
              <w:t>C1.2. R1-I1</w:t>
            </w:r>
          </w:p>
        </w:tc>
        <w:tc>
          <w:tcPr>
            <w:tcW w:w="1274" w:type="dxa"/>
            <w:shd w:val="clear" w:color="auto" w:fill="C6EFCE"/>
            <w:vAlign w:val="center"/>
            <w:hideMark/>
          </w:tcPr>
          <w:p w14:paraId="4535DE8E" w14:textId="77777777" w:rsidR="00553430" w:rsidRDefault="00212577">
            <w:pPr>
              <w:pStyle w:val="P68B1DB1-Normal102"/>
              <w:spacing w:after="0" w:line="240" w:lineRule="auto"/>
              <w:jc w:val="center"/>
              <w:textAlignment w:val="baseline"/>
              <w:rPr>
                <w:rFonts w:eastAsia="Times New Roman"/>
                <w:noProof/>
              </w:rPr>
            </w:pPr>
            <w:r>
              <w:rPr>
                <w:noProof/>
              </w:rPr>
              <w:t>M</w:t>
            </w:r>
          </w:p>
        </w:tc>
        <w:tc>
          <w:tcPr>
            <w:tcW w:w="5347" w:type="dxa"/>
            <w:shd w:val="clear" w:color="auto" w:fill="C6EFCE"/>
            <w:vAlign w:val="center"/>
            <w:hideMark/>
          </w:tcPr>
          <w:p w14:paraId="3EA7BD63" w14:textId="77777777" w:rsidR="00553430" w:rsidRDefault="00212577">
            <w:pPr>
              <w:pStyle w:val="P68B1DB1-Normal102"/>
              <w:spacing w:after="0" w:line="240" w:lineRule="auto"/>
              <w:textAlignment w:val="baseline"/>
              <w:rPr>
                <w:rFonts w:eastAsia="Times New Roman"/>
                <w:noProof/>
              </w:rPr>
            </w:pPr>
            <w:r>
              <w:rPr>
                <w:noProof/>
              </w:rPr>
              <w:t>Autorisation de construction accordée pour la mise à niveau du réseau à haute tension</w:t>
            </w:r>
          </w:p>
        </w:tc>
      </w:tr>
      <w:tr w:rsidR="00553430" w14:paraId="27027D32" w14:textId="77777777">
        <w:trPr>
          <w:trHeight w:val="51"/>
        </w:trPr>
        <w:tc>
          <w:tcPr>
            <w:tcW w:w="1096" w:type="dxa"/>
            <w:shd w:val="clear" w:color="auto" w:fill="C6EFCE"/>
            <w:vAlign w:val="center"/>
            <w:hideMark/>
          </w:tcPr>
          <w:p w14:paraId="18432D1C" w14:textId="77777777" w:rsidR="00553430" w:rsidRDefault="00212577">
            <w:pPr>
              <w:pStyle w:val="P68B1DB1-Normal102"/>
              <w:spacing w:after="0" w:line="240" w:lineRule="auto"/>
              <w:jc w:val="center"/>
              <w:textAlignment w:val="baseline"/>
              <w:rPr>
                <w:rFonts w:eastAsia="Times New Roman"/>
                <w:noProof/>
              </w:rPr>
            </w:pPr>
            <w:r>
              <w:rPr>
                <w:noProof/>
              </w:rPr>
              <w:t>163</w:t>
            </w:r>
          </w:p>
        </w:tc>
        <w:tc>
          <w:tcPr>
            <w:tcW w:w="1639" w:type="dxa"/>
            <w:shd w:val="clear" w:color="auto" w:fill="C6EFCE"/>
            <w:vAlign w:val="center"/>
            <w:hideMark/>
          </w:tcPr>
          <w:p w14:paraId="64264D8E" w14:textId="77777777" w:rsidR="00553430" w:rsidRDefault="00212577">
            <w:pPr>
              <w:pStyle w:val="P68B1DB1-Normal102"/>
              <w:spacing w:after="0" w:line="240" w:lineRule="auto"/>
              <w:jc w:val="center"/>
              <w:textAlignment w:val="baseline"/>
              <w:rPr>
                <w:rFonts w:eastAsia="Times New Roman"/>
                <w:noProof/>
              </w:rPr>
            </w:pPr>
            <w:r>
              <w:rPr>
                <w:noProof/>
              </w:rPr>
              <w:t>C2.2. R1</w:t>
            </w:r>
          </w:p>
        </w:tc>
        <w:tc>
          <w:tcPr>
            <w:tcW w:w="1274" w:type="dxa"/>
            <w:shd w:val="clear" w:color="auto" w:fill="C6EFCE"/>
            <w:vAlign w:val="center"/>
            <w:hideMark/>
          </w:tcPr>
          <w:p w14:paraId="2C7A3E3E" w14:textId="77777777" w:rsidR="00553430" w:rsidRDefault="00212577">
            <w:pPr>
              <w:pStyle w:val="P68B1DB1-Normal102"/>
              <w:spacing w:after="0" w:line="240" w:lineRule="auto"/>
              <w:jc w:val="center"/>
              <w:textAlignment w:val="baseline"/>
              <w:rPr>
                <w:rFonts w:eastAsia="Times New Roman"/>
                <w:noProof/>
              </w:rPr>
            </w:pPr>
            <w:r>
              <w:rPr>
                <w:noProof/>
              </w:rPr>
              <w:t>M</w:t>
            </w:r>
          </w:p>
        </w:tc>
        <w:tc>
          <w:tcPr>
            <w:tcW w:w="5347" w:type="dxa"/>
            <w:shd w:val="clear" w:color="auto" w:fill="C6EFCE"/>
            <w:vAlign w:val="center"/>
            <w:hideMark/>
          </w:tcPr>
          <w:p w14:paraId="68B29B73" w14:textId="77777777" w:rsidR="00553430" w:rsidRDefault="00212577">
            <w:pPr>
              <w:pStyle w:val="P68B1DB1-Normal102"/>
              <w:spacing w:after="0" w:line="240" w:lineRule="auto"/>
              <w:textAlignment w:val="baseline"/>
              <w:rPr>
                <w:rFonts w:eastAsia="Times New Roman"/>
                <w:noProof/>
              </w:rPr>
            </w:pPr>
            <w:r>
              <w:rPr>
                <w:noProof/>
              </w:rPr>
              <w:t xml:space="preserve">Cadre </w:t>
            </w:r>
            <w:r>
              <w:rPr>
                <w:noProof/>
              </w:rPr>
              <w:t>législatif modifié pour un système centralisé de sélection dans l'administration publique, identifiant les qualifications nécessaires des fonctionnaires et mettant en place un système de recrutement moderne</w:t>
            </w:r>
          </w:p>
        </w:tc>
      </w:tr>
      <w:tr w:rsidR="00553430" w14:paraId="00E0DC98" w14:textId="77777777">
        <w:trPr>
          <w:trHeight w:val="51"/>
        </w:trPr>
        <w:tc>
          <w:tcPr>
            <w:tcW w:w="1096" w:type="dxa"/>
            <w:shd w:val="clear" w:color="auto" w:fill="C6EFCE"/>
            <w:vAlign w:val="center"/>
            <w:hideMark/>
          </w:tcPr>
          <w:p w14:paraId="2589A8A7" w14:textId="77777777" w:rsidR="00553430" w:rsidRDefault="00212577">
            <w:pPr>
              <w:pStyle w:val="P68B1DB1-Normal102"/>
              <w:spacing w:after="0" w:line="240" w:lineRule="auto"/>
              <w:jc w:val="center"/>
              <w:textAlignment w:val="baseline"/>
              <w:rPr>
                <w:rFonts w:eastAsia="Times New Roman"/>
                <w:noProof/>
              </w:rPr>
            </w:pPr>
            <w:r>
              <w:rPr>
                <w:noProof/>
              </w:rPr>
              <w:t>166</w:t>
            </w:r>
          </w:p>
        </w:tc>
        <w:tc>
          <w:tcPr>
            <w:tcW w:w="1639" w:type="dxa"/>
            <w:shd w:val="clear" w:color="auto" w:fill="C6EFCE"/>
            <w:vAlign w:val="center"/>
            <w:hideMark/>
          </w:tcPr>
          <w:p w14:paraId="2D17DF11" w14:textId="77777777" w:rsidR="00553430" w:rsidRDefault="00212577">
            <w:pPr>
              <w:pStyle w:val="P68B1DB1-Normal102"/>
              <w:spacing w:after="0" w:line="240" w:lineRule="auto"/>
              <w:jc w:val="center"/>
              <w:textAlignment w:val="baseline"/>
              <w:rPr>
                <w:rFonts w:eastAsia="Times New Roman"/>
                <w:noProof/>
              </w:rPr>
            </w:pPr>
            <w:r>
              <w:rPr>
                <w:noProof/>
              </w:rPr>
              <w:t>C2.2. R2</w:t>
            </w:r>
          </w:p>
        </w:tc>
        <w:tc>
          <w:tcPr>
            <w:tcW w:w="1274" w:type="dxa"/>
            <w:shd w:val="clear" w:color="auto" w:fill="C6EFCE"/>
            <w:vAlign w:val="center"/>
            <w:hideMark/>
          </w:tcPr>
          <w:p w14:paraId="07D56532" w14:textId="77777777" w:rsidR="00553430" w:rsidRDefault="00212577">
            <w:pPr>
              <w:pStyle w:val="P68B1DB1-Normal102"/>
              <w:spacing w:after="0" w:line="240" w:lineRule="auto"/>
              <w:jc w:val="center"/>
              <w:textAlignment w:val="baseline"/>
              <w:rPr>
                <w:rFonts w:eastAsia="Times New Roman"/>
                <w:noProof/>
              </w:rPr>
            </w:pPr>
            <w:r>
              <w:rPr>
                <w:noProof/>
              </w:rPr>
              <w:t>M</w:t>
            </w:r>
          </w:p>
        </w:tc>
        <w:tc>
          <w:tcPr>
            <w:tcW w:w="5347" w:type="dxa"/>
            <w:shd w:val="clear" w:color="auto" w:fill="C6EFCE"/>
            <w:vAlign w:val="center"/>
            <w:hideMark/>
          </w:tcPr>
          <w:p w14:paraId="2097F6B9" w14:textId="77777777" w:rsidR="00553430" w:rsidRDefault="00212577">
            <w:pPr>
              <w:pStyle w:val="P68B1DB1-Normal102"/>
              <w:spacing w:after="0" w:line="240" w:lineRule="auto"/>
              <w:textAlignment w:val="baseline"/>
              <w:rPr>
                <w:rFonts w:eastAsia="Times New Roman"/>
                <w:noProof/>
              </w:rPr>
            </w:pPr>
            <w:r>
              <w:rPr>
                <w:noProof/>
              </w:rPr>
              <w:t>Entrée en vigueur des lois sur le</w:t>
            </w:r>
            <w:r>
              <w:rPr>
                <w:noProof/>
              </w:rPr>
              <w:t>s salaires dans l'administration publique et les services publics et des règlements sur la mobilité</w:t>
            </w:r>
          </w:p>
        </w:tc>
      </w:tr>
      <w:tr w:rsidR="00553430" w14:paraId="73CFDCED" w14:textId="77777777">
        <w:trPr>
          <w:trHeight w:val="51"/>
        </w:trPr>
        <w:tc>
          <w:tcPr>
            <w:tcW w:w="1096" w:type="dxa"/>
            <w:shd w:val="clear" w:color="auto" w:fill="C6EFCE"/>
            <w:vAlign w:val="center"/>
          </w:tcPr>
          <w:p w14:paraId="4D7B6E56" w14:textId="77777777" w:rsidR="00553430" w:rsidRDefault="00212577">
            <w:pPr>
              <w:pStyle w:val="P68B1DB1-Normal102"/>
              <w:spacing w:after="0" w:line="240" w:lineRule="auto"/>
              <w:jc w:val="center"/>
              <w:textAlignment w:val="baseline"/>
              <w:rPr>
                <w:noProof/>
              </w:rPr>
            </w:pPr>
            <w:r>
              <w:rPr>
                <w:noProof/>
              </w:rPr>
              <w:t>205</w:t>
            </w:r>
          </w:p>
        </w:tc>
        <w:tc>
          <w:tcPr>
            <w:tcW w:w="1639" w:type="dxa"/>
            <w:shd w:val="clear" w:color="auto" w:fill="C6EFCE"/>
            <w:vAlign w:val="center"/>
          </w:tcPr>
          <w:p w14:paraId="1344BF26" w14:textId="77777777" w:rsidR="00553430" w:rsidRDefault="00212577">
            <w:pPr>
              <w:pStyle w:val="P68B1DB1-Normal102"/>
              <w:spacing w:after="0" w:line="240" w:lineRule="auto"/>
              <w:jc w:val="center"/>
              <w:textAlignment w:val="baseline"/>
              <w:rPr>
                <w:noProof/>
              </w:rPr>
            </w:pPr>
            <w:r>
              <w:rPr>
                <w:noProof/>
              </w:rPr>
              <w:t>C2.3. R4-I2</w:t>
            </w:r>
          </w:p>
        </w:tc>
        <w:tc>
          <w:tcPr>
            <w:tcW w:w="1274" w:type="dxa"/>
            <w:shd w:val="clear" w:color="auto" w:fill="C6EFCE"/>
            <w:vAlign w:val="center"/>
          </w:tcPr>
          <w:p w14:paraId="4F65D4F1"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0A70DFA" w14:textId="77777777" w:rsidR="00553430" w:rsidRDefault="00212577">
            <w:pPr>
              <w:pStyle w:val="P68B1DB1-Normal102"/>
              <w:spacing w:after="0" w:line="240" w:lineRule="auto"/>
              <w:textAlignment w:val="baseline"/>
              <w:rPr>
                <w:noProof/>
              </w:rPr>
            </w:pPr>
            <w:r>
              <w:rPr>
                <w:noProof/>
              </w:rPr>
              <w:t>Signature d'une convention de subvention pour la construction d'infrastructures de communications électroniques passives</w:t>
            </w:r>
          </w:p>
        </w:tc>
      </w:tr>
      <w:tr w:rsidR="00553430" w14:paraId="02BD4B86" w14:textId="77777777">
        <w:trPr>
          <w:trHeight w:val="51"/>
        </w:trPr>
        <w:tc>
          <w:tcPr>
            <w:tcW w:w="1096" w:type="dxa"/>
            <w:shd w:val="clear" w:color="auto" w:fill="C6EFCE"/>
            <w:vAlign w:val="center"/>
          </w:tcPr>
          <w:p w14:paraId="085B5747" w14:textId="77777777" w:rsidR="00553430" w:rsidRDefault="00212577">
            <w:pPr>
              <w:pStyle w:val="P68B1DB1-Normal102"/>
              <w:spacing w:after="0" w:line="240" w:lineRule="auto"/>
              <w:jc w:val="center"/>
              <w:textAlignment w:val="baseline"/>
              <w:rPr>
                <w:noProof/>
              </w:rPr>
            </w:pPr>
            <w:r>
              <w:rPr>
                <w:noProof/>
              </w:rPr>
              <w:t>217</w:t>
            </w:r>
          </w:p>
        </w:tc>
        <w:tc>
          <w:tcPr>
            <w:tcW w:w="1639" w:type="dxa"/>
            <w:shd w:val="clear" w:color="auto" w:fill="C6EFCE"/>
            <w:vAlign w:val="center"/>
          </w:tcPr>
          <w:p w14:paraId="332FF6EA" w14:textId="77777777" w:rsidR="00553430" w:rsidRDefault="00212577">
            <w:pPr>
              <w:pStyle w:val="P68B1DB1-Normal102"/>
              <w:spacing w:after="0" w:line="240" w:lineRule="auto"/>
              <w:jc w:val="center"/>
              <w:textAlignment w:val="baseline"/>
              <w:rPr>
                <w:noProof/>
              </w:rPr>
            </w:pPr>
            <w:r>
              <w:rPr>
                <w:noProof/>
              </w:rPr>
              <w:t>C2.5. R1</w:t>
            </w:r>
          </w:p>
        </w:tc>
        <w:tc>
          <w:tcPr>
            <w:tcW w:w="1274" w:type="dxa"/>
            <w:shd w:val="clear" w:color="auto" w:fill="C6EFCE"/>
            <w:vAlign w:val="center"/>
          </w:tcPr>
          <w:p w14:paraId="52204AB8"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BDF5B45" w14:textId="77777777" w:rsidR="00553430" w:rsidRDefault="00212577">
            <w:pPr>
              <w:pStyle w:val="P68B1DB1-Normal102"/>
              <w:spacing w:after="0" w:line="240" w:lineRule="auto"/>
              <w:textAlignment w:val="baseline"/>
              <w:rPr>
                <w:noProof/>
              </w:rPr>
            </w:pPr>
            <w:r>
              <w:rPr>
                <w:noProof/>
              </w:rPr>
              <w:t>Nouveaux programmes de formation introduits dans le cadre du programme de formation judiciaire</w:t>
            </w:r>
          </w:p>
        </w:tc>
      </w:tr>
      <w:tr w:rsidR="00553430" w14:paraId="4D89FDB8" w14:textId="77777777">
        <w:trPr>
          <w:trHeight w:val="51"/>
        </w:trPr>
        <w:tc>
          <w:tcPr>
            <w:tcW w:w="1096" w:type="dxa"/>
            <w:shd w:val="clear" w:color="auto" w:fill="C6EFCE"/>
            <w:vAlign w:val="center"/>
          </w:tcPr>
          <w:p w14:paraId="330704E9" w14:textId="77777777" w:rsidR="00553430" w:rsidRDefault="00212577">
            <w:pPr>
              <w:pStyle w:val="P68B1DB1-Normal102"/>
              <w:spacing w:after="0" w:line="240" w:lineRule="auto"/>
              <w:jc w:val="center"/>
              <w:textAlignment w:val="baseline"/>
              <w:rPr>
                <w:noProof/>
              </w:rPr>
            </w:pPr>
            <w:r>
              <w:rPr>
                <w:noProof/>
              </w:rPr>
              <w:t>218</w:t>
            </w:r>
          </w:p>
        </w:tc>
        <w:tc>
          <w:tcPr>
            <w:tcW w:w="1639" w:type="dxa"/>
            <w:shd w:val="clear" w:color="auto" w:fill="C6EFCE"/>
            <w:vAlign w:val="center"/>
          </w:tcPr>
          <w:p w14:paraId="2F541F16" w14:textId="77777777" w:rsidR="00553430" w:rsidRDefault="00212577">
            <w:pPr>
              <w:pStyle w:val="P68B1DB1-Normal102"/>
              <w:spacing w:after="0" w:line="240" w:lineRule="auto"/>
              <w:jc w:val="center"/>
              <w:textAlignment w:val="baseline"/>
              <w:rPr>
                <w:noProof/>
              </w:rPr>
            </w:pPr>
            <w:r>
              <w:rPr>
                <w:noProof/>
              </w:rPr>
              <w:t>C2.5. R1</w:t>
            </w:r>
          </w:p>
        </w:tc>
        <w:tc>
          <w:tcPr>
            <w:tcW w:w="1274" w:type="dxa"/>
            <w:shd w:val="clear" w:color="auto" w:fill="C6EFCE"/>
            <w:vAlign w:val="center"/>
          </w:tcPr>
          <w:p w14:paraId="49396190"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960B199" w14:textId="77777777" w:rsidR="00553430" w:rsidRDefault="00212577">
            <w:pPr>
              <w:pStyle w:val="P68B1DB1-Normal102"/>
              <w:spacing w:after="0" w:line="240" w:lineRule="auto"/>
              <w:textAlignment w:val="baseline"/>
              <w:rPr>
                <w:noProof/>
              </w:rPr>
            </w:pPr>
            <w:r>
              <w:rPr>
                <w:noProof/>
              </w:rPr>
              <w:t>Adoption de modifications du cadre législatif dans le domaine de la justice avec la nouvelle loi sur la procédure non contentieuse.</w:t>
            </w:r>
          </w:p>
        </w:tc>
      </w:tr>
      <w:tr w:rsidR="00553430" w14:paraId="2991DC36" w14:textId="77777777">
        <w:trPr>
          <w:trHeight w:val="269"/>
        </w:trPr>
        <w:tc>
          <w:tcPr>
            <w:tcW w:w="1096" w:type="dxa"/>
            <w:shd w:val="clear" w:color="auto" w:fill="C6EFCE"/>
            <w:vAlign w:val="center"/>
          </w:tcPr>
          <w:p w14:paraId="41D74C18" w14:textId="77777777" w:rsidR="00553430" w:rsidRDefault="00212577">
            <w:pPr>
              <w:pStyle w:val="P68B1DB1-Normal102"/>
              <w:spacing w:after="0" w:line="240" w:lineRule="auto"/>
              <w:jc w:val="center"/>
              <w:textAlignment w:val="baseline"/>
              <w:rPr>
                <w:noProof/>
              </w:rPr>
            </w:pPr>
            <w:r>
              <w:rPr>
                <w:noProof/>
              </w:rPr>
              <w:t>219</w:t>
            </w:r>
          </w:p>
        </w:tc>
        <w:tc>
          <w:tcPr>
            <w:tcW w:w="1639" w:type="dxa"/>
            <w:shd w:val="clear" w:color="auto" w:fill="C6EFCE"/>
            <w:vAlign w:val="center"/>
          </w:tcPr>
          <w:p w14:paraId="7B8EFCCC" w14:textId="77777777" w:rsidR="00553430" w:rsidRDefault="00212577">
            <w:pPr>
              <w:pStyle w:val="P68B1DB1-Normal102"/>
              <w:spacing w:after="0" w:line="240" w:lineRule="auto"/>
              <w:jc w:val="center"/>
              <w:textAlignment w:val="baseline"/>
              <w:rPr>
                <w:noProof/>
              </w:rPr>
            </w:pPr>
            <w:r>
              <w:rPr>
                <w:noProof/>
              </w:rPr>
              <w:t>C2.5. R1</w:t>
            </w:r>
          </w:p>
        </w:tc>
        <w:tc>
          <w:tcPr>
            <w:tcW w:w="1274" w:type="dxa"/>
            <w:shd w:val="clear" w:color="auto" w:fill="C6EFCE"/>
            <w:vAlign w:val="center"/>
          </w:tcPr>
          <w:p w14:paraId="37851446"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7678625" w14:textId="77777777" w:rsidR="00553430" w:rsidRDefault="00212577">
            <w:pPr>
              <w:pStyle w:val="P68B1DB1-Normal102"/>
              <w:spacing w:after="0" w:line="240" w:lineRule="auto"/>
              <w:textAlignment w:val="baseline"/>
              <w:rPr>
                <w:noProof/>
              </w:rPr>
            </w:pPr>
            <w:r>
              <w:rPr>
                <w:noProof/>
              </w:rPr>
              <w:t>Création de quatre centres de médiation dans les tribunaux de commerce de Zagreb, Split, Osijek et Rijeka et adoption de modifications à la loi sur la médiation</w:t>
            </w:r>
          </w:p>
        </w:tc>
      </w:tr>
      <w:tr w:rsidR="00553430" w14:paraId="2516A4CC" w14:textId="77777777">
        <w:trPr>
          <w:trHeight w:val="51"/>
        </w:trPr>
        <w:tc>
          <w:tcPr>
            <w:tcW w:w="1096" w:type="dxa"/>
            <w:shd w:val="clear" w:color="auto" w:fill="C6EFCE"/>
            <w:vAlign w:val="center"/>
          </w:tcPr>
          <w:p w14:paraId="5BB9C1E2" w14:textId="77777777" w:rsidR="00553430" w:rsidRDefault="00212577">
            <w:pPr>
              <w:pStyle w:val="P68B1DB1-Normal102"/>
              <w:spacing w:after="0" w:line="240" w:lineRule="auto"/>
              <w:jc w:val="center"/>
              <w:textAlignment w:val="baseline"/>
              <w:rPr>
                <w:noProof/>
              </w:rPr>
            </w:pPr>
            <w:r>
              <w:rPr>
                <w:noProof/>
              </w:rPr>
              <w:t>257</w:t>
            </w:r>
          </w:p>
        </w:tc>
        <w:tc>
          <w:tcPr>
            <w:tcW w:w="1639" w:type="dxa"/>
            <w:shd w:val="clear" w:color="auto" w:fill="C6EFCE"/>
            <w:vAlign w:val="center"/>
          </w:tcPr>
          <w:p w14:paraId="004FD2C6" w14:textId="77777777" w:rsidR="00553430" w:rsidRDefault="00212577">
            <w:pPr>
              <w:pStyle w:val="P68B1DB1-Normal102"/>
              <w:spacing w:after="0" w:line="240" w:lineRule="auto"/>
              <w:jc w:val="center"/>
              <w:textAlignment w:val="baseline"/>
              <w:rPr>
                <w:noProof/>
              </w:rPr>
            </w:pPr>
            <w:r>
              <w:rPr>
                <w:noProof/>
              </w:rPr>
              <w:t>C2.9. R1</w:t>
            </w:r>
          </w:p>
        </w:tc>
        <w:tc>
          <w:tcPr>
            <w:tcW w:w="1274" w:type="dxa"/>
            <w:shd w:val="clear" w:color="auto" w:fill="C6EFCE"/>
            <w:vAlign w:val="center"/>
          </w:tcPr>
          <w:p w14:paraId="115596FA"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B8DAC45" w14:textId="77777777" w:rsidR="00553430" w:rsidRDefault="00212577">
            <w:pPr>
              <w:pStyle w:val="P68B1DB1-Normal102"/>
              <w:spacing w:after="0" w:line="240" w:lineRule="auto"/>
              <w:textAlignment w:val="baseline"/>
              <w:rPr>
                <w:noProof/>
              </w:rPr>
            </w:pPr>
            <w:r>
              <w:rPr>
                <w:noProof/>
              </w:rPr>
              <w:t>Modification des règles relatives à la formation dans le domaine des marchés</w:t>
            </w:r>
            <w:r>
              <w:rPr>
                <w:noProof/>
              </w:rPr>
              <w:t xml:space="preserve"> publics</w:t>
            </w:r>
          </w:p>
        </w:tc>
      </w:tr>
      <w:tr w:rsidR="00553430" w14:paraId="08FBA6CA" w14:textId="77777777">
        <w:trPr>
          <w:trHeight w:val="51"/>
        </w:trPr>
        <w:tc>
          <w:tcPr>
            <w:tcW w:w="1096" w:type="dxa"/>
            <w:shd w:val="clear" w:color="auto" w:fill="C6EFCE"/>
            <w:vAlign w:val="center"/>
          </w:tcPr>
          <w:p w14:paraId="70BCE7F8" w14:textId="77777777" w:rsidR="00553430" w:rsidRDefault="00212577">
            <w:pPr>
              <w:pStyle w:val="P68B1DB1-Normal102"/>
              <w:spacing w:after="0" w:line="240" w:lineRule="auto"/>
              <w:jc w:val="center"/>
              <w:textAlignment w:val="baseline"/>
              <w:rPr>
                <w:noProof/>
              </w:rPr>
            </w:pPr>
            <w:r>
              <w:rPr>
                <w:noProof/>
              </w:rPr>
              <w:t>267</w:t>
            </w:r>
          </w:p>
        </w:tc>
        <w:tc>
          <w:tcPr>
            <w:tcW w:w="1639" w:type="dxa"/>
            <w:shd w:val="clear" w:color="auto" w:fill="C6EFCE"/>
            <w:vAlign w:val="center"/>
          </w:tcPr>
          <w:p w14:paraId="1A1C0856" w14:textId="77777777" w:rsidR="00553430" w:rsidRDefault="00212577">
            <w:pPr>
              <w:pStyle w:val="P68B1DB1-Normal102"/>
              <w:spacing w:after="0" w:line="240" w:lineRule="auto"/>
              <w:jc w:val="center"/>
              <w:textAlignment w:val="baseline"/>
              <w:rPr>
                <w:noProof/>
              </w:rPr>
            </w:pPr>
            <w:r>
              <w:rPr>
                <w:noProof/>
              </w:rPr>
              <w:t>C3.1. R1</w:t>
            </w:r>
          </w:p>
        </w:tc>
        <w:tc>
          <w:tcPr>
            <w:tcW w:w="1274" w:type="dxa"/>
            <w:shd w:val="clear" w:color="auto" w:fill="C6EFCE"/>
            <w:vAlign w:val="center"/>
          </w:tcPr>
          <w:p w14:paraId="40788CCE"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6BBE9233" w14:textId="77777777" w:rsidR="00553430" w:rsidRDefault="00212577">
            <w:pPr>
              <w:pStyle w:val="P68B1DB1-Normal102"/>
              <w:spacing w:after="0" w:line="240" w:lineRule="auto"/>
              <w:textAlignment w:val="baseline"/>
              <w:rPr>
                <w:noProof/>
              </w:rPr>
            </w:pPr>
            <w:r>
              <w:rPr>
                <w:noProof/>
              </w:rPr>
              <w:t>Adoption du modèle de financement de l'éducation et de l'accueil de la petite enfance</w:t>
            </w:r>
          </w:p>
        </w:tc>
      </w:tr>
      <w:tr w:rsidR="00553430" w14:paraId="4D112F90" w14:textId="77777777">
        <w:trPr>
          <w:trHeight w:val="51"/>
        </w:trPr>
        <w:tc>
          <w:tcPr>
            <w:tcW w:w="1096" w:type="dxa"/>
            <w:shd w:val="clear" w:color="auto" w:fill="C6EFCE"/>
            <w:vAlign w:val="center"/>
          </w:tcPr>
          <w:p w14:paraId="393A5B64" w14:textId="77777777" w:rsidR="00553430" w:rsidRDefault="00212577">
            <w:pPr>
              <w:pStyle w:val="P68B1DB1-Normal102"/>
              <w:spacing w:after="0" w:line="240" w:lineRule="auto"/>
              <w:jc w:val="center"/>
              <w:textAlignment w:val="baseline"/>
              <w:rPr>
                <w:noProof/>
              </w:rPr>
            </w:pPr>
            <w:r>
              <w:rPr>
                <w:noProof/>
              </w:rPr>
              <w:t>276</w:t>
            </w:r>
          </w:p>
        </w:tc>
        <w:tc>
          <w:tcPr>
            <w:tcW w:w="1639" w:type="dxa"/>
            <w:shd w:val="clear" w:color="auto" w:fill="C6EFCE"/>
            <w:vAlign w:val="center"/>
          </w:tcPr>
          <w:p w14:paraId="0ED0D429" w14:textId="77777777" w:rsidR="00553430" w:rsidRDefault="00212577">
            <w:pPr>
              <w:pStyle w:val="P68B1DB1-Normal102"/>
              <w:spacing w:after="0" w:line="240" w:lineRule="auto"/>
              <w:jc w:val="center"/>
              <w:textAlignment w:val="baseline"/>
              <w:rPr>
                <w:noProof/>
              </w:rPr>
            </w:pPr>
            <w:r>
              <w:rPr>
                <w:noProof/>
              </w:rPr>
              <w:t>C3.2. R1-I1</w:t>
            </w:r>
          </w:p>
        </w:tc>
        <w:tc>
          <w:tcPr>
            <w:tcW w:w="1274" w:type="dxa"/>
            <w:shd w:val="clear" w:color="auto" w:fill="C6EFCE"/>
            <w:vAlign w:val="center"/>
          </w:tcPr>
          <w:p w14:paraId="7C67F1A6"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AAE5575" w14:textId="77777777" w:rsidR="00553430" w:rsidRDefault="00212577">
            <w:pPr>
              <w:pStyle w:val="P68B1DB1-Normal102"/>
              <w:spacing w:after="0" w:line="240" w:lineRule="auto"/>
              <w:textAlignment w:val="baseline"/>
              <w:rPr>
                <w:noProof/>
              </w:rPr>
            </w:pPr>
            <w:r>
              <w:rPr>
                <w:noProof/>
              </w:rPr>
              <w:t>Financement alloué à des projets de recherche sur la base d'appels internes lancés par des organismes de recherche au cours du</w:t>
            </w:r>
            <w:r>
              <w:rPr>
                <w:noProof/>
              </w:rPr>
              <w:t xml:space="preserve"> premier cycle de deux ans de mise en œuvre des accords de programme</w:t>
            </w:r>
          </w:p>
        </w:tc>
      </w:tr>
      <w:tr w:rsidR="00553430" w14:paraId="5826EE2C" w14:textId="77777777">
        <w:trPr>
          <w:trHeight w:val="51"/>
        </w:trPr>
        <w:tc>
          <w:tcPr>
            <w:tcW w:w="1096" w:type="dxa"/>
            <w:shd w:val="clear" w:color="auto" w:fill="C6EFCE"/>
            <w:vAlign w:val="center"/>
          </w:tcPr>
          <w:p w14:paraId="275A7AC9" w14:textId="77777777" w:rsidR="00553430" w:rsidRDefault="00212577">
            <w:pPr>
              <w:pStyle w:val="P68B1DB1-Normal102"/>
              <w:spacing w:after="0" w:line="240" w:lineRule="auto"/>
              <w:jc w:val="center"/>
              <w:textAlignment w:val="baseline"/>
              <w:rPr>
                <w:noProof/>
              </w:rPr>
            </w:pPr>
            <w:r>
              <w:rPr>
                <w:noProof/>
              </w:rPr>
              <w:t>297</w:t>
            </w:r>
          </w:p>
        </w:tc>
        <w:tc>
          <w:tcPr>
            <w:tcW w:w="1639" w:type="dxa"/>
            <w:shd w:val="clear" w:color="auto" w:fill="C6EFCE"/>
            <w:vAlign w:val="center"/>
          </w:tcPr>
          <w:p w14:paraId="552531D5" w14:textId="77777777" w:rsidR="00553430" w:rsidRDefault="00212577">
            <w:pPr>
              <w:pStyle w:val="P68B1DB1-Normal102"/>
              <w:spacing w:after="0" w:line="240" w:lineRule="auto"/>
              <w:jc w:val="center"/>
              <w:textAlignment w:val="baseline"/>
              <w:rPr>
                <w:noProof/>
              </w:rPr>
            </w:pPr>
            <w:r>
              <w:rPr>
                <w:noProof/>
              </w:rPr>
              <w:t>C4.2. R1</w:t>
            </w:r>
          </w:p>
        </w:tc>
        <w:tc>
          <w:tcPr>
            <w:tcW w:w="1274" w:type="dxa"/>
            <w:shd w:val="clear" w:color="auto" w:fill="C6EFCE"/>
            <w:vAlign w:val="center"/>
          </w:tcPr>
          <w:p w14:paraId="0EF596CB"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7EA69820" w14:textId="77777777" w:rsidR="00553430" w:rsidRDefault="00212577">
            <w:pPr>
              <w:pStyle w:val="P68B1DB1-Normal102"/>
              <w:spacing w:after="0" w:line="240" w:lineRule="auto"/>
              <w:textAlignment w:val="baseline"/>
              <w:rPr>
                <w:noProof/>
              </w:rPr>
            </w:pPr>
            <w:r>
              <w:rPr>
                <w:noProof/>
              </w:rPr>
              <w:t>Adoption de modifications à la Loi sur l'assurance-pension</w:t>
            </w:r>
          </w:p>
        </w:tc>
      </w:tr>
      <w:tr w:rsidR="00553430" w14:paraId="6032570C" w14:textId="77777777">
        <w:trPr>
          <w:trHeight w:val="51"/>
        </w:trPr>
        <w:tc>
          <w:tcPr>
            <w:tcW w:w="1096" w:type="dxa"/>
            <w:shd w:val="clear" w:color="auto" w:fill="C6EFCE"/>
            <w:vAlign w:val="center"/>
          </w:tcPr>
          <w:p w14:paraId="688BF336" w14:textId="77777777" w:rsidR="00553430" w:rsidRDefault="00212577">
            <w:pPr>
              <w:pStyle w:val="P68B1DB1-Normal102"/>
              <w:spacing w:after="0" w:line="240" w:lineRule="auto"/>
              <w:jc w:val="center"/>
              <w:textAlignment w:val="baseline"/>
              <w:rPr>
                <w:noProof/>
              </w:rPr>
            </w:pPr>
            <w:r>
              <w:rPr>
                <w:noProof/>
              </w:rPr>
              <w:t>316</w:t>
            </w:r>
          </w:p>
        </w:tc>
        <w:tc>
          <w:tcPr>
            <w:tcW w:w="1639" w:type="dxa"/>
            <w:shd w:val="clear" w:color="auto" w:fill="C6EFCE"/>
            <w:vAlign w:val="center"/>
          </w:tcPr>
          <w:p w14:paraId="5BFE47AA" w14:textId="77777777" w:rsidR="00553430" w:rsidRDefault="00212577">
            <w:pPr>
              <w:pStyle w:val="P68B1DB1-Normal102"/>
              <w:spacing w:after="0" w:line="240" w:lineRule="auto"/>
              <w:jc w:val="center"/>
              <w:textAlignment w:val="baseline"/>
              <w:rPr>
                <w:noProof/>
              </w:rPr>
            </w:pPr>
            <w:r>
              <w:rPr>
                <w:noProof/>
              </w:rPr>
              <w:t>C4.3. R3-I3</w:t>
            </w:r>
          </w:p>
        </w:tc>
        <w:tc>
          <w:tcPr>
            <w:tcW w:w="1274" w:type="dxa"/>
            <w:shd w:val="clear" w:color="auto" w:fill="C6EFCE"/>
            <w:vAlign w:val="center"/>
          </w:tcPr>
          <w:p w14:paraId="451037EC"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A3E398B" w14:textId="77777777" w:rsidR="00553430" w:rsidRDefault="00212577">
            <w:pPr>
              <w:pStyle w:val="P68B1DB1-Normal102"/>
              <w:spacing w:after="0" w:line="240" w:lineRule="auto"/>
              <w:textAlignment w:val="baseline"/>
              <w:rPr>
                <w:noProof/>
              </w:rPr>
            </w:pPr>
            <w:r>
              <w:rPr>
                <w:noProof/>
              </w:rPr>
              <w:t xml:space="preserve">Calcul informatique des prix des services sociaux et des prestataires de services dans le </w:t>
            </w:r>
            <w:r>
              <w:rPr>
                <w:noProof/>
              </w:rPr>
              <w:t>réseau</w:t>
            </w:r>
          </w:p>
        </w:tc>
      </w:tr>
      <w:tr w:rsidR="00553430" w14:paraId="65E636F7" w14:textId="77777777">
        <w:trPr>
          <w:trHeight w:val="51"/>
        </w:trPr>
        <w:tc>
          <w:tcPr>
            <w:tcW w:w="1096" w:type="dxa"/>
            <w:shd w:val="clear" w:color="auto" w:fill="C6EFCE"/>
            <w:vAlign w:val="center"/>
          </w:tcPr>
          <w:p w14:paraId="06424121" w14:textId="77777777" w:rsidR="00553430" w:rsidRDefault="00212577">
            <w:pPr>
              <w:pStyle w:val="P68B1DB1-Normal102"/>
              <w:spacing w:after="0" w:line="240" w:lineRule="auto"/>
              <w:jc w:val="center"/>
              <w:textAlignment w:val="baseline"/>
              <w:rPr>
                <w:noProof/>
              </w:rPr>
            </w:pPr>
            <w:r>
              <w:rPr>
                <w:noProof/>
              </w:rPr>
              <w:t>325</w:t>
            </w:r>
          </w:p>
        </w:tc>
        <w:tc>
          <w:tcPr>
            <w:tcW w:w="1639" w:type="dxa"/>
            <w:shd w:val="clear" w:color="auto" w:fill="C6EFCE"/>
            <w:vAlign w:val="center"/>
          </w:tcPr>
          <w:p w14:paraId="36C93354" w14:textId="77777777" w:rsidR="00553430" w:rsidRDefault="00212577">
            <w:pPr>
              <w:pStyle w:val="P68B1DB1-Normal102"/>
              <w:spacing w:after="0" w:line="240" w:lineRule="auto"/>
              <w:jc w:val="center"/>
              <w:textAlignment w:val="baseline"/>
              <w:rPr>
                <w:noProof/>
              </w:rPr>
            </w:pPr>
            <w:r>
              <w:rPr>
                <w:noProof/>
              </w:rPr>
              <w:t>C5.1. R1-I6</w:t>
            </w:r>
          </w:p>
        </w:tc>
        <w:tc>
          <w:tcPr>
            <w:tcW w:w="1274" w:type="dxa"/>
            <w:shd w:val="clear" w:color="auto" w:fill="C6EFCE"/>
            <w:vAlign w:val="center"/>
          </w:tcPr>
          <w:p w14:paraId="5FC2FB06"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6250964" w14:textId="77777777" w:rsidR="00553430" w:rsidRDefault="00212577">
            <w:pPr>
              <w:pStyle w:val="P68B1DB1-Normal102"/>
              <w:spacing w:after="0" w:line="240" w:lineRule="auto"/>
              <w:textAlignment w:val="baseline"/>
              <w:rPr>
                <w:noProof/>
              </w:rPr>
            </w:pPr>
            <w:r>
              <w:rPr>
                <w:noProof/>
              </w:rPr>
              <w:t>Dispositifs médicaux de diagnostic à l'hôpital clinique (KB) Dubrava</w:t>
            </w:r>
          </w:p>
        </w:tc>
      </w:tr>
      <w:tr w:rsidR="00553430" w14:paraId="7DC3A619" w14:textId="77777777">
        <w:trPr>
          <w:trHeight w:val="51"/>
        </w:trPr>
        <w:tc>
          <w:tcPr>
            <w:tcW w:w="1096" w:type="dxa"/>
            <w:shd w:val="clear" w:color="auto" w:fill="C6EFCE"/>
            <w:vAlign w:val="center"/>
          </w:tcPr>
          <w:p w14:paraId="4BD78250" w14:textId="77777777" w:rsidR="00553430" w:rsidRDefault="00212577">
            <w:pPr>
              <w:pStyle w:val="P68B1DB1-Normal102"/>
              <w:spacing w:after="0" w:line="240" w:lineRule="auto"/>
              <w:jc w:val="center"/>
              <w:textAlignment w:val="baseline"/>
              <w:rPr>
                <w:noProof/>
              </w:rPr>
            </w:pPr>
            <w:r>
              <w:rPr>
                <w:noProof/>
              </w:rPr>
              <w:t>327</w:t>
            </w:r>
          </w:p>
        </w:tc>
        <w:tc>
          <w:tcPr>
            <w:tcW w:w="1639" w:type="dxa"/>
            <w:shd w:val="clear" w:color="auto" w:fill="C6EFCE"/>
            <w:vAlign w:val="center"/>
          </w:tcPr>
          <w:p w14:paraId="25AF1613" w14:textId="77777777" w:rsidR="00553430" w:rsidRDefault="00212577">
            <w:pPr>
              <w:pStyle w:val="P68B1DB1-Normal102"/>
              <w:spacing w:after="0" w:line="240" w:lineRule="auto"/>
              <w:jc w:val="center"/>
              <w:textAlignment w:val="baseline"/>
              <w:rPr>
                <w:noProof/>
              </w:rPr>
            </w:pPr>
            <w:r>
              <w:rPr>
                <w:noProof/>
              </w:rPr>
              <w:t>C5.1. R1-I8</w:t>
            </w:r>
          </w:p>
        </w:tc>
        <w:tc>
          <w:tcPr>
            <w:tcW w:w="1274" w:type="dxa"/>
            <w:shd w:val="clear" w:color="auto" w:fill="C6EFCE"/>
            <w:vAlign w:val="center"/>
          </w:tcPr>
          <w:p w14:paraId="48EE96AB"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416E7B4" w14:textId="77777777" w:rsidR="00553430" w:rsidRDefault="00212577">
            <w:pPr>
              <w:pStyle w:val="P68B1DB1-Normal102"/>
              <w:spacing w:after="0" w:line="240" w:lineRule="auto"/>
              <w:textAlignment w:val="baseline"/>
              <w:rPr>
                <w:noProof/>
              </w:rPr>
            </w:pPr>
            <w:r>
              <w:rPr>
                <w:noProof/>
              </w:rPr>
              <w:t xml:space="preserve">Dispositifs médicaux pour le traitement opérationnel et le traitement des patients atteints d'épilepsie pharmacorésistante à l'hôpital </w:t>
            </w:r>
            <w:r>
              <w:rPr>
                <w:noProof/>
              </w:rPr>
              <w:t>clinique (KB) Dubrava</w:t>
            </w:r>
          </w:p>
        </w:tc>
      </w:tr>
      <w:tr w:rsidR="00553430" w14:paraId="41C5FD7E" w14:textId="77777777">
        <w:trPr>
          <w:trHeight w:val="51"/>
        </w:trPr>
        <w:tc>
          <w:tcPr>
            <w:tcW w:w="1096" w:type="dxa"/>
            <w:shd w:val="clear" w:color="auto" w:fill="C6EFCE"/>
            <w:vAlign w:val="center"/>
          </w:tcPr>
          <w:p w14:paraId="55C818BF" w14:textId="77777777" w:rsidR="00553430" w:rsidRDefault="00212577">
            <w:pPr>
              <w:pStyle w:val="P68B1DB1-Normal102"/>
              <w:spacing w:after="0" w:line="240" w:lineRule="auto"/>
              <w:jc w:val="center"/>
              <w:textAlignment w:val="baseline"/>
              <w:rPr>
                <w:noProof/>
              </w:rPr>
            </w:pPr>
            <w:r>
              <w:rPr>
                <w:noProof/>
              </w:rPr>
              <w:t>343</w:t>
            </w:r>
          </w:p>
        </w:tc>
        <w:tc>
          <w:tcPr>
            <w:tcW w:w="1639" w:type="dxa"/>
            <w:shd w:val="clear" w:color="auto" w:fill="C6EFCE"/>
            <w:vAlign w:val="center"/>
          </w:tcPr>
          <w:p w14:paraId="786A4767" w14:textId="77777777" w:rsidR="00553430" w:rsidRDefault="00212577">
            <w:pPr>
              <w:pStyle w:val="P68B1DB1-Normal102"/>
              <w:spacing w:after="0" w:line="240" w:lineRule="auto"/>
              <w:jc w:val="center"/>
              <w:textAlignment w:val="baseline"/>
              <w:rPr>
                <w:noProof/>
              </w:rPr>
            </w:pPr>
            <w:r>
              <w:rPr>
                <w:noProof/>
              </w:rPr>
              <w:t>C5.1. R4-I5</w:t>
            </w:r>
          </w:p>
        </w:tc>
        <w:tc>
          <w:tcPr>
            <w:tcW w:w="1274" w:type="dxa"/>
            <w:shd w:val="clear" w:color="auto" w:fill="C6EFCE"/>
            <w:vAlign w:val="center"/>
          </w:tcPr>
          <w:p w14:paraId="20422977"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53D7533" w14:textId="77777777" w:rsidR="00553430" w:rsidRDefault="00212577">
            <w:pPr>
              <w:pStyle w:val="P68B1DB1-Normal102"/>
              <w:spacing w:after="0" w:line="240" w:lineRule="auto"/>
              <w:textAlignment w:val="baseline"/>
              <w:rPr>
                <w:noProof/>
              </w:rPr>
            </w:pPr>
            <w:r>
              <w:rPr>
                <w:noProof/>
              </w:rPr>
              <w:t>Unités de diagnostic Centre hospitalier clinique (KBC) Merkur</w:t>
            </w:r>
          </w:p>
        </w:tc>
      </w:tr>
      <w:tr w:rsidR="00553430" w14:paraId="0719DE5F" w14:textId="77777777">
        <w:trPr>
          <w:trHeight w:val="421"/>
        </w:trPr>
        <w:tc>
          <w:tcPr>
            <w:tcW w:w="1096" w:type="dxa"/>
            <w:shd w:val="clear" w:color="auto" w:fill="C6EFCE"/>
            <w:vAlign w:val="center"/>
          </w:tcPr>
          <w:p w14:paraId="639AAE0D" w14:textId="77777777" w:rsidR="00553430" w:rsidRDefault="00212577">
            <w:pPr>
              <w:pStyle w:val="P68B1DB1-Normal102"/>
              <w:spacing w:after="0" w:line="240" w:lineRule="auto"/>
              <w:jc w:val="center"/>
              <w:textAlignment w:val="baseline"/>
              <w:rPr>
                <w:noProof/>
              </w:rPr>
            </w:pPr>
            <w:r>
              <w:rPr>
                <w:noProof/>
              </w:rPr>
              <w:t>348</w:t>
            </w:r>
          </w:p>
        </w:tc>
        <w:tc>
          <w:tcPr>
            <w:tcW w:w="1639" w:type="dxa"/>
            <w:shd w:val="clear" w:color="auto" w:fill="C6EFCE"/>
            <w:vAlign w:val="center"/>
          </w:tcPr>
          <w:p w14:paraId="40141C6A" w14:textId="77777777" w:rsidR="00553430" w:rsidRDefault="00212577">
            <w:pPr>
              <w:pStyle w:val="P68B1DB1-Normal102"/>
              <w:spacing w:after="0" w:line="240" w:lineRule="auto"/>
              <w:jc w:val="center"/>
              <w:textAlignment w:val="baseline"/>
              <w:rPr>
                <w:noProof/>
              </w:rPr>
            </w:pPr>
            <w:r>
              <w:rPr>
                <w:noProof/>
              </w:rPr>
              <w:t>C5.1. R5-I2</w:t>
            </w:r>
          </w:p>
        </w:tc>
        <w:tc>
          <w:tcPr>
            <w:tcW w:w="1274" w:type="dxa"/>
            <w:shd w:val="clear" w:color="auto" w:fill="C6EFCE"/>
            <w:vAlign w:val="center"/>
          </w:tcPr>
          <w:p w14:paraId="5E92D35E"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1C39437" w14:textId="77777777" w:rsidR="00553430" w:rsidRDefault="00212577">
            <w:pPr>
              <w:pStyle w:val="P68B1DB1-Normal102"/>
              <w:spacing w:after="0" w:line="240" w:lineRule="auto"/>
              <w:textAlignment w:val="baseline"/>
              <w:rPr>
                <w:noProof/>
              </w:rPr>
            </w:pPr>
            <w:r>
              <w:rPr>
                <w:noProof/>
              </w:rPr>
              <w:t>Services télécardiologiques</w:t>
            </w:r>
          </w:p>
        </w:tc>
      </w:tr>
      <w:tr w:rsidR="00553430" w14:paraId="460B913D" w14:textId="77777777">
        <w:trPr>
          <w:trHeight w:val="51"/>
        </w:trPr>
        <w:tc>
          <w:tcPr>
            <w:tcW w:w="1096" w:type="dxa"/>
            <w:shd w:val="clear" w:color="auto" w:fill="C6EFCE"/>
          </w:tcPr>
          <w:p w14:paraId="06749491" w14:textId="77777777" w:rsidR="00553430" w:rsidRDefault="00553430">
            <w:pPr>
              <w:spacing w:after="0" w:line="240" w:lineRule="auto"/>
              <w:jc w:val="center"/>
              <w:textAlignment w:val="baseline"/>
              <w:rPr>
                <w:rFonts w:ascii="Times New Roman" w:hAnsi="Times New Roman" w:cs="Times New Roman"/>
                <w:noProof/>
                <w:color w:val="000000"/>
                <w:sz w:val="20"/>
                <w:szCs w:val="20"/>
              </w:rPr>
            </w:pPr>
          </w:p>
        </w:tc>
        <w:tc>
          <w:tcPr>
            <w:tcW w:w="1639" w:type="dxa"/>
            <w:shd w:val="clear" w:color="auto" w:fill="C6EFCE"/>
          </w:tcPr>
          <w:p w14:paraId="41743F0A" w14:textId="77777777" w:rsidR="00553430" w:rsidRDefault="00553430">
            <w:pPr>
              <w:spacing w:after="0" w:line="240" w:lineRule="auto"/>
              <w:jc w:val="both"/>
              <w:textAlignment w:val="baseline"/>
              <w:rPr>
                <w:rFonts w:ascii="Times New Roman" w:hAnsi="Times New Roman" w:cs="Times New Roman"/>
                <w:noProof/>
                <w:color w:val="000000"/>
                <w:sz w:val="20"/>
                <w:szCs w:val="20"/>
              </w:rPr>
            </w:pPr>
          </w:p>
        </w:tc>
        <w:tc>
          <w:tcPr>
            <w:tcW w:w="1274" w:type="dxa"/>
            <w:shd w:val="clear" w:color="auto" w:fill="C6EFCE"/>
          </w:tcPr>
          <w:p w14:paraId="23A33D99" w14:textId="77777777" w:rsidR="00553430" w:rsidRDefault="00212577">
            <w:pPr>
              <w:pStyle w:val="P68B1DB1-Normal102"/>
              <w:spacing w:after="0" w:line="240" w:lineRule="auto"/>
              <w:jc w:val="both"/>
              <w:textAlignment w:val="baseline"/>
              <w:rPr>
                <w:noProof/>
              </w:rPr>
            </w:pPr>
            <w:r>
              <w:rPr>
                <w:noProof/>
              </w:rPr>
              <w:t>Montant des acomptes provisionnels</w:t>
            </w:r>
          </w:p>
        </w:tc>
        <w:tc>
          <w:tcPr>
            <w:tcW w:w="5347" w:type="dxa"/>
            <w:shd w:val="clear" w:color="auto" w:fill="C6EFCE"/>
            <w:vAlign w:val="center"/>
          </w:tcPr>
          <w:p w14:paraId="487EDDB0" w14:textId="28F3F1BB" w:rsidR="00553430" w:rsidRDefault="00212577">
            <w:pPr>
              <w:pStyle w:val="P68B1DB1-Normal102"/>
              <w:spacing w:after="0" w:line="240" w:lineRule="auto"/>
              <w:jc w:val="both"/>
              <w:textAlignment w:val="baseline"/>
              <w:rPr>
                <w:noProof/>
              </w:rPr>
            </w:pPr>
            <w:r>
              <w:rPr>
                <w:noProof/>
              </w:rPr>
              <w:t>306 166 382 EUR</w:t>
            </w:r>
          </w:p>
        </w:tc>
      </w:tr>
    </w:tbl>
    <w:p w14:paraId="44CFA501" w14:textId="77777777" w:rsidR="00553430" w:rsidRDefault="00553430">
      <w:pPr>
        <w:spacing w:after="0" w:line="240" w:lineRule="auto"/>
        <w:jc w:val="both"/>
        <w:textAlignment w:val="baseline"/>
        <w:rPr>
          <w:rFonts w:ascii="Segoe UI" w:eastAsia="Times New Roman" w:hAnsi="Segoe UI" w:cs="Segoe UI"/>
          <w:noProof/>
          <w:sz w:val="18"/>
          <w:szCs w:val="18"/>
        </w:rPr>
      </w:pPr>
    </w:p>
    <w:p w14:paraId="6CF9FB04" w14:textId="77777777" w:rsidR="00553430" w:rsidRDefault="00212577">
      <w:pPr>
        <w:pStyle w:val="P68B1DB1-Normal83"/>
        <w:numPr>
          <w:ilvl w:val="0"/>
          <w:numId w:val="80"/>
        </w:numPr>
        <w:spacing w:line="240" w:lineRule="auto"/>
        <w:contextualSpacing/>
        <w:jc w:val="both"/>
        <w:textAlignment w:val="baseline"/>
        <w:rPr>
          <w:noProof/>
        </w:rPr>
      </w:pPr>
      <w:r>
        <w:rPr>
          <w:noProof/>
        </w:rPr>
        <w:t>Cinquième tranche (soutien non remboursable):</w:t>
      </w:r>
    </w:p>
    <w:p w14:paraId="4D1FB89F" w14:textId="77777777" w:rsidR="00553430" w:rsidRDefault="00553430">
      <w:pPr>
        <w:spacing w:line="240" w:lineRule="auto"/>
        <w:ind w:left="720"/>
        <w:contextualSpacing/>
        <w:jc w:val="both"/>
        <w:textAlignment w:val="baseline"/>
        <w:rPr>
          <w:rFonts w:ascii="Times New Roman" w:eastAsia="Times New Roman" w:hAnsi="Times New Roman" w:cs="Times New Roman"/>
          <w:noProof/>
          <w:sz w:val="24"/>
          <w:szCs w:val="24"/>
        </w:rPr>
      </w:pPr>
    </w:p>
    <w:tbl>
      <w:tblPr>
        <w:tblW w:w="935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6"/>
        <w:gridCol w:w="1639"/>
        <w:gridCol w:w="1274"/>
        <w:gridCol w:w="5347"/>
      </w:tblGrid>
      <w:tr w:rsidR="00553430" w14:paraId="267901EE" w14:textId="77777777">
        <w:trPr>
          <w:trHeight w:val="517"/>
          <w:tblHeader/>
        </w:trPr>
        <w:tc>
          <w:tcPr>
            <w:tcW w:w="1096" w:type="dxa"/>
            <w:shd w:val="clear" w:color="auto" w:fill="BDD7EE"/>
            <w:vAlign w:val="center"/>
            <w:hideMark/>
          </w:tcPr>
          <w:p w14:paraId="54FA8274" w14:textId="77777777" w:rsidR="00553430" w:rsidRDefault="00212577">
            <w:pPr>
              <w:pStyle w:val="P68B1DB1-Normal76"/>
              <w:spacing w:after="0" w:line="240" w:lineRule="auto"/>
              <w:jc w:val="center"/>
              <w:textAlignment w:val="baseline"/>
              <w:rPr>
                <w:noProof/>
              </w:rPr>
            </w:pPr>
            <w:r>
              <w:rPr>
                <w:b/>
                <w:noProof/>
              </w:rPr>
              <w:t>Numéro séquentiel</w:t>
            </w:r>
            <w:r>
              <w:rPr>
                <w:noProof/>
              </w:rPr>
              <w:t> </w:t>
            </w:r>
          </w:p>
        </w:tc>
        <w:tc>
          <w:tcPr>
            <w:tcW w:w="1639" w:type="dxa"/>
            <w:shd w:val="clear" w:color="auto" w:fill="BDD7EE"/>
            <w:vAlign w:val="center"/>
            <w:hideMark/>
          </w:tcPr>
          <w:p w14:paraId="296B7C0D" w14:textId="77777777" w:rsidR="00553430" w:rsidRDefault="00212577">
            <w:pPr>
              <w:pStyle w:val="P68B1DB1-Normal76"/>
              <w:spacing w:after="0" w:line="240" w:lineRule="auto"/>
              <w:jc w:val="center"/>
              <w:textAlignment w:val="baseline"/>
              <w:rPr>
                <w:noProof/>
              </w:rPr>
            </w:pPr>
            <w:r>
              <w:rPr>
                <w:b/>
                <w:noProof/>
              </w:rPr>
              <w:t>Mesure connexe (réforme ou investissement)</w:t>
            </w:r>
            <w:r>
              <w:rPr>
                <w:noProof/>
              </w:rPr>
              <w:t> </w:t>
            </w:r>
          </w:p>
        </w:tc>
        <w:tc>
          <w:tcPr>
            <w:tcW w:w="1274" w:type="dxa"/>
            <w:shd w:val="clear" w:color="auto" w:fill="BDD7EE"/>
            <w:vAlign w:val="center"/>
            <w:hideMark/>
          </w:tcPr>
          <w:p w14:paraId="1B82C562" w14:textId="77777777" w:rsidR="00553430" w:rsidRDefault="00212577">
            <w:pPr>
              <w:pStyle w:val="P68B1DB1-Normal76"/>
              <w:spacing w:after="0" w:line="240" w:lineRule="auto"/>
              <w:jc w:val="center"/>
              <w:textAlignment w:val="baseline"/>
              <w:rPr>
                <w:noProof/>
              </w:rPr>
            </w:pPr>
            <w:r>
              <w:rPr>
                <w:b/>
                <w:noProof/>
              </w:rPr>
              <w:t>Étape/cible</w:t>
            </w:r>
            <w:r>
              <w:rPr>
                <w:noProof/>
              </w:rPr>
              <w:t> </w:t>
            </w:r>
          </w:p>
        </w:tc>
        <w:tc>
          <w:tcPr>
            <w:tcW w:w="5347" w:type="dxa"/>
            <w:shd w:val="clear" w:color="auto" w:fill="BDD7EE"/>
            <w:vAlign w:val="center"/>
            <w:hideMark/>
          </w:tcPr>
          <w:p w14:paraId="02DAFF19" w14:textId="77777777" w:rsidR="00553430" w:rsidRDefault="00212577">
            <w:pPr>
              <w:pStyle w:val="P68B1DB1-Normal76"/>
              <w:spacing w:after="0" w:line="240" w:lineRule="auto"/>
              <w:jc w:val="center"/>
              <w:textAlignment w:val="baseline"/>
              <w:rPr>
                <w:noProof/>
              </w:rPr>
            </w:pPr>
            <w:r>
              <w:rPr>
                <w:b/>
                <w:noProof/>
              </w:rPr>
              <w:t>Nom</w:t>
            </w:r>
            <w:r>
              <w:rPr>
                <w:noProof/>
              </w:rPr>
              <w:t> </w:t>
            </w:r>
          </w:p>
        </w:tc>
      </w:tr>
      <w:tr w:rsidR="00553430" w14:paraId="395A8306" w14:textId="77777777">
        <w:trPr>
          <w:trHeight w:val="51"/>
        </w:trPr>
        <w:tc>
          <w:tcPr>
            <w:tcW w:w="1096" w:type="dxa"/>
            <w:shd w:val="clear" w:color="auto" w:fill="C6EFCE"/>
            <w:vAlign w:val="center"/>
            <w:hideMark/>
          </w:tcPr>
          <w:p w14:paraId="0B4BC283" w14:textId="77777777" w:rsidR="00553430" w:rsidRDefault="00212577">
            <w:pPr>
              <w:pStyle w:val="P68B1DB1-Normal102"/>
              <w:spacing w:after="0" w:line="240" w:lineRule="auto"/>
              <w:jc w:val="center"/>
              <w:textAlignment w:val="baseline"/>
              <w:rPr>
                <w:rFonts w:eastAsia="Times New Roman"/>
                <w:noProof/>
              </w:rPr>
            </w:pPr>
            <w:r>
              <w:rPr>
                <w:noProof/>
              </w:rPr>
              <w:t>8</w:t>
            </w:r>
          </w:p>
        </w:tc>
        <w:tc>
          <w:tcPr>
            <w:tcW w:w="1639" w:type="dxa"/>
            <w:shd w:val="clear" w:color="auto" w:fill="C6EFCE"/>
            <w:vAlign w:val="center"/>
            <w:hideMark/>
          </w:tcPr>
          <w:p w14:paraId="7471C4CC" w14:textId="77777777" w:rsidR="00553430" w:rsidRDefault="00212577">
            <w:pPr>
              <w:pStyle w:val="P68B1DB1-Normal102"/>
              <w:spacing w:after="0" w:line="240" w:lineRule="auto"/>
              <w:jc w:val="center"/>
              <w:textAlignment w:val="baseline"/>
              <w:rPr>
                <w:rFonts w:eastAsia="Times New Roman"/>
                <w:noProof/>
              </w:rPr>
            </w:pPr>
            <w:r>
              <w:rPr>
                <w:noProof/>
              </w:rPr>
              <w:t>C1.1.1. R1-I2</w:t>
            </w:r>
          </w:p>
        </w:tc>
        <w:tc>
          <w:tcPr>
            <w:tcW w:w="1274" w:type="dxa"/>
            <w:shd w:val="clear" w:color="auto" w:fill="C6EFCE"/>
            <w:vAlign w:val="center"/>
            <w:hideMark/>
          </w:tcPr>
          <w:p w14:paraId="4B97C291" w14:textId="77777777" w:rsidR="00553430" w:rsidRDefault="00212577">
            <w:pPr>
              <w:pStyle w:val="P68B1DB1-Normal102"/>
              <w:spacing w:after="0" w:line="240" w:lineRule="auto"/>
              <w:jc w:val="center"/>
              <w:textAlignment w:val="baseline"/>
              <w:rPr>
                <w:rFonts w:eastAsia="Times New Roman"/>
                <w:noProof/>
              </w:rPr>
            </w:pPr>
            <w:r>
              <w:rPr>
                <w:noProof/>
              </w:rPr>
              <w:t>M</w:t>
            </w:r>
          </w:p>
        </w:tc>
        <w:tc>
          <w:tcPr>
            <w:tcW w:w="5347" w:type="dxa"/>
            <w:shd w:val="clear" w:color="auto" w:fill="C6EFCE"/>
            <w:vAlign w:val="center"/>
            <w:hideMark/>
          </w:tcPr>
          <w:p w14:paraId="18100347" w14:textId="77777777" w:rsidR="00553430" w:rsidRDefault="00212577">
            <w:pPr>
              <w:pStyle w:val="P68B1DB1-Normal102"/>
              <w:spacing w:after="0" w:line="240" w:lineRule="auto"/>
              <w:jc w:val="both"/>
              <w:textAlignment w:val="baseline"/>
              <w:rPr>
                <w:rFonts w:eastAsia="Times New Roman"/>
                <w:noProof/>
              </w:rPr>
            </w:pPr>
            <w:r>
              <w:rPr>
                <w:noProof/>
              </w:rPr>
              <w:t xml:space="preserve">Numérisation du test d’analyse d’impact sur les PME grâce au développement d’une plateforme numérique pour la collaboration des coordinateurs, la formation </w:t>
            </w:r>
            <w:r>
              <w:rPr>
                <w:noProof/>
              </w:rPr>
              <w:t>en ligne et la communication mutuelle</w:t>
            </w:r>
          </w:p>
        </w:tc>
      </w:tr>
      <w:tr w:rsidR="00553430" w14:paraId="2D9B1BF8" w14:textId="77777777">
        <w:trPr>
          <w:trHeight w:val="51"/>
        </w:trPr>
        <w:tc>
          <w:tcPr>
            <w:tcW w:w="1096" w:type="dxa"/>
            <w:shd w:val="clear" w:color="auto" w:fill="C6EFCE"/>
            <w:vAlign w:val="center"/>
            <w:hideMark/>
          </w:tcPr>
          <w:p w14:paraId="60615AEA" w14:textId="77777777" w:rsidR="00553430" w:rsidRDefault="00212577">
            <w:pPr>
              <w:pStyle w:val="P68B1DB1-Normal102"/>
              <w:spacing w:after="0" w:line="240" w:lineRule="auto"/>
              <w:jc w:val="center"/>
              <w:textAlignment w:val="baseline"/>
              <w:rPr>
                <w:rFonts w:eastAsia="Times New Roman"/>
                <w:noProof/>
              </w:rPr>
            </w:pPr>
            <w:r>
              <w:rPr>
                <w:noProof/>
              </w:rPr>
              <w:t>9</w:t>
            </w:r>
          </w:p>
        </w:tc>
        <w:tc>
          <w:tcPr>
            <w:tcW w:w="1639" w:type="dxa"/>
            <w:shd w:val="clear" w:color="auto" w:fill="C6EFCE"/>
            <w:vAlign w:val="center"/>
            <w:hideMark/>
          </w:tcPr>
          <w:p w14:paraId="11E9A5C4" w14:textId="77777777" w:rsidR="00553430" w:rsidRDefault="00212577">
            <w:pPr>
              <w:pStyle w:val="P68B1DB1-Normal102"/>
              <w:spacing w:after="0" w:line="240" w:lineRule="auto"/>
              <w:jc w:val="center"/>
              <w:textAlignment w:val="baseline"/>
              <w:rPr>
                <w:rFonts w:eastAsia="Times New Roman"/>
                <w:noProof/>
              </w:rPr>
            </w:pPr>
            <w:r>
              <w:rPr>
                <w:noProof/>
              </w:rPr>
              <w:t>C1.1.1. R1-I2</w:t>
            </w:r>
          </w:p>
        </w:tc>
        <w:tc>
          <w:tcPr>
            <w:tcW w:w="1274" w:type="dxa"/>
            <w:shd w:val="clear" w:color="auto" w:fill="C6EFCE"/>
            <w:vAlign w:val="center"/>
            <w:hideMark/>
          </w:tcPr>
          <w:p w14:paraId="4B89131D" w14:textId="77777777" w:rsidR="00553430" w:rsidRDefault="00212577">
            <w:pPr>
              <w:pStyle w:val="P68B1DB1-Normal102"/>
              <w:spacing w:after="0" w:line="240" w:lineRule="auto"/>
              <w:jc w:val="center"/>
              <w:textAlignment w:val="baseline"/>
              <w:rPr>
                <w:rFonts w:eastAsia="Times New Roman"/>
                <w:noProof/>
              </w:rPr>
            </w:pPr>
            <w:r>
              <w:rPr>
                <w:noProof/>
              </w:rPr>
              <w:t>T</w:t>
            </w:r>
          </w:p>
        </w:tc>
        <w:tc>
          <w:tcPr>
            <w:tcW w:w="5347" w:type="dxa"/>
            <w:shd w:val="clear" w:color="auto" w:fill="C6EFCE"/>
            <w:vAlign w:val="center"/>
            <w:hideMark/>
          </w:tcPr>
          <w:p w14:paraId="64AF213D" w14:textId="77777777" w:rsidR="00553430" w:rsidRDefault="00212577">
            <w:pPr>
              <w:pStyle w:val="P68B1DB1-Normal102"/>
              <w:spacing w:after="0" w:line="240" w:lineRule="auto"/>
              <w:jc w:val="both"/>
              <w:textAlignment w:val="baseline"/>
              <w:rPr>
                <w:rFonts w:eastAsia="Times New Roman"/>
                <w:noProof/>
              </w:rPr>
            </w:pPr>
            <w:r>
              <w:rPr>
                <w:noProof/>
              </w:rPr>
              <w:t xml:space="preserve">Mise en œuvre des actions du nouveau plan d'action visant à réduire les taxes non fiscales et parafiscales </w:t>
            </w:r>
          </w:p>
        </w:tc>
      </w:tr>
      <w:tr w:rsidR="00553430" w14:paraId="6FED52D6" w14:textId="77777777">
        <w:trPr>
          <w:trHeight w:val="51"/>
        </w:trPr>
        <w:tc>
          <w:tcPr>
            <w:tcW w:w="1096" w:type="dxa"/>
            <w:shd w:val="clear" w:color="auto" w:fill="C6EFCE"/>
            <w:vAlign w:val="center"/>
            <w:hideMark/>
          </w:tcPr>
          <w:p w14:paraId="328CC7C5" w14:textId="77777777" w:rsidR="00553430" w:rsidRDefault="00212577">
            <w:pPr>
              <w:pStyle w:val="P68B1DB1-Normal102"/>
              <w:spacing w:after="0" w:line="240" w:lineRule="auto"/>
              <w:jc w:val="center"/>
              <w:textAlignment w:val="baseline"/>
              <w:rPr>
                <w:rFonts w:eastAsia="Times New Roman"/>
                <w:noProof/>
              </w:rPr>
            </w:pPr>
            <w:r>
              <w:rPr>
                <w:noProof/>
              </w:rPr>
              <w:t>38</w:t>
            </w:r>
          </w:p>
        </w:tc>
        <w:tc>
          <w:tcPr>
            <w:tcW w:w="1639" w:type="dxa"/>
            <w:shd w:val="clear" w:color="auto" w:fill="C6EFCE"/>
            <w:vAlign w:val="center"/>
            <w:hideMark/>
          </w:tcPr>
          <w:p w14:paraId="5DD89FC4" w14:textId="77777777" w:rsidR="00553430" w:rsidRDefault="00212577">
            <w:pPr>
              <w:pStyle w:val="P68B1DB1-Normal102"/>
              <w:spacing w:after="0" w:line="240" w:lineRule="auto"/>
              <w:jc w:val="center"/>
              <w:textAlignment w:val="baseline"/>
              <w:rPr>
                <w:rFonts w:eastAsia="Times New Roman"/>
                <w:noProof/>
              </w:rPr>
            </w:pPr>
            <w:r>
              <w:rPr>
                <w:noProof/>
              </w:rPr>
              <w:t>C1.2. R1</w:t>
            </w:r>
          </w:p>
        </w:tc>
        <w:tc>
          <w:tcPr>
            <w:tcW w:w="1274" w:type="dxa"/>
            <w:shd w:val="clear" w:color="auto" w:fill="C6EFCE"/>
            <w:vAlign w:val="center"/>
            <w:hideMark/>
          </w:tcPr>
          <w:p w14:paraId="5A75FBD1" w14:textId="77777777" w:rsidR="00553430" w:rsidRDefault="00212577">
            <w:pPr>
              <w:pStyle w:val="P68B1DB1-Normal102"/>
              <w:spacing w:after="0" w:line="240" w:lineRule="auto"/>
              <w:jc w:val="center"/>
              <w:textAlignment w:val="baseline"/>
              <w:rPr>
                <w:rFonts w:eastAsia="Times New Roman"/>
                <w:noProof/>
              </w:rPr>
            </w:pPr>
            <w:r>
              <w:rPr>
                <w:noProof/>
              </w:rPr>
              <w:t>M</w:t>
            </w:r>
          </w:p>
        </w:tc>
        <w:tc>
          <w:tcPr>
            <w:tcW w:w="5347" w:type="dxa"/>
            <w:shd w:val="clear" w:color="auto" w:fill="C6EFCE"/>
            <w:vAlign w:val="center"/>
            <w:hideMark/>
          </w:tcPr>
          <w:p w14:paraId="7B4A640D" w14:textId="77777777" w:rsidR="00553430" w:rsidRDefault="00212577">
            <w:pPr>
              <w:pStyle w:val="P68B1DB1-Normal102"/>
              <w:spacing w:after="0" w:line="240" w:lineRule="auto"/>
              <w:jc w:val="both"/>
              <w:textAlignment w:val="baseline"/>
              <w:rPr>
                <w:rFonts w:eastAsia="Times New Roman"/>
                <w:noProof/>
              </w:rPr>
            </w:pPr>
            <w:r>
              <w:rPr>
                <w:noProof/>
              </w:rPr>
              <w:t>Certification Plinacro par le régulateur national croate de l'énergie (HERA)</w:t>
            </w:r>
          </w:p>
        </w:tc>
      </w:tr>
      <w:tr w:rsidR="00553430" w14:paraId="148D813E" w14:textId="77777777">
        <w:trPr>
          <w:trHeight w:val="51"/>
        </w:trPr>
        <w:tc>
          <w:tcPr>
            <w:tcW w:w="1096" w:type="dxa"/>
            <w:shd w:val="clear" w:color="auto" w:fill="C6EFCE"/>
            <w:vAlign w:val="center"/>
          </w:tcPr>
          <w:p w14:paraId="7E8FCF5A" w14:textId="77777777" w:rsidR="00553430" w:rsidRDefault="00212577">
            <w:pPr>
              <w:pStyle w:val="P68B1DB1-Normal102"/>
              <w:spacing w:after="0" w:line="240" w:lineRule="auto"/>
              <w:jc w:val="center"/>
              <w:textAlignment w:val="baseline"/>
              <w:rPr>
                <w:noProof/>
              </w:rPr>
            </w:pPr>
            <w:r>
              <w:rPr>
                <w:noProof/>
              </w:rPr>
              <w:t>64</w:t>
            </w:r>
          </w:p>
        </w:tc>
        <w:tc>
          <w:tcPr>
            <w:tcW w:w="1639" w:type="dxa"/>
            <w:shd w:val="clear" w:color="auto" w:fill="C6EFCE"/>
            <w:vAlign w:val="center"/>
          </w:tcPr>
          <w:p w14:paraId="6E12BA63" w14:textId="77777777" w:rsidR="00553430" w:rsidRDefault="00212577">
            <w:pPr>
              <w:pStyle w:val="P68B1DB1-Normal102"/>
              <w:spacing w:after="0" w:line="240" w:lineRule="auto"/>
              <w:jc w:val="center"/>
              <w:textAlignment w:val="baseline"/>
              <w:rPr>
                <w:noProof/>
              </w:rPr>
            </w:pPr>
            <w:r>
              <w:rPr>
                <w:noProof/>
              </w:rPr>
              <w:t>C1.3. R1-I1</w:t>
            </w:r>
          </w:p>
        </w:tc>
        <w:tc>
          <w:tcPr>
            <w:tcW w:w="1274" w:type="dxa"/>
            <w:shd w:val="clear" w:color="auto" w:fill="C6EFCE"/>
            <w:vAlign w:val="center"/>
          </w:tcPr>
          <w:p w14:paraId="5F854A32"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77C3F1A" w14:textId="77777777" w:rsidR="00553430" w:rsidRDefault="00212577">
            <w:pPr>
              <w:pStyle w:val="P68B1DB1-Normal102"/>
              <w:spacing w:after="0" w:line="240" w:lineRule="auto"/>
              <w:jc w:val="both"/>
              <w:textAlignment w:val="baseline"/>
              <w:rPr>
                <w:noProof/>
              </w:rPr>
            </w:pPr>
            <w:r>
              <w:rPr>
                <w:noProof/>
              </w:rPr>
              <w:t xml:space="preserve">Contrats de travaux conclus pour des projets d'infrastructures de traitement des eaux usées </w:t>
            </w:r>
          </w:p>
        </w:tc>
      </w:tr>
      <w:tr w:rsidR="00553430" w14:paraId="061D8CDA" w14:textId="77777777">
        <w:trPr>
          <w:trHeight w:val="51"/>
        </w:trPr>
        <w:tc>
          <w:tcPr>
            <w:tcW w:w="1096" w:type="dxa"/>
            <w:shd w:val="clear" w:color="auto" w:fill="C6EFCE"/>
            <w:vAlign w:val="center"/>
          </w:tcPr>
          <w:p w14:paraId="13A3F53A" w14:textId="77777777" w:rsidR="00553430" w:rsidRDefault="00212577">
            <w:pPr>
              <w:pStyle w:val="P68B1DB1-Normal102"/>
              <w:spacing w:after="0" w:line="240" w:lineRule="auto"/>
              <w:jc w:val="center"/>
              <w:textAlignment w:val="baseline"/>
              <w:rPr>
                <w:noProof/>
              </w:rPr>
            </w:pPr>
            <w:r>
              <w:rPr>
                <w:noProof/>
              </w:rPr>
              <w:t>70</w:t>
            </w:r>
          </w:p>
        </w:tc>
        <w:tc>
          <w:tcPr>
            <w:tcW w:w="1639" w:type="dxa"/>
            <w:shd w:val="clear" w:color="auto" w:fill="C6EFCE"/>
            <w:vAlign w:val="center"/>
          </w:tcPr>
          <w:p w14:paraId="14037369" w14:textId="77777777" w:rsidR="00553430" w:rsidRDefault="00212577">
            <w:pPr>
              <w:pStyle w:val="P68B1DB1-Normal102"/>
              <w:spacing w:after="0" w:line="240" w:lineRule="auto"/>
              <w:jc w:val="center"/>
              <w:textAlignment w:val="baseline"/>
              <w:rPr>
                <w:noProof/>
              </w:rPr>
            </w:pPr>
            <w:r>
              <w:rPr>
                <w:noProof/>
              </w:rPr>
              <w:t>C1.3. R1-I2</w:t>
            </w:r>
          </w:p>
        </w:tc>
        <w:tc>
          <w:tcPr>
            <w:tcW w:w="1274" w:type="dxa"/>
            <w:shd w:val="clear" w:color="auto" w:fill="C6EFCE"/>
            <w:vAlign w:val="center"/>
          </w:tcPr>
          <w:p w14:paraId="636F459B"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ECE2992" w14:textId="77777777" w:rsidR="00553430" w:rsidRDefault="00212577">
            <w:pPr>
              <w:pStyle w:val="P68B1DB1-Normal102"/>
              <w:spacing w:after="0" w:line="240" w:lineRule="auto"/>
              <w:jc w:val="both"/>
              <w:textAlignment w:val="baseline"/>
              <w:rPr>
                <w:noProof/>
              </w:rPr>
            </w:pPr>
            <w:r>
              <w:rPr>
                <w:noProof/>
              </w:rPr>
              <w:t xml:space="preserve">Contrats de travaux conclus pour des projets d'approvisionnement en eau </w:t>
            </w:r>
          </w:p>
        </w:tc>
      </w:tr>
      <w:tr w:rsidR="00553430" w14:paraId="3EA9D212" w14:textId="77777777">
        <w:trPr>
          <w:trHeight w:val="51"/>
        </w:trPr>
        <w:tc>
          <w:tcPr>
            <w:tcW w:w="1096" w:type="dxa"/>
            <w:shd w:val="clear" w:color="auto" w:fill="C6EFCE"/>
            <w:vAlign w:val="center"/>
          </w:tcPr>
          <w:p w14:paraId="36B12D43" w14:textId="77777777" w:rsidR="00553430" w:rsidRDefault="00212577">
            <w:pPr>
              <w:pStyle w:val="P68B1DB1-Normal102"/>
              <w:spacing w:after="0" w:line="240" w:lineRule="auto"/>
              <w:jc w:val="center"/>
              <w:textAlignment w:val="baseline"/>
              <w:rPr>
                <w:noProof/>
              </w:rPr>
            </w:pPr>
            <w:r>
              <w:rPr>
                <w:noProof/>
              </w:rPr>
              <w:t>71</w:t>
            </w:r>
          </w:p>
        </w:tc>
        <w:tc>
          <w:tcPr>
            <w:tcW w:w="1639" w:type="dxa"/>
            <w:shd w:val="clear" w:color="auto" w:fill="C6EFCE"/>
            <w:vAlign w:val="center"/>
          </w:tcPr>
          <w:p w14:paraId="4622214E" w14:textId="77777777" w:rsidR="00553430" w:rsidRDefault="00212577">
            <w:pPr>
              <w:pStyle w:val="P68B1DB1-Normal102"/>
              <w:spacing w:after="0" w:line="240" w:lineRule="auto"/>
              <w:jc w:val="center"/>
              <w:textAlignment w:val="baseline"/>
              <w:rPr>
                <w:noProof/>
              </w:rPr>
            </w:pPr>
            <w:r>
              <w:rPr>
                <w:noProof/>
              </w:rPr>
              <w:t>C1.3. R1-I2</w:t>
            </w:r>
          </w:p>
        </w:tc>
        <w:tc>
          <w:tcPr>
            <w:tcW w:w="1274" w:type="dxa"/>
            <w:shd w:val="clear" w:color="auto" w:fill="C6EFCE"/>
            <w:vAlign w:val="center"/>
          </w:tcPr>
          <w:p w14:paraId="26648F7E"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AE1ACA9" w14:textId="77777777" w:rsidR="00553430" w:rsidRDefault="00212577">
            <w:pPr>
              <w:pStyle w:val="P68B1DB1-Normal102"/>
              <w:spacing w:after="0" w:line="240" w:lineRule="auto"/>
              <w:jc w:val="both"/>
              <w:textAlignment w:val="baseline"/>
              <w:rPr>
                <w:noProof/>
              </w:rPr>
            </w:pPr>
            <w:r>
              <w:rPr>
                <w:noProof/>
              </w:rPr>
              <w:t xml:space="preserve">Construction ou reconstruction d'un réseau public d'approvisionnement en eau </w:t>
            </w:r>
          </w:p>
        </w:tc>
      </w:tr>
      <w:tr w:rsidR="00553430" w14:paraId="5D350181" w14:textId="77777777">
        <w:trPr>
          <w:trHeight w:val="51"/>
        </w:trPr>
        <w:tc>
          <w:tcPr>
            <w:tcW w:w="1096" w:type="dxa"/>
            <w:shd w:val="clear" w:color="auto" w:fill="C6EFCE"/>
            <w:vAlign w:val="center"/>
          </w:tcPr>
          <w:p w14:paraId="13ECCDFD" w14:textId="77777777" w:rsidR="00553430" w:rsidRDefault="00212577">
            <w:pPr>
              <w:pStyle w:val="P68B1DB1-Normal102"/>
              <w:spacing w:after="0" w:line="240" w:lineRule="auto"/>
              <w:jc w:val="center"/>
              <w:textAlignment w:val="baseline"/>
              <w:rPr>
                <w:noProof/>
              </w:rPr>
            </w:pPr>
            <w:r>
              <w:rPr>
                <w:noProof/>
              </w:rPr>
              <w:t>94</w:t>
            </w:r>
          </w:p>
        </w:tc>
        <w:tc>
          <w:tcPr>
            <w:tcW w:w="1639" w:type="dxa"/>
            <w:shd w:val="clear" w:color="auto" w:fill="C6EFCE"/>
            <w:vAlign w:val="center"/>
          </w:tcPr>
          <w:p w14:paraId="7EA72764" w14:textId="77777777" w:rsidR="00553430" w:rsidRDefault="00212577">
            <w:pPr>
              <w:pStyle w:val="P68B1DB1-Normal102"/>
              <w:spacing w:after="0" w:line="240" w:lineRule="auto"/>
              <w:jc w:val="center"/>
              <w:textAlignment w:val="baseline"/>
              <w:rPr>
                <w:noProof/>
              </w:rPr>
            </w:pPr>
            <w:r>
              <w:rPr>
                <w:noProof/>
              </w:rPr>
              <w:t>C1.4. R1-I2</w:t>
            </w:r>
          </w:p>
        </w:tc>
        <w:tc>
          <w:tcPr>
            <w:tcW w:w="1274" w:type="dxa"/>
            <w:shd w:val="clear" w:color="auto" w:fill="C6EFCE"/>
            <w:vAlign w:val="center"/>
          </w:tcPr>
          <w:p w14:paraId="6D9F2847"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DD91CDD" w14:textId="77777777" w:rsidR="00553430" w:rsidRDefault="00212577">
            <w:pPr>
              <w:pStyle w:val="P68B1DB1-Normal102"/>
              <w:spacing w:after="0" w:line="240" w:lineRule="auto"/>
              <w:jc w:val="both"/>
              <w:textAlignment w:val="baseline"/>
              <w:rPr>
                <w:noProof/>
              </w:rPr>
            </w:pPr>
            <w:r>
              <w:rPr>
                <w:noProof/>
              </w:rPr>
              <w:t>Mise en place d'un système fonctionnel pour l'exercice des droits des personnes handicapées dans le domaine de la mobilité</w:t>
            </w:r>
          </w:p>
        </w:tc>
      </w:tr>
      <w:tr w:rsidR="00553430" w14:paraId="334927EE" w14:textId="77777777">
        <w:trPr>
          <w:trHeight w:val="51"/>
        </w:trPr>
        <w:tc>
          <w:tcPr>
            <w:tcW w:w="1096" w:type="dxa"/>
            <w:shd w:val="clear" w:color="auto" w:fill="C6EFCE"/>
            <w:vAlign w:val="center"/>
          </w:tcPr>
          <w:p w14:paraId="5587AD0B" w14:textId="77777777" w:rsidR="00553430" w:rsidRDefault="00212577">
            <w:pPr>
              <w:pStyle w:val="P68B1DB1-Normal102"/>
              <w:spacing w:after="0" w:line="240" w:lineRule="auto"/>
              <w:jc w:val="center"/>
              <w:textAlignment w:val="baseline"/>
              <w:rPr>
                <w:noProof/>
              </w:rPr>
            </w:pPr>
            <w:r>
              <w:rPr>
                <w:noProof/>
              </w:rPr>
              <w:t>127</w:t>
            </w:r>
          </w:p>
        </w:tc>
        <w:tc>
          <w:tcPr>
            <w:tcW w:w="1639" w:type="dxa"/>
            <w:shd w:val="clear" w:color="auto" w:fill="C6EFCE"/>
            <w:vAlign w:val="center"/>
          </w:tcPr>
          <w:p w14:paraId="51067083" w14:textId="77777777" w:rsidR="00553430" w:rsidRDefault="00212577">
            <w:pPr>
              <w:pStyle w:val="P68B1DB1-Normal102"/>
              <w:spacing w:after="0" w:line="240" w:lineRule="auto"/>
              <w:jc w:val="center"/>
              <w:textAlignment w:val="baseline"/>
              <w:rPr>
                <w:noProof/>
              </w:rPr>
            </w:pPr>
            <w:r>
              <w:rPr>
                <w:noProof/>
              </w:rPr>
              <w:t>C1.5. R1-I1</w:t>
            </w:r>
          </w:p>
        </w:tc>
        <w:tc>
          <w:tcPr>
            <w:tcW w:w="1274" w:type="dxa"/>
            <w:shd w:val="clear" w:color="auto" w:fill="C6EFCE"/>
            <w:vAlign w:val="center"/>
          </w:tcPr>
          <w:p w14:paraId="7F17328B"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7FB0059" w14:textId="77777777" w:rsidR="00553430" w:rsidRDefault="00212577">
            <w:pPr>
              <w:pStyle w:val="P68B1DB1-Normal102"/>
              <w:spacing w:after="0" w:line="240" w:lineRule="auto"/>
              <w:jc w:val="both"/>
              <w:textAlignment w:val="baseline"/>
              <w:rPr>
                <w:noProof/>
              </w:rPr>
            </w:pPr>
            <w:r>
              <w:rPr>
                <w:noProof/>
              </w:rPr>
              <w:t>Un centre de distr</w:t>
            </w:r>
            <w:r>
              <w:rPr>
                <w:noProof/>
              </w:rPr>
              <w:t>ibution logistique (LDC) construit et opérationnel</w:t>
            </w:r>
          </w:p>
        </w:tc>
      </w:tr>
      <w:tr w:rsidR="00553430" w14:paraId="65751E07" w14:textId="77777777">
        <w:trPr>
          <w:trHeight w:val="51"/>
        </w:trPr>
        <w:tc>
          <w:tcPr>
            <w:tcW w:w="1096" w:type="dxa"/>
            <w:shd w:val="clear" w:color="auto" w:fill="C6EFCE"/>
            <w:vAlign w:val="center"/>
          </w:tcPr>
          <w:p w14:paraId="188DA7E3" w14:textId="77777777" w:rsidR="00553430" w:rsidRDefault="00212577">
            <w:pPr>
              <w:pStyle w:val="P68B1DB1-Normal102"/>
              <w:spacing w:after="0" w:line="240" w:lineRule="auto"/>
              <w:jc w:val="center"/>
              <w:textAlignment w:val="baseline"/>
              <w:rPr>
                <w:noProof/>
              </w:rPr>
            </w:pPr>
            <w:r>
              <w:rPr>
                <w:noProof/>
              </w:rPr>
              <w:t>139</w:t>
            </w:r>
          </w:p>
        </w:tc>
        <w:tc>
          <w:tcPr>
            <w:tcW w:w="1639" w:type="dxa"/>
            <w:shd w:val="clear" w:color="auto" w:fill="C6EFCE"/>
            <w:vAlign w:val="center"/>
          </w:tcPr>
          <w:p w14:paraId="0D6E5B73" w14:textId="77777777" w:rsidR="00553430" w:rsidRDefault="00212577">
            <w:pPr>
              <w:pStyle w:val="P68B1DB1-Normal102"/>
              <w:spacing w:after="0" w:line="240" w:lineRule="auto"/>
              <w:jc w:val="center"/>
              <w:textAlignment w:val="baseline"/>
              <w:rPr>
                <w:noProof/>
              </w:rPr>
            </w:pPr>
            <w:r>
              <w:rPr>
                <w:noProof/>
              </w:rPr>
              <w:t>C1.5. R4-I1</w:t>
            </w:r>
          </w:p>
        </w:tc>
        <w:tc>
          <w:tcPr>
            <w:tcW w:w="1274" w:type="dxa"/>
            <w:shd w:val="clear" w:color="auto" w:fill="C6EFCE"/>
            <w:vAlign w:val="center"/>
          </w:tcPr>
          <w:p w14:paraId="5DB71627"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3D9CC07" w14:textId="77777777" w:rsidR="00553430" w:rsidRDefault="00212577">
            <w:pPr>
              <w:pStyle w:val="P68B1DB1-Normal102"/>
              <w:spacing w:after="0" w:line="240" w:lineRule="auto"/>
              <w:jc w:val="both"/>
              <w:textAlignment w:val="baseline"/>
              <w:rPr>
                <w:noProof/>
              </w:rPr>
            </w:pPr>
            <w:r>
              <w:rPr>
                <w:noProof/>
              </w:rPr>
              <w:t>Régime de soutien à l’équipement des infrastructures des banques alimentaires et des intermédiaires dans la chaîne des dons alimentaires</w:t>
            </w:r>
          </w:p>
        </w:tc>
      </w:tr>
      <w:tr w:rsidR="00553430" w14:paraId="14719236" w14:textId="77777777">
        <w:trPr>
          <w:trHeight w:val="51"/>
        </w:trPr>
        <w:tc>
          <w:tcPr>
            <w:tcW w:w="1096" w:type="dxa"/>
            <w:shd w:val="clear" w:color="auto" w:fill="C6EFCE"/>
            <w:vAlign w:val="center"/>
          </w:tcPr>
          <w:p w14:paraId="590DEB8D" w14:textId="77777777" w:rsidR="00553430" w:rsidRDefault="00212577">
            <w:pPr>
              <w:pStyle w:val="P68B1DB1-Normal102"/>
              <w:spacing w:after="0" w:line="240" w:lineRule="auto"/>
              <w:jc w:val="center"/>
              <w:textAlignment w:val="baseline"/>
              <w:rPr>
                <w:noProof/>
              </w:rPr>
            </w:pPr>
            <w:r>
              <w:rPr>
                <w:noProof/>
              </w:rPr>
              <w:t>142</w:t>
            </w:r>
          </w:p>
        </w:tc>
        <w:tc>
          <w:tcPr>
            <w:tcW w:w="1639" w:type="dxa"/>
            <w:shd w:val="clear" w:color="auto" w:fill="C6EFCE"/>
            <w:vAlign w:val="center"/>
          </w:tcPr>
          <w:p w14:paraId="0612677A" w14:textId="77777777" w:rsidR="00553430" w:rsidRDefault="00212577">
            <w:pPr>
              <w:pStyle w:val="P68B1DB1-Normal102"/>
              <w:spacing w:after="0" w:line="240" w:lineRule="auto"/>
              <w:jc w:val="center"/>
              <w:textAlignment w:val="baseline"/>
              <w:rPr>
                <w:noProof/>
              </w:rPr>
            </w:pPr>
            <w:r>
              <w:rPr>
                <w:noProof/>
              </w:rPr>
              <w:t>C1.6. R1</w:t>
            </w:r>
          </w:p>
        </w:tc>
        <w:tc>
          <w:tcPr>
            <w:tcW w:w="1274" w:type="dxa"/>
            <w:shd w:val="clear" w:color="auto" w:fill="C6EFCE"/>
            <w:vAlign w:val="center"/>
          </w:tcPr>
          <w:p w14:paraId="0B187257"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43E71DDD" w14:textId="0351FAB1" w:rsidR="00553430" w:rsidRDefault="00212577">
            <w:pPr>
              <w:pStyle w:val="P68B1DB1-Normal102"/>
              <w:spacing w:after="0" w:line="240" w:lineRule="auto"/>
              <w:jc w:val="both"/>
              <w:textAlignment w:val="baseline"/>
              <w:rPr>
                <w:noProof/>
              </w:rPr>
            </w:pPr>
            <w:r>
              <w:rPr>
                <w:noProof/>
              </w:rPr>
              <w:t xml:space="preserve">Élaboration du cadre </w:t>
            </w:r>
            <w:r>
              <w:rPr>
                <w:noProof/>
              </w:rPr>
              <w:t>météorologique du compte satellite du tourisme durable de la République de Croatie</w:t>
            </w:r>
          </w:p>
        </w:tc>
      </w:tr>
      <w:tr w:rsidR="00553430" w14:paraId="0417964D" w14:textId="77777777">
        <w:trPr>
          <w:trHeight w:val="51"/>
        </w:trPr>
        <w:tc>
          <w:tcPr>
            <w:tcW w:w="1096" w:type="dxa"/>
            <w:shd w:val="clear" w:color="auto" w:fill="C6EFCE"/>
            <w:vAlign w:val="center"/>
          </w:tcPr>
          <w:p w14:paraId="6402DCCF" w14:textId="77777777" w:rsidR="00553430" w:rsidRDefault="00212577">
            <w:pPr>
              <w:pStyle w:val="P68B1DB1-Normal102"/>
              <w:spacing w:after="0" w:line="240" w:lineRule="auto"/>
              <w:jc w:val="center"/>
              <w:textAlignment w:val="baseline"/>
              <w:rPr>
                <w:noProof/>
              </w:rPr>
            </w:pPr>
            <w:r>
              <w:rPr>
                <w:noProof/>
              </w:rPr>
              <w:t>143</w:t>
            </w:r>
          </w:p>
        </w:tc>
        <w:tc>
          <w:tcPr>
            <w:tcW w:w="1639" w:type="dxa"/>
            <w:shd w:val="clear" w:color="auto" w:fill="C6EFCE"/>
            <w:vAlign w:val="center"/>
          </w:tcPr>
          <w:p w14:paraId="5CDDDE12" w14:textId="77777777" w:rsidR="00553430" w:rsidRDefault="00212577">
            <w:pPr>
              <w:pStyle w:val="P68B1DB1-Normal102"/>
              <w:spacing w:after="0" w:line="240" w:lineRule="auto"/>
              <w:jc w:val="center"/>
              <w:textAlignment w:val="baseline"/>
              <w:rPr>
                <w:noProof/>
              </w:rPr>
            </w:pPr>
            <w:r>
              <w:rPr>
                <w:noProof/>
              </w:rPr>
              <w:t>C1.6. R1</w:t>
            </w:r>
          </w:p>
        </w:tc>
        <w:tc>
          <w:tcPr>
            <w:tcW w:w="1274" w:type="dxa"/>
            <w:shd w:val="clear" w:color="auto" w:fill="C6EFCE"/>
            <w:vAlign w:val="center"/>
          </w:tcPr>
          <w:p w14:paraId="469D2F75"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73269F5" w14:textId="77777777" w:rsidR="00553430" w:rsidRDefault="00212577">
            <w:pPr>
              <w:pStyle w:val="P68B1DB1-Normal102"/>
              <w:spacing w:after="0" w:line="240" w:lineRule="auto"/>
              <w:jc w:val="both"/>
              <w:textAlignment w:val="baseline"/>
              <w:rPr>
                <w:noProof/>
              </w:rPr>
            </w:pPr>
            <w:r>
              <w:rPr>
                <w:noProof/>
              </w:rPr>
              <w:t>Loi sur le tourisme établissant un cadre pour le suivi et le développement du secteur du tourisme</w:t>
            </w:r>
          </w:p>
        </w:tc>
      </w:tr>
      <w:tr w:rsidR="00553430" w14:paraId="717DE65C" w14:textId="77777777">
        <w:trPr>
          <w:trHeight w:val="51"/>
        </w:trPr>
        <w:tc>
          <w:tcPr>
            <w:tcW w:w="1096" w:type="dxa"/>
            <w:shd w:val="clear" w:color="auto" w:fill="C6EFCE"/>
            <w:vAlign w:val="center"/>
          </w:tcPr>
          <w:p w14:paraId="17EDC797" w14:textId="77777777" w:rsidR="00553430" w:rsidRDefault="00212577">
            <w:pPr>
              <w:pStyle w:val="P68B1DB1-Normal102"/>
              <w:spacing w:after="0" w:line="240" w:lineRule="auto"/>
              <w:jc w:val="center"/>
              <w:textAlignment w:val="baseline"/>
              <w:rPr>
                <w:noProof/>
              </w:rPr>
            </w:pPr>
            <w:r>
              <w:rPr>
                <w:noProof/>
              </w:rPr>
              <w:t>151</w:t>
            </w:r>
          </w:p>
        </w:tc>
        <w:tc>
          <w:tcPr>
            <w:tcW w:w="1639" w:type="dxa"/>
            <w:shd w:val="clear" w:color="auto" w:fill="C6EFCE"/>
            <w:vAlign w:val="center"/>
          </w:tcPr>
          <w:p w14:paraId="180EA780" w14:textId="77777777" w:rsidR="00553430" w:rsidRDefault="00212577">
            <w:pPr>
              <w:pStyle w:val="P68B1DB1-Normal102"/>
              <w:spacing w:after="0" w:line="240" w:lineRule="auto"/>
              <w:jc w:val="center"/>
              <w:textAlignment w:val="baseline"/>
              <w:rPr>
                <w:noProof/>
              </w:rPr>
            </w:pPr>
            <w:r>
              <w:rPr>
                <w:noProof/>
              </w:rPr>
              <w:t>C2.1. R1</w:t>
            </w:r>
          </w:p>
        </w:tc>
        <w:tc>
          <w:tcPr>
            <w:tcW w:w="1274" w:type="dxa"/>
            <w:shd w:val="clear" w:color="auto" w:fill="C6EFCE"/>
            <w:vAlign w:val="center"/>
          </w:tcPr>
          <w:p w14:paraId="053CA375"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02577DB3" w14:textId="77777777" w:rsidR="00553430" w:rsidRDefault="00212577">
            <w:pPr>
              <w:pStyle w:val="P68B1DB1-Normal102"/>
              <w:spacing w:after="0" w:line="240" w:lineRule="auto"/>
              <w:jc w:val="both"/>
              <w:textAlignment w:val="baseline"/>
              <w:rPr>
                <w:noProof/>
              </w:rPr>
            </w:pPr>
            <w:r>
              <w:rPr>
                <w:noProof/>
              </w:rPr>
              <w:t xml:space="preserve">Modifications à la Loi sur l'évaluation </w:t>
            </w:r>
            <w:r>
              <w:rPr>
                <w:noProof/>
              </w:rPr>
              <w:t>d'impact de la réglementation</w:t>
            </w:r>
          </w:p>
        </w:tc>
      </w:tr>
      <w:tr w:rsidR="00553430" w14:paraId="6C98074B" w14:textId="77777777">
        <w:trPr>
          <w:trHeight w:val="51"/>
        </w:trPr>
        <w:tc>
          <w:tcPr>
            <w:tcW w:w="1096" w:type="dxa"/>
            <w:shd w:val="clear" w:color="auto" w:fill="C6EFCE"/>
            <w:vAlign w:val="center"/>
          </w:tcPr>
          <w:p w14:paraId="05FB4952" w14:textId="77777777" w:rsidR="00553430" w:rsidRDefault="00212577">
            <w:pPr>
              <w:pStyle w:val="P68B1DB1-Normal102"/>
              <w:spacing w:after="0" w:line="240" w:lineRule="auto"/>
              <w:jc w:val="center"/>
              <w:textAlignment w:val="baseline"/>
              <w:rPr>
                <w:noProof/>
              </w:rPr>
            </w:pPr>
            <w:r>
              <w:rPr>
                <w:noProof/>
              </w:rPr>
              <w:t>168</w:t>
            </w:r>
          </w:p>
        </w:tc>
        <w:tc>
          <w:tcPr>
            <w:tcW w:w="1639" w:type="dxa"/>
            <w:shd w:val="clear" w:color="auto" w:fill="C6EFCE"/>
            <w:vAlign w:val="center"/>
          </w:tcPr>
          <w:p w14:paraId="14387694" w14:textId="77777777" w:rsidR="00553430" w:rsidRDefault="00212577">
            <w:pPr>
              <w:pStyle w:val="P68B1DB1-Normal102"/>
              <w:spacing w:after="0" w:line="240" w:lineRule="auto"/>
              <w:jc w:val="center"/>
              <w:textAlignment w:val="baseline"/>
              <w:rPr>
                <w:noProof/>
              </w:rPr>
            </w:pPr>
            <w:r>
              <w:rPr>
                <w:noProof/>
              </w:rPr>
              <w:t>C2.2. R2-I2</w:t>
            </w:r>
          </w:p>
        </w:tc>
        <w:tc>
          <w:tcPr>
            <w:tcW w:w="1274" w:type="dxa"/>
            <w:shd w:val="clear" w:color="auto" w:fill="C6EFCE"/>
            <w:vAlign w:val="center"/>
          </w:tcPr>
          <w:p w14:paraId="5529D08D"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0328152" w14:textId="77777777" w:rsidR="00553430" w:rsidRDefault="00212577">
            <w:pPr>
              <w:pStyle w:val="P68B1DB1-Normal102"/>
              <w:spacing w:after="0" w:line="240" w:lineRule="auto"/>
              <w:jc w:val="both"/>
              <w:textAlignment w:val="baseline"/>
              <w:rPr>
                <w:noProof/>
              </w:rPr>
            </w:pPr>
            <w:r>
              <w:rPr>
                <w:noProof/>
              </w:rPr>
              <w:t>Au moins 20 % des fonctionnaires travaillent dans le modèle de travail intelligent</w:t>
            </w:r>
          </w:p>
        </w:tc>
      </w:tr>
      <w:tr w:rsidR="00553430" w14:paraId="03D25903" w14:textId="77777777">
        <w:trPr>
          <w:trHeight w:val="51"/>
        </w:trPr>
        <w:tc>
          <w:tcPr>
            <w:tcW w:w="1096" w:type="dxa"/>
            <w:shd w:val="clear" w:color="auto" w:fill="C6EFCE"/>
            <w:vAlign w:val="center"/>
          </w:tcPr>
          <w:p w14:paraId="1F5CC6A7" w14:textId="77777777" w:rsidR="00553430" w:rsidRDefault="00212577">
            <w:pPr>
              <w:pStyle w:val="P68B1DB1-Normal102"/>
              <w:spacing w:after="0" w:line="240" w:lineRule="auto"/>
              <w:jc w:val="center"/>
              <w:textAlignment w:val="baseline"/>
              <w:rPr>
                <w:noProof/>
              </w:rPr>
            </w:pPr>
            <w:r>
              <w:rPr>
                <w:noProof/>
              </w:rPr>
              <w:t>169</w:t>
            </w:r>
          </w:p>
        </w:tc>
        <w:tc>
          <w:tcPr>
            <w:tcW w:w="1639" w:type="dxa"/>
            <w:shd w:val="clear" w:color="auto" w:fill="C6EFCE"/>
            <w:vAlign w:val="center"/>
          </w:tcPr>
          <w:p w14:paraId="453DB8A1" w14:textId="77777777" w:rsidR="00553430" w:rsidRDefault="00212577">
            <w:pPr>
              <w:pStyle w:val="P68B1DB1-Normal102"/>
              <w:spacing w:after="0" w:line="240" w:lineRule="auto"/>
              <w:jc w:val="center"/>
              <w:textAlignment w:val="baseline"/>
              <w:rPr>
                <w:noProof/>
              </w:rPr>
            </w:pPr>
            <w:r>
              <w:rPr>
                <w:noProof/>
              </w:rPr>
              <w:t>C2.2. R2-I2</w:t>
            </w:r>
          </w:p>
        </w:tc>
        <w:tc>
          <w:tcPr>
            <w:tcW w:w="1274" w:type="dxa"/>
            <w:shd w:val="clear" w:color="auto" w:fill="C6EFCE"/>
            <w:vAlign w:val="center"/>
          </w:tcPr>
          <w:p w14:paraId="6BE0C8A9"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97EE2DF" w14:textId="77777777" w:rsidR="00553430" w:rsidRDefault="00212577">
            <w:pPr>
              <w:pStyle w:val="P68B1DB1-Normal102"/>
              <w:spacing w:after="0" w:line="240" w:lineRule="auto"/>
              <w:jc w:val="both"/>
              <w:textAlignment w:val="baseline"/>
              <w:rPr>
                <w:noProof/>
              </w:rPr>
            </w:pPr>
            <w:r>
              <w:rPr>
                <w:noProof/>
              </w:rPr>
              <w:t>Au moins 60 % des fonctionnaires formés à la méthode de travail intelligente</w:t>
            </w:r>
          </w:p>
        </w:tc>
      </w:tr>
      <w:tr w:rsidR="00553430" w14:paraId="27C97A20" w14:textId="77777777">
        <w:trPr>
          <w:trHeight w:val="51"/>
        </w:trPr>
        <w:tc>
          <w:tcPr>
            <w:tcW w:w="1096" w:type="dxa"/>
            <w:shd w:val="clear" w:color="auto" w:fill="C6EFCE"/>
            <w:vAlign w:val="center"/>
          </w:tcPr>
          <w:p w14:paraId="37AD6CF5" w14:textId="77777777" w:rsidR="00553430" w:rsidRDefault="00212577">
            <w:pPr>
              <w:pStyle w:val="P68B1DB1-Normal102"/>
              <w:spacing w:after="0" w:line="240" w:lineRule="auto"/>
              <w:jc w:val="center"/>
              <w:textAlignment w:val="baseline"/>
              <w:rPr>
                <w:noProof/>
              </w:rPr>
            </w:pPr>
            <w:r>
              <w:rPr>
                <w:noProof/>
              </w:rPr>
              <w:t>170</w:t>
            </w:r>
          </w:p>
        </w:tc>
        <w:tc>
          <w:tcPr>
            <w:tcW w:w="1639" w:type="dxa"/>
            <w:shd w:val="clear" w:color="auto" w:fill="C6EFCE"/>
            <w:vAlign w:val="center"/>
          </w:tcPr>
          <w:p w14:paraId="1339B492" w14:textId="77777777" w:rsidR="00553430" w:rsidRDefault="00212577">
            <w:pPr>
              <w:pStyle w:val="P68B1DB1-Normal102"/>
              <w:spacing w:after="0" w:line="240" w:lineRule="auto"/>
              <w:jc w:val="center"/>
              <w:textAlignment w:val="baseline"/>
              <w:rPr>
                <w:noProof/>
              </w:rPr>
            </w:pPr>
            <w:r>
              <w:rPr>
                <w:noProof/>
              </w:rPr>
              <w:t>C2.2. R3</w:t>
            </w:r>
          </w:p>
        </w:tc>
        <w:tc>
          <w:tcPr>
            <w:tcW w:w="1274" w:type="dxa"/>
            <w:shd w:val="clear" w:color="auto" w:fill="C6EFCE"/>
            <w:vAlign w:val="center"/>
          </w:tcPr>
          <w:p w14:paraId="27D0F60B"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67BD5E5" w14:textId="77777777" w:rsidR="00553430" w:rsidRDefault="00212577">
            <w:pPr>
              <w:pStyle w:val="P68B1DB1-Normal102"/>
              <w:spacing w:after="0" w:line="240" w:lineRule="auto"/>
              <w:jc w:val="both"/>
              <w:textAlignment w:val="baseline"/>
              <w:rPr>
                <w:noProof/>
              </w:rPr>
            </w:pPr>
            <w:r>
              <w:rPr>
                <w:noProof/>
              </w:rPr>
              <w:t xml:space="preserve">Mise en </w:t>
            </w:r>
            <w:r>
              <w:rPr>
                <w:noProof/>
              </w:rPr>
              <w:t>place d'un service d'e-conservation</w:t>
            </w:r>
          </w:p>
        </w:tc>
      </w:tr>
      <w:tr w:rsidR="00553430" w14:paraId="304CD58E" w14:textId="77777777">
        <w:trPr>
          <w:trHeight w:val="51"/>
        </w:trPr>
        <w:tc>
          <w:tcPr>
            <w:tcW w:w="1096" w:type="dxa"/>
            <w:shd w:val="clear" w:color="auto" w:fill="C6EFCE"/>
            <w:vAlign w:val="center"/>
          </w:tcPr>
          <w:p w14:paraId="775EDF7C" w14:textId="77777777" w:rsidR="00553430" w:rsidRDefault="00212577">
            <w:pPr>
              <w:pStyle w:val="P68B1DB1-Normal102"/>
              <w:spacing w:after="0" w:line="240" w:lineRule="auto"/>
              <w:jc w:val="center"/>
              <w:textAlignment w:val="baseline"/>
              <w:rPr>
                <w:noProof/>
              </w:rPr>
            </w:pPr>
            <w:r>
              <w:rPr>
                <w:noProof/>
              </w:rPr>
              <w:t>181</w:t>
            </w:r>
          </w:p>
        </w:tc>
        <w:tc>
          <w:tcPr>
            <w:tcW w:w="1639" w:type="dxa"/>
            <w:shd w:val="clear" w:color="auto" w:fill="C6EFCE"/>
            <w:vAlign w:val="center"/>
          </w:tcPr>
          <w:p w14:paraId="0DB08B4A" w14:textId="77777777" w:rsidR="00553430" w:rsidRDefault="00212577">
            <w:pPr>
              <w:pStyle w:val="P68B1DB1-Normal102"/>
              <w:spacing w:after="0" w:line="240" w:lineRule="auto"/>
              <w:jc w:val="center"/>
              <w:textAlignment w:val="baseline"/>
              <w:rPr>
                <w:noProof/>
              </w:rPr>
            </w:pPr>
            <w:r>
              <w:rPr>
                <w:noProof/>
              </w:rPr>
              <w:t>C2.3. R3-I2</w:t>
            </w:r>
          </w:p>
        </w:tc>
        <w:tc>
          <w:tcPr>
            <w:tcW w:w="1274" w:type="dxa"/>
            <w:shd w:val="clear" w:color="auto" w:fill="C6EFCE"/>
            <w:vAlign w:val="center"/>
          </w:tcPr>
          <w:p w14:paraId="48DC5772"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481387C8" w14:textId="77777777" w:rsidR="00553430" w:rsidRDefault="00212577">
            <w:pPr>
              <w:pStyle w:val="P68B1DB1-Normal102"/>
              <w:spacing w:after="0" w:line="240" w:lineRule="auto"/>
              <w:jc w:val="both"/>
              <w:textAlignment w:val="baseline"/>
              <w:rPr>
                <w:noProof/>
              </w:rPr>
            </w:pPr>
            <w:r>
              <w:rPr>
                <w:noProof/>
              </w:rPr>
              <w:t>Projet pilote sur la cybersécurité</w:t>
            </w:r>
          </w:p>
        </w:tc>
      </w:tr>
      <w:tr w:rsidR="00553430" w14:paraId="58289392" w14:textId="77777777">
        <w:trPr>
          <w:trHeight w:val="51"/>
        </w:trPr>
        <w:tc>
          <w:tcPr>
            <w:tcW w:w="1096" w:type="dxa"/>
            <w:shd w:val="clear" w:color="auto" w:fill="C6EFCE"/>
            <w:vAlign w:val="center"/>
          </w:tcPr>
          <w:p w14:paraId="0EA97085" w14:textId="77777777" w:rsidR="00553430" w:rsidRDefault="00212577">
            <w:pPr>
              <w:pStyle w:val="P68B1DB1-Normal102"/>
              <w:spacing w:after="0" w:line="240" w:lineRule="auto"/>
              <w:jc w:val="center"/>
              <w:textAlignment w:val="baseline"/>
              <w:rPr>
                <w:noProof/>
              </w:rPr>
            </w:pPr>
            <w:r>
              <w:rPr>
                <w:noProof/>
              </w:rPr>
              <w:t>183</w:t>
            </w:r>
          </w:p>
        </w:tc>
        <w:tc>
          <w:tcPr>
            <w:tcW w:w="1639" w:type="dxa"/>
            <w:shd w:val="clear" w:color="auto" w:fill="C6EFCE"/>
            <w:vAlign w:val="center"/>
          </w:tcPr>
          <w:p w14:paraId="154E602E" w14:textId="77777777" w:rsidR="00553430" w:rsidRDefault="00212577">
            <w:pPr>
              <w:pStyle w:val="P68B1DB1-Normal102"/>
              <w:spacing w:after="0" w:line="240" w:lineRule="auto"/>
              <w:jc w:val="center"/>
              <w:textAlignment w:val="baseline"/>
              <w:rPr>
                <w:noProof/>
              </w:rPr>
            </w:pPr>
            <w:r>
              <w:rPr>
                <w:noProof/>
              </w:rPr>
              <w:t>C2.3. R3-I3</w:t>
            </w:r>
          </w:p>
        </w:tc>
        <w:tc>
          <w:tcPr>
            <w:tcW w:w="1274" w:type="dxa"/>
            <w:shd w:val="clear" w:color="auto" w:fill="C6EFCE"/>
            <w:vAlign w:val="center"/>
          </w:tcPr>
          <w:p w14:paraId="7ACC9196"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4FA0F45" w14:textId="77777777" w:rsidR="00553430" w:rsidRDefault="00212577">
            <w:pPr>
              <w:pStyle w:val="P68B1DB1-Normal102"/>
              <w:spacing w:after="0" w:line="240" w:lineRule="auto"/>
              <w:jc w:val="both"/>
              <w:textAlignment w:val="baseline"/>
              <w:rPr>
                <w:noProof/>
              </w:rPr>
            </w:pPr>
            <w:r>
              <w:rPr>
                <w:noProof/>
              </w:rPr>
              <w:t>Mise en place d'un guichet unique</w:t>
            </w:r>
          </w:p>
        </w:tc>
      </w:tr>
      <w:tr w:rsidR="00553430" w14:paraId="7BFAD8FF" w14:textId="77777777">
        <w:trPr>
          <w:trHeight w:val="51"/>
        </w:trPr>
        <w:tc>
          <w:tcPr>
            <w:tcW w:w="1096" w:type="dxa"/>
            <w:shd w:val="clear" w:color="auto" w:fill="C6EFCE"/>
            <w:vAlign w:val="center"/>
          </w:tcPr>
          <w:p w14:paraId="27B22926" w14:textId="77777777" w:rsidR="00553430" w:rsidRDefault="00212577">
            <w:pPr>
              <w:pStyle w:val="P68B1DB1-Normal102"/>
              <w:spacing w:after="0" w:line="240" w:lineRule="auto"/>
              <w:jc w:val="center"/>
              <w:textAlignment w:val="baseline"/>
              <w:rPr>
                <w:noProof/>
              </w:rPr>
            </w:pPr>
            <w:r>
              <w:rPr>
                <w:noProof/>
              </w:rPr>
              <w:t>191</w:t>
            </w:r>
          </w:p>
        </w:tc>
        <w:tc>
          <w:tcPr>
            <w:tcW w:w="1639" w:type="dxa"/>
            <w:shd w:val="clear" w:color="auto" w:fill="C6EFCE"/>
            <w:vAlign w:val="center"/>
          </w:tcPr>
          <w:p w14:paraId="78E159DD" w14:textId="77777777" w:rsidR="00553430" w:rsidRDefault="00212577">
            <w:pPr>
              <w:pStyle w:val="P68B1DB1-Normal102"/>
              <w:spacing w:after="0" w:line="240" w:lineRule="auto"/>
              <w:jc w:val="center"/>
              <w:textAlignment w:val="baseline"/>
              <w:rPr>
                <w:noProof/>
              </w:rPr>
            </w:pPr>
            <w:r>
              <w:rPr>
                <w:noProof/>
              </w:rPr>
              <w:t>C2.3. R3-I9</w:t>
            </w:r>
          </w:p>
        </w:tc>
        <w:tc>
          <w:tcPr>
            <w:tcW w:w="1274" w:type="dxa"/>
            <w:shd w:val="clear" w:color="auto" w:fill="C6EFCE"/>
            <w:vAlign w:val="center"/>
          </w:tcPr>
          <w:p w14:paraId="784162ED"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7F7D10CF" w14:textId="77777777" w:rsidR="00553430" w:rsidRDefault="00212577">
            <w:pPr>
              <w:pStyle w:val="P68B1DB1-Normal102"/>
              <w:spacing w:after="0" w:line="240" w:lineRule="auto"/>
              <w:jc w:val="both"/>
              <w:textAlignment w:val="baseline"/>
              <w:rPr>
                <w:noProof/>
              </w:rPr>
            </w:pPr>
            <w:r>
              <w:rPr>
                <w:noProof/>
              </w:rPr>
              <w:t>Mise en place d'une nouvelle plateforme de marchés publics et d'une application mobile</w:t>
            </w:r>
          </w:p>
        </w:tc>
      </w:tr>
      <w:tr w:rsidR="00553430" w14:paraId="2966DC85" w14:textId="77777777">
        <w:trPr>
          <w:trHeight w:val="51"/>
        </w:trPr>
        <w:tc>
          <w:tcPr>
            <w:tcW w:w="1096" w:type="dxa"/>
            <w:shd w:val="clear" w:color="auto" w:fill="C6EFCE"/>
            <w:vAlign w:val="center"/>
          </w:tcPr>
          <w:p w14:paraId="61639BF5" w14:textId="77777777" w:rsidR="00553430" w:rsidRDefault="00212577">
            <w:pPr>
              <w:pStyle w:val="P68B1DB1-Normal102"/>
              <w:spacing w:after="0" w:line="240" w:lineRule="auto"/>
              <w:jc w:val="center"/>
              <w:textAlignment w:val="baseline"/>
              <w:rPr>
                <w:noProof/>
              </w:rPr>
            </w:pPr>
            <w:r>
              <w:rPr>
                <w:noProof/>
              </w:rPr>
              <w:t>192</w:t>
            </w:r>
          </w:p>
        </w:tc>
        <w:tc>
          <w:tcPr>
            <w:tcW w:w="1639" w:type="dxa"/>
            <w:shd w:val="clear" w:color="auto" w:fill="C6EFCE"/>
            <w:vAlign w:val="center"/>
          </w:tcPr>
          <w:p w14:paraId="4562E071" w14:textId="77777777" w:rsidR="00553430" w:rsidRDefault="00212577">
            <w:pPr>
              <w:pStyle w:val="P68B1DB1-Normal102"/>
              <w:spacing w:after="0" w:line="240" w:lineRule="auto"/>
              <w:jc w:val="center"/>
              <w:textAlignment w:val="baseline"/>
              <w:rPr>
                <w:noProof/>
              </w:rPr>
            </w:pPr>
            <w:r>
              <w:rPr>
                <w:noProof/>
              </w:rPr>
              <w:t>C2.3. R3-I10</w:t>
            </w:r>
          </w:p>
        </w:tc>
        <w:tc>
          <w:tcPr>
            <w:tcW w:w="1274" w:type="dxa"/>
            <w:shd w:val="clear" w:color="auto" w:fill="C6EFCE"/>
            <w:vAlign w:val="center"/>
          </w:tcPr>
          <w:p w14:paraId="7D49321A"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7C141497" w14:textId="77777777" w:rsidR="00553430" w:rsidRDefault="00212577">
            <w:pPr>
              <w:pStyle w:val="P68B1DB1-Normal102"/>
              <w:spacing w:after="0" w:line="240" w:lineRule="auto"/>
              <w:jc w:val="both"/>
              <w:textAlignment w:val="baseline"/>
              <w:rPr>
                <w:noProof/>
              </w:rPr>
            </w:pPr>
            <w:r>
              <w:rPr>
                <w:noProof/>
              </w:rPr>
              <w:t>Systèmes de gestion de l’identité numérique et des ressources humaines du CES</w:t>
            </w:r>
          </w:p>
        </w:tc>
      </w:tr>
      <w:tr w:rsidR="00553430" w14:paraId="0A1E1414" w14:textId="77777777">
        <w:trPr>
          <w:trHeight w:val="51"/>
        </w:trPr>
        <w:tc>
          <w:tcPr>
            <w:tcW w:w="1096" w:type="dxa"/>
            <w:shd w:val="clear" w:color="auto" w:fill="C6EFCE"/>
            <w:vAlign w:val="center"/>
          </w:tcPr>
          <w:p w14:paraId="6A2690F0" w14:textId="77777777" w:rsidR="00553430" w:rsidRDefault="00212577">
            <w:pPr>
              <w:pStyle w:val="P68B1DB1-Normal102"/>
              <w:spacing w:after="0" w:line="240" w:lineRule="auto"/>
              <w:jc w:val="center"/>
              <w:textAlignment w:val="baseline"/>
              <w:rPr>
                <w:noProof/>
              </w:rPr>
            </w:pPr>
            <w:r>
              <w:rPr>
                <w:noProof/>
              </w:rPr>
              <w:t>203</w:t>
            </w:r>
          </w:p>
        </w:tc>
        <w:tc>
          <w:tcPr>
            <w:tcW w:w="1639" w:type="dxa"/>
            <w:shd w:val="clear" w:color="auto" w:fill="C6EFCE"/>
            <w:vAlign w:val="center"/>
          </w:tcPr>
          <w:p w14:paraId="649330FC" w14:textId="77777777" w:rsidR="00553430" w:rsidRDefault="00212577">
            <w:pPr>
              <w:pStyle w:val="P68B1DB1-Normal102"/>
              <w:spacing w:after="0" w:line="240" w:lineRule="auto"/>
              <w:jc w:val="center"/>
              <w:textAlignment w:val="baseline"/>
              <w:rPr>
                <w:noProof/>
              </w:rPr>
            </w:pPr>
            <w:r>
              <w:rPr>
                <w:noProof/>
              </w:rPr>
              <w:t>C2.3. R4-I1</w:t>
            </w:r>
          </w:p>
        </w:tc>
        <w:tc>
          <w:tcPr>
            <w:tcW w:w="1274" w:type="dxa"/>
            <w:shd w:val="clear" w:color="auto" w:fill="C6EFCE"/>
            <w:vAlign w:val="center"/>
          </w:tcPr>
          <w:p w14:paraId="7DCB1FAA"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748AC114" w14:textId="77777777" w:rsidR="00553430" w:rsidRDefault="00212577">
            <w:pPr>
              <w:pStyle w:val="P68B1DB1-Normal102"/>
              <w:spacing w:after="0" w:line="240" w:lineRule="auto"/>
              <w:jc w:val="both"/>
              <w:textAlignment w:val="baseline"/>
              <w:rPr>
                <w:noProof/>
              </w:rPr>
            </w:pPr>
            <w:r>
              <w:rPr>
                <w:noProof/>
              </w:rPr>
              <w:t>Conventions de subvention signées pour la mise en œuvre des projets relevant du cadre national pour le développement de l’infrastructure d’accès</w:t>
            </w:r>
            <w:r>
              <w:rPr>
                <w:noProof/>
              </w:rPr>
              <w:t xml:space="preserve"> à haut débit (ONP)</w:t>
            </w:r>
          </w:p>
        </w:tc>
      </w:tr>
      <w:tr w:rsidR="00553430" w14:paraId="039801F3" w14:textId="77777777">
        <w:trPr>
          <w:trHeight w:val="51"/>
        </w:trPr>
        <w:tc>
          <w:tcPr>
            <w:tcW w:w="1096" w:type="dxa"/>
            <w:shd w:val="clear" w:color="auto" w:fill="C6EFCE"/>
            <w:vAlign w:val="center"/>
          </w:tcPr>
          <w:p w14:paraId="3EF507D3" w14:textId="77777777" w:rsidR="00553430" w:rsidRDefault="00212577">
            <w:pPr>
              <w:pStyle w:val="P68B1DB1-Normal102"/>
              <w:spacing w:after="0" w:line="240" w:lineRule="auto"/>
              <w:jc w:val="center"/>
              <w:textAlignment w:val="baseline"/>
              <w:rPr>
                <w:noProof/>
              </w:rPr>
            </w:pPr>
            <w:r>
              <w:rPr>
                <w:noProof/>
              </w:rPr>
              <w:t>220</w:t>
            </w:r>
          </w:p>
        </w:tc>
        <w:tc>
          <w:tcPr>
            <w:tcW w:w="1639" w:type="dxa"/>
            <w:shd w:val="clear" w:color="auto" w:fill="C6EFCE"/>
            <w:vAlign w:val="center"/>
          </w:tcPr>
          <w:p w14:paraId="593A0B35" w14:textId="77777777" w:rsidR="00553430" w:rsidRDefault="00212577">
            <w:pPr>
              <w:pStyle w:val="P68B1DB1-Normal102"/>
              <w:spacing w:after="0" w:line="240" w:lineRule="auto"/>
              <w:jc w:val="center"/>
              <w:textAlignment w:val="baseline"/>
              <w:rPr>
                <w:noProof/>
              </w:rPr>
            </w:pPr>
            <w:r>
              <w:rPr>
                <w:noProof/>
              </w:rPr>
              <w:t>C2.5. R1</w:t>
            </w:r>
          </w:p>
        </w:tc>
        <w:tc>
          <w:tcPr>
            <w:tcW w:w="1274" w:type="dxa"/>
            <w:shd w:val="clear" w:color="auto" w:fill="C6EFCE"/>
            <w:vAlign w:val="center"/>
          </w:tcPr>
          <w:p w14:paraId="22CCDD20"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284BEB8B" w14:textId="77777777" w:rsidR="00553430" w:rsidRDefault="00212577">
            <w:pPr>
              <w:pStyle w:val="P68B1DB1-Normal102"/>
              <w:spacing w:after="0" w:line="240" w:lineRule="auto"/>
              <w:jc w:val="both"/>
              <w:textAlignment w:val="baseline"/>
              <w:rPr>
                <w:noProof/>
              </w:rPr>
            </w:pPr>
            <w:r>
              <w:rPr>
                <w:noProof/>
              </w:rPr>
              <w:t>Adoption de nouveaux critères-cadres pour le travail des juges et introduction d’un outil actif de gestion des affaires judiciaires</w:t>
            </w:r>
          </w:p>
        </w:tc>
      </w:tr>
      <w:tr w:rsidR="00553430" w14:paraId="32EE25BC" w14:textId="77777777">
        <w:trPr>
          <w:trHeight w:val="51"/>
        </w:trPr>
        <w:tc>
          <w:tcPr>
            <w:tcW w:w="1096" w:type="dxa"/>
            <w:shd w:val="clear" w:color="auto" w:fill="C6EFCE"/>
            <w:vAlign w:val="center"/>
          </w:tcPr>
          <w:p w14:paraId="798F8192" w14:textId="77777777" w:rsidR="00553430" w:rsidRDefault="00212577">
            <w:pPr>
              <w:pStyle w:val="P68B1DB1-Normal102"/>
              <w:spacing w:after="0" w:line="240" w:lineRule="auto"/>
              <w:jc w:val="center"/>
              <w:textAlignment w:val="baseline"/>
              <w:rPr>
                <w:noProof/>
              </w:rPr>
            </w:pPr>
            <w:r>
              <w:rPr>
                <w:noProof/>
              </w:rPr>
              <w:t>234</w:t>
            </w:r>
          </w:p>
        </w:tc>
        <w:tc>
          <w:tcPr>
            <w:tcW w:w="1639" w:type="dxa"/>
            <w:shd w:val="clear" w:color="auto" w:fill="C6EFCE"/>
            <w:vAlign w:val="center"/>
          </w:tcPr>
          <w:p w14:paraId="116AA405" w14:textId="77777777" w:rsidR="00553430" w:rsidRDefault="00212577">
            <w:pPr>
              <w:pStyle w:val="P68B1DB1-Normal102"/>
              <w:spacing w:after="0" w:line="240" w:lineRule="auto"/>
              <w:jc w:val="center"/>
              <w:textAlignment w:val="baseline"/>
              <w:rPr>
                <w:noProof/>
              </w:rPr>
            </w:pPr>
            <w:r>
              <w:rPr>
                <w:noProof/>
              </w:rPr>
              <w:t>C2.6. R1</w:t>
            </w:r>
          </w:p>
        </w:tc>
        <w:tc>
          <w:tcPr>
            <w:tcW w:w="1274" w:type="dxa"/>
            <w:shd w:val="clear" w:color="auto" w:fill="C6EFCE"/>
            <w:vAlign w:val="center"/>
          </w:tcPr>
          <w:p w14:paraId="43230F89"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317CBB1" w14:textId="77777777" w:rsidR="00553430" w:rsidRDefault="00212577">
            <w:pPr>
              <w:pStyle w:val="P68B1DB1-Normal102"/>
              <w:spacing w:after="0" w:line="240" w:lineRule="auto"/>
              <w:jc w:val="both"/>
              <w:textAlignment w:val="baseline"/>
              <w:rPr>
                <w:noProof/>
              </w:rPr>
            </w:pPr>
            <w:r>
              <w:rPr>
                <w:noProof/>
              </w:rPr>
              <w:t xml:space="preserve">Adoption d'un code de déontologie pour les parlementaires et d'un code </w:t>
            </w:r>
            <w:r>
              <w:rPr>
                <w:noProof/>
              </w:rPr>
              <w:t>de déontologie pour les fonctionnaires de l'exécutif</w:t>
            </w:r>
          </w:p>
        </w:tc>
      </w:tr>
      <w:tr w:rsidR="00553430" w14:paraId="029582DD" w14:textId="77777777">
        <w:trPr>
          <w:trHeight w:val="51"/>
        </w:trPr>
        <w:tc>
          <w:tcPr>
            <w:tcW w:w="1096" w:type="dxa"/>
            <w:shd w:val="clear" w:color="auto" w:fill="C6EFCE"/>
            <w:vAlign w:val="center"/>
          </w:tcPr>
          <w:p w14:paraId="752A6E5E" w14:textId="77777777" w:rsidR="00553430" w:rsidRDefault="00212577">
            <w:pPr>
              <w:pStyle w:val="P68B1DB1-Normal102"/>
              <w:spacing w:after="0" w:line="240" w:lineRule="auto"/>
              <w:jc w:val="center"/>
              <w:textAlignment w:val="baseline"/>
              <w:rPr>
                <w:noProof/>
              </w:rPr>
            </w:pPr>
            <w:r>
              <w:rPr>
                <w:noProof/>
              </w:rPr>
              <w:t>243</w:t>
            </w:r>
          </w:p>
        </w:tc>
        <w:tc>
          <w:tcPr>
            <w:tcW w:w="1639" w:type="dxa"/>
            <w:shd w:val="clear" w:color="auto" w:fill="C6EFCE"/>
            <w:vAlign w:val="center"/>
          </w:tcPr>
          <w:p w14:paraId="77D8FA84" w14:textId="77777777" w:rsidR="00553430" w:rsidRDefault="00212577">
            <w:pPr>
              <w:pStyle w:val="P68B1DB1-Normal102"/>
              <w:spacing w:after="0" w:line="240" w:lineRule="auto"/>
              <w:jc w:val="center"/>
              <w:textAlignment w:val="baseline"/>
              <w:rPr>
                <w:noProof/>
              </w:rPr>
            </w:pPr>
            <w:r>
              <w:rPr>
                <w:noProof/>
              </w:rPr>
              <w:t>C2.6. R2</w:t>
            </w:r>
          </w:p>
        </w:tc>
        <w:tc>
          <w:tcPr>
            <w:tcW w:w="1274" w:type="dxa"/>
            <w:shd w:val="clear" w:color="auto" w:fill="C6EFCE"/>
            <w:vAlign w:val="center"/>
          </w:tcPr>
          <w:p w14:paraId="5A0F8938"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21101F82" w14:textId="77777777" w:rsidR="00553430" w:rsidRDefault="00212577">
            <w:pPr>
              <w:pStyle w:val="P68B1DB1-Normal102"/>
              <w:spacing w:after="0" w:line="240" w:lineRule="auto"/>
              <w:jc w:val="both"/>
              <w:textAlignment w:val="baseline"/>
              <w:rPr>
                <w:noProof/>
              </w:rPr>
            </w:pPr>
            <w:r>
              <w:rPr>
                <w:noProof/>
              </w:rPr>
              <w:t>Évaluation des effets de la loi sur le droit d'accès à l'information</w:t>
            </w:r>
          </w:p>
        </w:tc>
      </w:tr>
      <w:tr w:rsidR="00553430" w14:paraId="7F793EA6" w14:textId="77777777">
        <w:trPr>
          <w:trHeight w:val="51"/>
        </w:trPr>
        <w:tc>
          <w:tcPr>
            <w:tcW w:w="1096" w:type="dxa"/>
            <w:shd w:val="clear" w:color="auto" w:fill="C6EFCE"/>
            <w:vAlign w:val="center"/>
          </w:tcPr>
          <w:p w14:paraId="3CCA1A73" w14:textId="77777777" w:rsidR="00553430" w:rsidRDefault="00212577">
            <w:pPr>
              <w:pStyle w:val="P68B1DB1-Normal102"/>
              <w:spacing w:after="0" w:line="240" w:lineRule="auto"/>
              <w:jc w:val="center"/>
              <w:textAlignment w:val="baseline"/>
              <w:rPr>
                <w:noProof/>
              </w:rPr>
            </w:pPr>
            <w:r>
              <w:rPr>
                <w:noProof/>
              </w:rPr>
              <w:t xml:space="preserve">254 </w:t>
            </w:r>
          </w:p>
        </w:tc>
        <w:tc>
          <w:tcPr>
            <w:tcW w:w="1639" w:type="dxa"/>
            <w:shd w:val="clear" w:color="auto" w:fill="C6EFCE"/>
            <w:vAlign w:val="center"/>
          </w:tcPr>
          <w:p w14:paraId="3065702B" w14:textId="77777777" w:rsidR="00553430" w:rsidRDefault="00212577">
            <w:pPr>
              <w:pStyle w:val="P68B1DB1-Normal102"/>
              <w:spacing w:after="0" w:line="240" w:lineRule="auto"/>
              <w:jc w:val="center"/>
              <w:textAlignment w:val="baseline"/>
              <w:rPr>
                <w:noProof/>
              </w:rPr>
            </w:pPr>
            <w:r>
              <w:rPr>
                <w:noProof/>
              </w:rPr>
              <w:t>C2.8. R4</w:t>
            </w:r>
          </w:p>
        </w:tc>
        <w:tc>
          <w:tcPr>
            <w:tcW w:w="1274" w:type="dxa"/>
            <w:shd w:val="clear" w:color="auto" w:fill="C6EFCE"/>
            <w:vAlign w:val="center"/>
          </w:tcPr>
          <w:p w14:paraId="3E8CE98D"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EE8AE73" w14:textId="77777777" w:rsidR="00553430" w:rsidRDefault="00212577">
            <w:pPr>
              <w:pStyle w:val="P68B1DB1-Normal102"/>
              <w:spacing w:after="0" w:line="240" w:lineRule="auto"/>
              <w:jc w:val="both"/>
              <w:textAlignment w:val="baseline"/>
              <w:rPr>
                <w:noProof/>
              </w:rPr>
            </w:pPr>
            <w:r>
              <w:rPr>
                <w:noProof/>
              </w:rPr>
              <w:t>Renforcement de la surveillance du secteur financier sur la base d’une évaluation des risques dans le</w:t>
            </w:r>
            <w:r>
              <w:rPr>
                <w:noProof/>
              </w:rPr>
              <w:t xml:space="preserve"> domaine de la LBC/FT</w:t>
            </w:r>
          </w:p>
        </w:tc>
      </w:tr>
      <w:tr w:rsidR="00553430" w14:paraId="0DC417AC" w14:textId="77777777">
        <w:trPr>
          <w:trHeight w:val="51"/>
        </w:trPr>
        <w:tc>
          <w:tcPr>
            <w:tcW w:w="1096" w:type="dxa"/>
            <w:shd w:val="clear" w:color="auto" w:fill="C6EFCE"/>
            <w:vAlign w:val="center"/>
          </w:tcPr>
          <w:p w14:paraId="69657471" w14:textId="77777777" w:rsidR="00553430" w:rsidRDefault="00212577">
            <w:pPr>
              <w:pStyle w:val="P68B1DB1-Normal102"/>
              <w:spacing w:after="0" w:line="240" w:lineRule="auto"/>
              <w:jc w:val="center"/>
              <w:textAlignment w:val="baseline"/>
              <w:rPr>
                <w:noProof/>
              </w:rPr>
            </w:pPr>
            <w:r>
              <w:rPr>
                <w:noProof/>
              </w:rPr>
              <w:t>258</w:t>
            </w:r>
          </w:p>
        </w:tc>
        <w:tc>
          <w:tcPr>
            <w:tcW w:w="1639" w:type="dxa"/>
            <w:shd w:val="clear" w:color="auto" w:fill="C6EFCE"/>
            <w:vAlign w:val="center"/>
          </w:tcPr>
          <w:p w14:paraId="743102EA" w14:textId="77777777" w:rsidR="00553430" w:rsidRDefault="00212577">
            <w:pPr>
              <w:pStyle w:val="P68B1DB1-Normal102"/>
              <w:spacing w:after="0" w:line="240" w:lineRule="auto"/>
              <w:jc w:val="center"/>
              <w:textAlignment w:val="baseline"/>
              <w:rPr>
                <w:noProof/>
              </w:rPr>
            </w:pPr>
            <w:r>
              <w:rPr>
                <w:noProof/>
              </w:rPr>
              <w:t>C2.9. R1</w:t>
            </w:r>
          </w:p>
        </w:tc>
        <w:tc>
          <w:tcPr>
            <w:tcW w:w="1274" w:type="dxa"/>
            <w:shd w:val="clear" w:color="auto" w:fill="C6EFCE"/>
            <w:vAlign w:val="center"/>
          </w:tcPr>
          <w:p w14:paraId="1749D27B"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061C7BC0" w14:textId="77777777" w:rsidR="00553430" w:rsidRDefault="00212577">
            <w:pPr>
              <w:pStyle w:val="P68B1DB1-Normal102"/>
              <w:spacing w:after="0" w:line="240" w:lineRule="auto"/>
              <w:jc w:val="both"/>
              <w:textAlignment w:val="baseline"/>
              <w:rPr>
                <w:noProof/>
              </w:rPr>
            </w:pPr>
            <w:r>
              <w:rPr>
                <w:noProof/>
              </w:rPr>
              <w:t>Intégration d’un cadre sur mesure pour la formation continue des responsables des marchés publics dans le cadre de ProcurCompEU dans le système obligatoire de formation et de certification pour les marchés publics.</w:t>
            </w:r>
          </w:p>
        </w:tc>
      </w:tr>
      <w:tr w:rsidR="00553430" w14:paraId="3AA40861" w14:textId="77777777">
        <w:trPr>
          <w:trHeight w:val="51"/>
        </w:trPr>
        <w:tc>
          <w:tcPr>
            <w:tcW w:w="1096" w:type="dxa"/>
            <w:shd w:val="clear" w:color="auto" w:fill="C6EFCE"/>
            <w:vAlign w:val="center"/>
          </w:tcPr>
          <w:p w14:paraId="36CCC753" w14:textId="77777777" w:rsidR="00553430" w:rsidRDefault="00212577">
            <w:pPr>
              <w:pStyle w:val="P68B1DB1-Normal102"/>
              <w:spacing w:after="0" w:line="240" w:lineRule="auto"/>
              <w:jc w:val="center"/>
              <w:textAlignment w:val="baseline"/>
              <w:rPr>
                <w:noProof/>
              </w:rPr>
            </w:pPr>
            <w:r>
              <w:rPr>
                <w:noProof/>
              </w:rPr>
              <w:t>268</w:t>
            </w:r>
          </w:p>
        </w:tc>
        <w:tc>
          <w:tcPr>
            <w:tcW w:w="1639" w:type="dxa"/>
            <w:shd w:val="clear" w:color="auto" w:fill="C6EFCE"/>
            <w:vAlign w:val="center"/>
          </w:tcPr>
          <w:p w14:paraId="69078A93" w14:textId="77777777" w:rsidR="00553430" w:rsidRDefault="00212577">
            <w:pPr>
              <w:pStyle w:val="P68B1DB1-Normal102"/>
              <w:spacing w:after="0" w:line="240" w:lineRule="auto"/>
              <w:jc w:val="center"/>
              <w:textAlignment w:val="baseline"/>
              <w:rPr>
                <w:noProof/>
              </w:rPr>
            </w:pPr>
            <w:r>
              <w:rPr>
                <w:noProof/>
              </w:rPr>
              <w:t>C3.1. R1</w:t>
            </w:r>
          </w:p>
        </w:tc>
        <w:tc>
          <w:tcPr>
            <w:tcW w:w="1274" w:type="dxa"/>
            <w:shd w:val="clear" w:color="auto" w:fill="C6EFCE"/>
            <w:vAlign w:val="center"/>
          </w:tcPr>
          <w:p w14:paraId="615C17EB"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250E8F81" w14:textId="714B68EA" w:rsidR="00553430" w:rsidRDefault="00212577">
            <w:pPr>
              <w:pStyle w:val="P68B1DB1-Normal102"/>
              <w:spacing w:after="0" w:line="240" w:lineRule="auto"/>
              <w:jc w:val="both"/>
              <w:textAlignment w:val="baseline"/>
              <w:rPr>
                <w:noProof/>
              </w:rPr>
            </w:pPr>
            <w:r>
              <w:rPr>
                <w:noProof/>
              </w:rPr>
              <w:t>Adoption des amendements pour un modèle d'enseignement d'une journée complète</w:t>
            </w:r>
          </w:p>
        </w:tc>
      </w:tr>
      <w:tr w:rsidR="00553430" w14:paraId="35630245" w14:textId="77777777">
        <w:trPr>
          <w:trHeight w:val="51"/>
        </w:trPr>
        <w:tc>
          <w:tcPr>
            <w:tcW w:w="1096" w:type="dxa"/>
            <w:shd w:val="clear" w:color="auto" w:fill="C6EFCE"/>
            <w:vAlign w:val="center"/>
          </w:tcPr>
          <w:p w14:paraId="41E233C6" w14:textId="77777777" w:rsidR="00553430" w:rsidRDefault="00212577">
            <w:pPr>
              <w:pStyle w:val="P68B1DB1-Normal102"/>
              <w:spacing w:after="0" w:line="240" w:lineRule="auto"/>
              <w:jc w:val="center"/>
              <w:textAlignment w:val="baseline"/>
              <w:rPr>
                <w:noProof/>
              </w:rPr>
            </w:pPr>
            <w:r>
              <w:rPr>
                <w:noProof/>
              </w:rPr>
              <w:t>319</w:t>
            </w:r>
          </w:p>
        </w:tc>
        <w:tc>
          <w:tcPr>
            <w:tcW w:w="1639" w:type="dxa"/>
            <w:shd w:val="clear" w:color="auto" w:fill="C6EFCE"/>
            <w:vAlign w:val="center"/>
          </w:tcPr>
          <w:p w14:paraId="1DE91829" w14:textId="77777777" w:rsidR="00553430" w:rsidRDefault="00212577">
            <w:pPr>
              <w:pStyle w:val="P68B1DB1-Normal102"/>
              <w:spacing w:after="0" w:line="240" w:lineRule="auto"/>
              <w:jc w:val="center"/>
              <w:textAlignment w:val="baseline"/>
              <w:rPr>
                <w:noProof/>
              </w:rPr>
            </w:pPr>
            <w:r>
              <w:rPr>
                <w:noProof/>
              </w:rPr>
              <w:t>C5.1. R1</w:t>
            </w:r>
          </w:p>
        </w:tc>
        <w:tc>
          <w:tcPr>
            <w:tcW w:w="1274" w:type="dxa"/>
            <w:shd w:val="clear" w:color="auto" w:fill="C6EFCE"/>
            <w:vAlign w:val="center"/>
          </w:tcPr>
          <w:p w14:paraId="12509F95"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A06E3EE" w14:textId="77777777" w:rsidR="00553430" w:rsidRDefault="00212577">
            <w:pPr>
              <w:pStyle w:val="P68B1DB1-Normal102"/>
              <w:spacing w:after="0" w:line="240" w:lineRule="auto"/>
              <w:jc w:val="both"/>
              <w:textAlignment w:val="baseline"/>
              <w:rPr>
                <w:noProof/>
              </w:rPr>
            </w:pPr>
            <w:r>
              <w:rPr>
                <w:noProof/>
              </w:rPr>
              <w:t>Optimisation du temps de traitement diagnostique – listes d’attente</w:t>
            </w:r>
          </w:p>
        </w:tc>
      </w:tr>
      <w:tr w:rsidR="00553430" w14:paraId="23077597" w14:textId="77777777">
        <w:trPr>
          <w:trHeight w:val="51"/>
        </w:trPr>
        <w:tc>
          <w:tcPr>
            <w:tcW w:w="1096" w:type="dxa"/>
            <w:shd w:val="clear" w:color="auto" w:fill="C6EFCE"/>
            <w:vAlign w:val="center"/>
          </w:tcPr>
          <w:p w14:paraId="325ADE9E" w14:textId="77777777" w:rsidR="00553430" w:rsidRDefault="00212577">
            <w:pPr>
              <w:pStyle w:val="P68B1DB1-Normal102"/>
              <w:spacing w:after="0" w:line="240" w:lineRule="auto"/>
              <w:jc w:val="center"/>
              <w:textAlignment w:val="baseline"/>
              <w:rPr>
                <w:noProof/>
              </w:rPr>
            </w:pPr>
            <w:r>
              <w:rPr>
                <w:noProof/>
              </w:rPr>
              <w:t>337</w:t>
            </w:r>
          </w:p>
        </w:tc>
        <w:tc>
          <w:tcPr>
            <w:tcW w:w="1639" w:type="dxa"/>
            <w:shd w:val="clear" w:color="auto" w:fill="C6EFCE"/>
            <w:vAlign w:val="center"/>
          </w:tcPr>
          <w:p w14:paraId="631B2D29" w14:textId="77777777" w:rsidR="00553430" w:rsidRDefault="00212577">
            <w:pPr>
              <w:pStyle w:val="P68B1DB1-Normal102"/>
              <w:spacing w:after="0" w:line="240" w:lineRule="auto"/>
              <w:jc w:val="center"/>
              <w:textAlignment w:val="baseline"/>
              <w:rPr>
                <w:noProof/>
              </w:rPr>
            </w:pPr>
            <w:r>
              <w:rPr>
                <w:noProof/>
              </w:rPr>
              <w:t>C5.1. R4</w:t>
            </w:r>
          </w:p>
        </w:tc>
        <w:tc>
          <w:tcPr>
            <w:tcW w:w="1274" w:type="dxa"/>
            <w:shd w:val="clear" w:color="auto" w:fill="C6EFCE"/>
            <w:vAlign w:val="center"/>
          </w:tcPr>
          <w:p w14:paraId="24A06EF7"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9CDB0E1" w14:textId="77777777" w:rsidR="00553430" w:rsidRDefault="00212577">
            <w:pPr>
              <w:pStyle w:val="P68B1DB1-Normal102"/>
              <w:spacing w:after="0" w:line="240" w:lineRule="auto"/>
              <w:jc w:val="both"/>
              <w:textAlignment w:val="baseline"/>
              <w:rPr>
                <w:noProof/>
              </w:rPr>
            </w:pPr>
            <w:r>
              <w:rPr>
                <w:noProof/>
              </w:rPr>
              <w:t>Intégration fonctionnelle des hôpitaux</w:t>
            </w:r>
          </w:p>
        </w:tc>
      </w:tr>
      <w:tr w:rsidR="00553430" w14:paraId="236C33E2" w14:textId="77777777">
        <w:trPr>
          <w:trHeight w:val="51"/>
        </w:trPr>
        <w:tc>
          <w:tcPr>
            <w:tcW w:w="1096" w:type="dxa"/>
            <w:shd w:val="clear" w:color="auto" w:fill="C6EFCE"/>
            <w:vAlign w:val="center"/>
          </w:tcPr>
          <w:p w14:paraId="7036F121" w14:textId="77777777" w:rsidR="00553430" w:rsidRDefault="00212577">
            <w:pPr>
              <w:pStyle w:val="P68B1DB1-Normal102"/>
              <w:spacing w:after="0" w:line="240" w:lineRule="auto"/>
              <w:jc w:val="center"/>
              <w:textAlignment w:val="baseline"/>
              <w:rPr>
                <w:noProof/>
              </w:rPr>
            </w:pPr>
            <w:r>
              <w:rPr>
                <w:noProof/>
              </w:rPr>
              <w:t>338</w:t>
            </w:r>
          </w:p>
        </w:tc>
        <w:tc>
          <w:tcPr>
            <w:tcW w:w="1639" w:type="dxa"/>
            <w:shd w:val="clear" w:color="auto" w:fill="C6EFCE"/>
            <w:vAlign w:val="center"/>
          </w:tcPr>
          <w:p w14:paraId="06CD5F93" w14:textId="77777777" w:rsidR="00553430" w:rsidRDefault="00212577">
            <w:pPr>
              <w:pStyle w:val="P68B1DB1-Normal102"/>
              <w:spacing w:after="0" w:line="240" w:lineRule="auto"/>
              <w:jc w:val="center"/>
              <w:textAlignment w:val="baseline"/>
              <w:rPr>
                <w:noProof/>
              </w:rPr>
            </w:pPr>
            <w:r>
              <w:rPr>
                <w:noProof/>
              </w:rPr>
              <w:t>C5.1. R4</w:t>
            </w:r>
          </w:p>
        </w:tc>
        <w:tc>
          <w:tcPr>
            <w:tcW w:w="1274" w:type="dxa"/>
            <w:shd w:val="clear" w:color="auto" w:fill="C6EFCE"/>
            <w:vAlign w:val="center"/>
          </w:tcPr>
          <w:p w14:paraId="0FD84320"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693E95B" w14:textId="77777777" w:rsidR="00553430" w:rsidRDefault="00212577">
            <w:pPr>
              <w:pStyle w:val="P68B1DB1-Normal102"/>
              <w:spacing w:after="0" w:line="240" w:lineRule="auto"/>
              <w:jc w:val="both"/>
              <w:textAlignment w:val="baseline"/>
              <w:rPr>
                <w:noProof/>
              </w:rPr>
            </w:pPr>
            <w:r>
              <w:rPr>
                <w:noProof/>
              </w:rPr>
              <w:t>Procédure conjointe de passation de marché pour les établissements de santé</w:t>
            </w:r>
          </w:p>
        </w:tc>
      </w:tr>
      <w:tr w:rsidR="00553430" w14:paraId="682FCFD9" w14:textId="77777777">
        <w:trPr>
          <w:trHeight w:val="51"/>
        </w:trPr>
        <w:tc>
          <w:tcPr>
            <w:tcW w:w="1096" w:type="dxa"/>
            <w:shd w:val="clear" w:color="auto" w:fill="C6EFCE"/>
            <w:vAlign w:val="center"/>
          </w:tcPr>
          <w:p w14:paraId="090F2744" w14:textId="77777777" w:rsidR="00553430" w:rsidRDefault="00212577">
            <w:pPr>
              <w:pStyle w:val="P68B1DB1-Normal102"/>
              <w:spacing w:after="0" w:line="240" w:lineRule="auto"/>
              <w:jc w:val="center"/>
              <w:textAlignment w:val="baseline"/>
              <w:rPr>
                <w:noProof/>
              </w:rPr>
            </w:pPr>
            <w:r>
              <w:rPr>
                <w:noProof/>
              </w:rPr>
              <w:t>369</w:t>
            </w:r>
          </w:p>
        </w:tc>
        <w:tc>
          <w:tcPr>
            <w:tcW w:w="1639" w:type="dxa"/>
            <w:shd w:val="clear" w:color="auto" w:fill="C6EFCE"/>
            <w:vAlign w:val="center"/>
          </w:tcPr>
          <w:p w14:paraId="25621E17" w14:textId="77777777" w:rsidR="00553430" w:rsidRDefault="00212577">
            <w:pPr>
              <w:pStyle w:val="P68B1DB1-Normal102"/>
              <w:spacing w:after="0" w:line="240" w:lineRule="auto"/>
              <w:jc w:val="center"/>
              <w:textAlignment w:val="baseline"/>
              <w:rPr>
                <w:noProof/>
              </w:rPr>
            </w:pPr>
            <w:r>
              <w:rPr>
                <w:noProof/>
              </w:rPr>
              <w:t>C6.1. R5</w:t>
            </w:r>
          </w:p>
        </w:tc>
        <w:tc>
          <w:tcPr>
            <w:tcW w:w="1274" w:type="dxa"/>
            <w:shd w:val="clear" w:color="auto" w:fill="C6EFCE"/>
            <w:vAlign w:val="center"/>
          </w:tcPr>
          <w:p w14:paraId="40292FA6"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715BE3D" w14:textId="77777777" w:rsidR="00553430" w:rsidRDefault="00212577">
            <w:pPr>
              <w:pStyle w:val="P68B1DB1-Normal102"/>
              <w:spacing w:after="0" w:line="240" w:lineRule="auto"/>
              <w:jc w:val="both"/>
              <w:textAlignment w:val="baseline"/>
              <w:rPr>
                <w:noProof/>
              </w:rPr>
            </w:pPr>
            <w:r>
              <w:rPr>
                <w:noProof/>
              </w:rPr>
              <w:t>L'adoption de stratégies de rénovation urbaine verte</w:t>
            </w:r>
          </w:p>
        </w:tc>
      </w:tr>
      <w:tr w:rsidR="00553430" w14:paraId="76B9C21E" w14:textId="77777777">
        <w:trPr>
          <w:trHeight w:val="51"/>
        </w:trPr>
        <w:tc>
          <w:tcPr>
            <w:tcW w:w="1096" w:type="dxa"/>
            <w:shd w:val="clear" w:color="auto" w:fill="C6EFCE"/>
            <w:vAlign w:val="center"/>
          </w:tcPr>
          <w:p w14:paraId="0D459FB0" w14:textId="77777777" w:rsidR="00553430" w:rsidRDefault="00212577">
            <w:pPr>
              <w:pStyle w:val="P68B1DB1-Normal102"/>
              <w:spacing w:after="0" w:line="240" w:lineRule="auto"/>
              <w:jc w:val="center"/>
              <w:textAlignment w:val="baseline"/>
              <w:rPr>
                <w:noProof/>
              </w:rPr>
            </w:pPr>
            <w:r>
              <w:rPr>
                <w:noProof/>
              </w:rPr>
              <w:t>371</w:t>
            </w:r>
          </w:p>
        </w:tc>
        <w:tc>
          <w:tcPr>
            <w:tcW w:w="1639" w:type="dxa"/>
            <w:shd w:val="clear" w:color="auto" w:fill="C6EFCE"/>
            <w:vAlign w:val="center"/>
          </w:tcPr>
          <w:p w14:paraId="430BCCF9" w14:textId="77777777" w:rsidR="00553430" w:rsidRDefault="00212577">
            <w:pPr>
              <w:pStyle w:val="P68B1DB1-Normal102"/>
              <w:spacing w:after="0" w:line="240" w:lineRule="auto"/>
              <w:jc w:val="center"/>
              <w:textAlignment w:val="baseline"/>
              <w:rPr>
                <w:noProof/>
              </w:rPr>
            </w:pPr>
            <w:r>
              <w:rPr>
                <w:noProof/>
              </w:rPr>
              <w:t>C6.1. R6</w:t>
            </w:r>
          </w:p>
        </w:tc>
        <w:tc>
          <w:tcPr>
            <w:tcW w:w="1274" w:type="dxa"/>
            <w:shd w:val="clear" w:color="auto" w:fill="C6EFCE"/>
            <w:vAlign w:val="center"/>
          </w:tcPr>
          <w:p w14:paraId="36C3427A"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7BDA09E0" w14:textId="77777777" w:rsidR="00553430" w:rsidRDefault="00212577">
            <w:pPr>
              <w:pStyle w:val="P68B1DB1-Normal102"/>
              <w:spacing w:after="0" w:line="240" w:lineRule="auto"/>
              <w:jc w:val="both"/>
              <w:textAlignment w:val="baseline"/>
              <w:rPr>
                <w:noProof/>
              </w:rPr>
            </w:pPr>
            <w:r>
              <w:rPr>
                <w:noProof/>
              </w:rPr>
              <w:t xml:space="preserve">Projet pilote de gestion systématique de l'énergie mené à bien avec succès dans le but de </w:t>
            </w:r>
            <w:r>
              <w:rPr>
                <w:noProof/>
              </w:rPr>
              <w:t>tester un nouveau modèle de financement de la rénovation de l'efficacité énergétique</w:t>
            </w:r>
          </w:p>
        </w:tc>
      </w:tr>
      <w:tr w:rsidR="00553430" w14:paraId="0914F195" w14:textId="77777777">
        <w:trPr>
          <w:trHeight w:val="51"/>
        </w:trPr>
        <w:tc>
          <w:tcPr>
            <w:tcW w:w="1096" w:type="dxa"/>
            <w:shd w:val="clear" w:color="auto" w:fill="C6EFCE"/>
            <w:vAlign w:val="center"/>
          </w:tcPr>
          <w:p w14:paraId="4F5900E5" w14:textId="77777777" w:rsidR="00553430" w:rsidRDefault="00212577">
            <w:pPr>
              <w:pStyle w:val="P68B1DB1-Normal102"/>
              <w:spacing w:after="0" w:line="240" w:lineRule="auto"/>
              <w:jc w:val="center"/>
              <w:textAlignment w:val="baseline"/>
              <w:rPr>
                <w:noProof/>
              </w:rPr>
            </w:pPr>
            <w:r>
              <w:rPr>
                <w:noProof/>
              </w:rPr>
              <w:t>398</w:t>
            </w:r>
          </w:p>
        </w:tc>
        <w:tc>
          <w:tcPr>
            <w:tcW w:w="1639" w:type="dxa"/>
            <w:shd w:val="clear" w:color="auto" w:fill="C6EFCE"/>
            <w:vAlign w:val="center"/>
          </w:tcPr>
          <w:p w14:paraId="24841EBF" w14:textId="77777777" w:rsidR="00553430" w:rsidRDefault="00212577">
            <w:pPr>
              <w:pStyle w:val="P68B1DB1-Normal102"/>
              <w:spacing w:after="0" w:line="240" w:lineRule="auto"/>
              <w:jc w:val="center"/>
              <w:textAlignment w:val="baseline"/>
              <w:rPr>
                <w:noProof/>
              </w:rPr>
            </w:pPr>
            <w:r>
              <w:rPr>
                <w:noProof/>
              </w:rPr>
              <w:t>C4.3. R1</w:t>
            </w:r>
          </w:p>
        </w:tc>
        <w:tc>
          <w:tcPr>
            <w:tcW w:w="1274" w:type="dxa"/>
            <w:shd w:val="clear" w:color="auto" w:fill="C6EFCE"/>
            <w:vAlign w:val="center"/>
          </w:tcPr>
          <w:p w14:paraId="7B9C38C9"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33B6816" w14:textId="77777777" w:rsidR="00553430" w:rsidRDefault="00212577">
            <w:pPr>
              <w:pStyle w:val="P68B1DB1-Normal102"/>
              <w:spacing w:after="0" w:line="240" w:lineRule="auto"/>
              <w:jc w:val="both"/>
              <w:textAlignment w:val="baseline"/>
              <w:rPr>
                <w:noProof/>
              </w:rPr>
            </w:pPr>
            <w:r>
              <w:rPr>
                <w:noProof/>
              </w:rPr>
              <w:t>Entrée en vigueur des modifications apportées à la loi sur la protection sociale et adoption de la décision relative à la prestation minimale garantie</w:t>
            </w:r>
          </w:p>
        </w:tc>
      </w:tr>
      <w:tr w:rsidR="00553430" w14:paraId="0423A086" w14:textId="77777777">
        <w:trPr>
          <w:trHeight w:val="51"/>
        </w:trPr>
        <w:tc>
          <w:tcPr>
            <w:tcW w:w="1096" w:type="dxa"/>
            <w:shd w:val="clear" w:color="auto" w:fill="C6EFCE"/>
            <w:vAlign w:val="center"/>
          </w:tcPr>
          <w:p w14:paraId="03848F97" w14:textId="77777777" w:rsidR="00553430" w:rsidRDefault="00212577">
            <w:pPr>
              <w:pStyle w:val="P68B1DB1-Normal102"/>
              <w:spacing w:after="0" w:line="240" w:lineRule="auto"/>
              <w:jc w:val="center"/>
              <w:textAlignment w:val="baseline"/>
              <w:rPr>
                <w:noProof/>
              </w:rPr>
            </w:pPr>
            <w:r>
              <w:rPr>
                <w:noProof/>
              </w:rPr>
              <w:t>399</w:t>
            </w:r>
          </w:p>
        </w:tc>
        <w:tc>
          <w:tcPr>
            <w:tcW w:w="1639" w:type="dxa"/>
            <w:shd w:val="clear" w:color="auto" w:fill="C6EFCE"/>
            <w:vAlign w:val="center"/>
          </w:tcPr>
          <w:p w14:paraId="0F8538A6" w14:textId="77777777" w:rsidR="00553430" w:rsidRDefault="00212577">
            <w:pPr>
              <w:pStyle w:val="P68B1DB1-Normal102"/>
              <w:spacing w:after="0" w:line="240" w:lineRule="auto"/>
              <w:jc w:val="center"/>
              <w:textAlignment w:val="baseline"/>
              <w:rPr>
                <w:noProof/>
              </w:rPr>
            </w:pPr>
            <w:r>
              <w:rPr>
                <w:noProof/>
              </w:rPr>
              <w:t>C5.1. R3-I1</w:t>
            </w:r>
          </w:p>
        </w:tc>
        <w:tc>
          <w:tcPr>
            <w:tcW w:w="1274" w:type="dxa"/>
            <w:shd w:val="clear" w:color="auto" w:fill="C6EFCE"/>
            <w:vAlign w:val="center"/>
          </w:tcPr>
          <w:p w14:paraId="04DAF2E7"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EA53D0A" w14:textId="77777777" w:rsidR="00553430" w:rsidRDefault="00212577">
            <w:pPr>
              <w:pStyle w:val="P68B1DB1-Normal102"/>
              <w:spacing w:after="0" w:line="240" w:lineRule="auto"/>
              <w:jc w:val="both"/>
              <w:textAlignment w:val="baseline"/>
              <w:rPr>
                <w:noProof/>
              </w:rPr>
            </w:pPr>
            <w:r>
              <w:rPr>
                <w:noProof/>
              </w:rPr>
              <w:t>Création d'un système de financement centralisé dédié à la formation médicale spécialisée</w:t>
            </w:r>
          </w:p>
        </w:tc>
      </w:tr>
      <w:tr w:rsidR="00553430" w14:paraId="15796883" w14:textId="77777777">
        <w:trPr>
          <w:trHeight w:val="51"/>
        </w:trPr>
        <w:tc>
          <w:tcPr>
            <w:tcW w:w="1096" w:type="dxa"/>
            <w:shd w:val="clear" w:color="auto" w:fill="C6EFCE"/>
            <w:vAlign w:val="center"/>
          </w:tcPr>
          <w:p w14:paraId="65D1D9C4" w14:textId="77777777" w:rsidR="00553430" w:rsidRDefault="00553430">
            <w:pPr>
              <w:spacing w:after="0" w:line="240" w:lineRule="auto"/>
              <w:jc w:val="center"/>
              <w:textAlignment w:val="baseline"/>
              <w:rPr>
                <w:rFonts w:ascii="Times New Roman" w:hAnsi="Times New Roman" w:cs="Times New Roman"/>
                <w:noProof/>
                <w:color w:val="000000"/>
                <w:sz w:val="20"/>
                <w:szCs w:val="20"/>
              </w:rPr>
            </w:pPr>
          </w:p>
        </w:tc>
        <w:tc>
          <w:tcPr>
            <w:tcW w:w="1639" w:type="dxa"/>
            <w:shd w:val="clear" w:color="auto" w:fill="C6EFCE"/>
            <w:vAlign w:val="center"/>
          </w:tcPr>
          <w:p w14:paraId="3E9C3109" w14:textId="77777777" w:rsidR="00553430" w:rsidRDefault="00553430">
            <w:pPr>
              <w:spacing w:after="0" w:line="240" w:lineRule="auto"/>
              <w:jc w:val="center"/>
              <w:textAlignment w:val="baseline"/>
              <w:rPr>
                <w:rFonts w:ascii="Times New Roman" w:hAnsi="Times New Roman" w:cs="Times New Roman"/>
                <w:noProof/>
                <w:color w:val="000000"/>
                <w:sz w:val="20"/>
                <w:szCs w:val="20"/>
              </w:rPr>
            </w:pPr>
          </w:p>
        </w:tc>
        <w:tc>
          <w:tcPr>
            <w:tcW w:w="1274" w:type="dxa"/>
            <w:shd w:val="clear" w:color="auto" w:fill="C6EFCE"/>
            <w:vAlign w:val="center"/>
          </w:tcPr>
          <w:p w14:paraId="0911F147" w14:textId="77777777" w:rsidR="00553430" w:rsidRDefault="00212577">
            <w:pPr>
              <w:pStyle w:val="P68B1DB1-Normal102"/>
              <w:spacing w:after="0" w:line="240" w:lineRule="auto"/>
              <w:jc w:val="center"/>
              <w:textAlignment w:val="baseline"/>
              <w:rPr>
                <w:noProof/>
              </w:rPr>
            </w:pPr>
            <w:r>
              <w:rPr>
                <w:noProof/>
              </w:rPr>
              <w:t>Montant des acomptes provisionnels</w:t>
            </w:r>
          </w:p>
        </w:tc>
        <w:tc>
          <w:tcPr>
            <w:tcW w:w="5347" w:type="dxa"/>
            <w:shd w:val="clear" w:color="auto" w:fill="C6EFCE"/>
            <w:vAlign w:val="center"/>
          </w:tcPr>
          <w:p w14:paraId="1061DD74" w14:textId="0FED82A8" w:rsidR="00553430" w:rsidRDefault="00212577">
            <w:pPr>
              <w:pStyle w:val="P68B1DB1-Normal102"/>
              <w:spacing w:after="0" w:line="240" w:lineRule="auto"/>
              <w:jc w:val="both"/>
              <w:textAlignment w:val="baseline"/>
              <w:rPr>
                <w:noProof/>
              </w:rPr>
            </w:pPr>
            <w:r>
              <w:rPr>
                <w:noProof/>
              </w:rPr>
              <w:t>642 949 403 EUR</w:t>
            </w:r>
          </w:p>
        </w:tc>
      </w:tr>
    </w:tbl>
    <w:p w14:paraId="6DAB13FF" w14:textId="77777777" w:rsidR="00553430" w:rsidRDefault="00553430">
      <w:pPr>
        <w:spacing w:after="0" w:line="240" w:lineRule="auto"/>
        <w:jc w:val="both"/>
        <w:textAlignment w:val="baseline"/>
        <w:rPr>
          <w:rFonts w:eastAsia="Times New Roman"/>
          <w:noProof/>
          <w:szCs w:val="24"/>
        </w:rPr>
      </w:pPr>
    </w:p>
    <w:p w14:paraId="572B167F" w14:textId="77777777" w:rsidR="00553430" w:rsidRDefault="00553430">
      <w:pPr>
        <w:spacing w:after="0" w:line="240" w:lineRule="auto"/>
        <w:jc w:val="both"/>
        <w:textAlignment w:val="baseline"/>
        <w:rPr>
          <w:rFonts w:eastAsia="Times New Roman"/>
          <w:noProof/>
          <w:szCs w:val="24"/>
        </w:rPr>
      </w:pPr>
    </w:p>
    <w:p w14:paraId="2B0ADF87" w14:textId="77777777" w:rsidR="00553430" w:rsidRDefault="00212577">
      <w:pPr>
        <w:pStyle w:val="P68B1DB1-Normal83"/>
        <w:numPr>
          <w:ilvl w:val="0"/>
          <w:numId w:val="80"/>
        </w:numPr>
        <w:spacing w:line="240" w:lineRule="auto"/>
        <w:contextualSpacing/>
        <w:jc w:val="both"/>
        <w:textAlignment w:val="baseline"/>
        <w:rPr>
          <w:noProof/>
        </w:rPr>
      </w:pPr>
      <w:r>
        <w:rPr>
          <w:noProof/>
        </w:rPr>
        <w:t>Sixième tranche (soutien non remboursable):</w:t>
      </w:r>
    </w:p>
    <w:p w14:paraId="5B2E0C44" w14:textId="77777777" w:rsidR="00553430" w:rsidRDefault="00553430">
      <w:pPr>
        <w:spacing w:line="240" w:lineRule="auto"/>
        <w:ind w:left="720"/>
        <w:contextualSpacing/>
        <w:jc w:val="both"/>
        <w:textAlignment w:val="baseline"/>
        <w:rPr>
          <w:rFonts w:ascii="Times New Roman" w:eastAsia="Times New Roman" w:hAnsi="Times New Roman" w:cs="Times New Roman"/>
          <w:noProof/>
          <w:sz w:val="24"/>
          <w:szCs w:val="24"/>
        </w:rPr>
      </w:pPr>
    </w:p>
    <w:tbl>
      <w:tblPr>
        <w:tblW w:w="935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6"/>
        <w:gridCol w:w="1639"/>
        <w:gridCol w:w="1274"/>
        <w:gridCol w:w="5347"/>
      </w:tblGrid>
      <w:tr w:rsidR="00553430" w14:paraId="6846669A" w14:textId="77777777">
        <w:trPr>
          <w:trHeight w:val="517"/>
          <w:tblHeader/>
        </w:trPr>
        <w:tc>
          <w:tcPr>
            <w:tcW w:w="1096" w:type="dxa"/>
            <w:shd w:val="clear" w:color="auto" w:fill="BDD7EE"/>
            <w:vAlign w:val="center"/>
            <w:hideMark/>
          </w:tcPr>
          <w:p w14:paraId="10997ED2" w14:textId="77777777" w:rsidR="00553430" w:rsidRDefault="00212577">
            <w:pPr>
              <w:pStyle w:val="P68B1DB1-Normal76"/>
              <w:spacing w:after="0" w:line="240" w:lineRule="auto"/>
              <w:jc w:val="center"/>
              <w:textAlignment w:val="baseline"/>
              <w:rPr>
                <w:noProof/>
              </w:rPr>
            </w:pPr>
            <w:r>
              <w:rPr>
                <w:b/>
                <w:noProof/>
              </w:rPr>
              <w:t>Numéro séquentiel</w:t>
            </w:r>
            <w:r>
              <w:rPr>
                <w:noProof/>
              </w:rPr>
              <w:t> </w:t>
            </w:r>
          </w:p>
        </w:tc>
        <w:tc>
          <w:tcPr>
            <w:tcW w:w="1639" w:type="dxa"/>
            <w:shd w:val="clear" w:color="auto" w:fill="BDD7EE"/>
            <w:vAlign w:val="center"/>
            <w:hideMark/>
          </w:tcPr>
          <w:p w14:paraId="6BA30A44" w14:textId="77777777" w:rsidR="00553430" w:rsidRDefault="00212577">
            <w:pPr>
              <w:pStyle w:val="P68B1DB1-Normal76"/>
              <w:spacing w:after="0" w:line="240" w:lineRule="auto"/>
              <w:jc w:val="center"/>
              <w:textAlignment w:val="baseline"/>
              <w:rPr>
                <w:noProof/>
              </w:rPr>
            </w:pPr>
            <w:r>
              <w:rPr>
                <w:b/>
                <w:noProof/>
              </w:rPr>
              <w:t xml:space="preserve">Mesure connexe (réforme ou </w:t>
            </w:r>
            <w:r>
              <w:rPr>
                <w:b/>
                <w:noProof/>
              </w:rPr>
              <w:t>investissement)</w:t>
            </w:r>
            <w:r>
              <w:rPr>
                <w:noProof/>
              </w:rPr>
              <w:t> </w:t>
            </w:r>
          </w:p>
        </w:tc>
        <w:tc>
          <w:tcPr>
            <w:tcW w:w="1274" w:type="dxa"/>
            <w:shd w:val="clear" w:color="auto" w:fill="BDD7EE"/>
            <w:vAlign w:val="center"/>
            <w:hideMark/>
          </w:tcPr>
          <w:p w14:paraId="68CDB395" w14:textId="77777777" w:rsidR="00553430" w:rsidRDefault="00212577">
            <w:pPr>
              <w:pStyle w:val="P68B1DB1-Normal76"/>
              <w:spacing w:after="0" w:line="240" w:lineRule="auto"/>
              <w:jc w:val="center"/>
              <w:textAlignment w:val="baseline"/>
              <w:rPr>
                <w:noProof/>
              </w:rPr>
            </w:pPr>
            <w:r>
              <w:rPr>
                <w:b/>
                <w:noProof/>
              </w:rPr>
              <w:t>Étape/cible</w:t>
            </w:r>
            <w:r>
              <w:rPr>
                <w:noProof/>
              </w:rPr>
              <w:t> </w:t>
            </w:r>
          </w:p>
        </w:tc>
        <w:tc>
          <w:tcPr>
            <w:tcW w:w="5347" w:type="dxa"/>
            <w:shd w:val="clear" w:color="auto" w:fill="BDD7EE"/>
            <w:vAlign w:val="center"/>
            <w:hideMark/>
          </w:tcPr>
          <w:p w14:paraId="366F5616" w14:textId="77777777" w:rsidR="00553430" w:rsidRDefault="00212577">
            <w:pPr>
              <w:pStyle w:val="P68B1DB1-Normal76"/>
              <w:spacing w:after="0" w:line="240" w:lineRule="auto"/>
              <w:jc w:val="center"/>
              <w:textAlignment w:val="baseline"/>
              <w:rPr>
                <w:noProof/>
              </w:rPr>
            </w:pPr>
            <w:r>
              <w:rPr>
                <w:b/>
                <w:noProof/>
              </w:rPr>
              <w:t>Nom</w:t>
            </w:r>
            <w:r>
              <w:rPr>
                <w:noProof/>
              </w:rPr>
              <w:t> </w:t>
            </w:r>
          </w:p>
        </w:tc>
      </w:tr>
      <w:tr w:rsidR="00553430" w14:paraId="5AF14C84" w14:textId="77777777">
        <w:trPr>
          <w:trHeight w:val="51"/>
        </w:trPr>
        <w:tc>
          <w:tcPr>
            <w:tcW w:w="1096" w:type="dxa"/>
            <w:shd w:val="clear" w:color="auto" w:fill="C6EFCE"/>
            <w:vAlign w:val="center"/>
            <w:hideMark/>
          </w:tcPr>
          <w:p w14:paraId="6FDB0F43" w14:textId="77777777" w:rsidR="00553430" w:rsidRDefault="00212577">
            <w:pPr>
              <w:pStyle w:val="P68B1DB1-Normal102"/>
              <w:spacing w:after="0" w:line="240" w:lineRule="auto"/>
              <w:jc w:val="center"/>
              <w:textAlignment w:val="baseline"/>
              <w:rPr>
                <w:rFonts w:eastAsia="Times New Roman"/>
                <w:noProof/>
              </w:rPr>
            </w:pPr>
            <w:r>
              <w:rPr>
                <w:noProof/>
              </w:rPr>
              <w:t>40</w:t>
            </w:r>
          </w:p>
        </w:tc>
        <w:tc>
          <w:tcPr>
            <w:tcW w:w="1639" w:type="dxa"/>
            <w:shd w:val="clear" w:color="auto" w:fill="C6EFCE"/>
            <w:vAlign w:val="center"/>
            <w:hideMark/>
          </w:tcPr>
          <w:p w14:paraId="41E57E11" w14:textId="77777777" w:rsidR="00553430" w:rsidRDefault="00212577">
            <w:pPr>
              <w:pStyle w:val="P68B1DB1-Normal102"/>
              <w:spacing w:after="0" w:line="240" w:lineRule="auto"/>
              <w:jc w:val="center"/>
              <w:textAlignment w:val="baseline"/>
              <w:rPr>
                <w:rFonts w:eastAsia="Times New Roman"/>
                <w:noProof/>
              </w:rPr>
            </w:pPr>
            <w:r>
              <w:rPr>
                <w:noProof/>
              </w:rPr>
              <w:t>C1.2. R1-I1</w:t>
            </w:r>
          </w:p>
        </w:tc>
        <w:tc>
          <w:tcPr>
            <w:tcW w:w="1274" w:type="dxa"/>
            <w:shd w:val="clear" w:color="auto" w:fill="C6EFCE"/>
            <w:vAlign w:val="center"/>
            <w:hideMark/>
          </w:tcPr>
          <w:p w14:paraId="1C222E6A" w14:textId="77777777" w:rsidR="00553430" w:rsidRDefault="00212577">
            <w:pPr>
              <w:pStyle w:val="P68B1DB1-Normal102"/>
              <w:spacing w:after="0" w:line="240" w:lineRule="auto"/>
              <w:jc w:val="center"/>
              <w:textAlignment w:val="baseline"/>
              <w:rPr>
                <w:rFonts w:eastAsia="Times New Roman"/>
                <w:noProof/>
              </w:rPr>
            </w:pPr>
            <w:r>
              <w:rPr>
                <w:noProof/>
              </w:rPr>
              <w:t>T</w:t>
            </w:r>
          </w:p>
        </w:tc>
        <w:tc>
          <w:tcPr>
            <w:tcW w:w="5347" w:type="dxa"/>
            <w:shd w:val="clear" w:color="auto" w:fill="C6EFCE"/>
            <w:vAlign w:val="center"/>
            <w:hideMark/>
          </w:tcPr>
          <w:p w14:paraId="665B62FC" w14:textId="77777777" w:rsidR="00553430" w:rsidRDefault="00212577">
            <w:pPr>
              <w:pStyle w:val="P68B1DB1-Normal102"/>
              <w:spacing w:after="0" w:line="240" w:lineRule="auto"/>
              <w:jc w:val="both"/>
              <w:textAlignment w:val="baseline"/>
              <w:rPr>
                <w:rFonts w:eastAsia="Times New Roman"/>
                <w:noProof/>
              </w:rPr>
            </w:pPr>
            <w:r>
              <w:rPr>
                <w:noProof/>
              </w:rPr>
              <w:t xml:space="preserve">Achèvement de la mise à niveau des câbles souterrains reliant 6 îles au réseau continental </w:t>
            </w:r>
          </w:p>
        </w:tc>
      </w:tr>
      <w:tr w:rsidR="00553430" w14:paraId="2A8F0D51" w14:textId="77777777">
        <w:trPr>
          <w:trHeight w:val="353"/>
        </w:trPr>
        <w:tc>
          <w:tcPr>
            <w:tcW w:w="1096" w:type="dxa"/>
            <w:shd w:val="clear" w:color="auto" w:fill="C6EFCE"/>
            <w:vAlign w:val="center"/>
          </w:tcPr>
          <w:p w14:paraId="76113E2A" w14:textId="77777777" w:rsidR="00553430" w:rsidRDefault="00212577">
            <w:pPr>
              <w:pStyle w:val="P68B1DB1-Normal102"/>
              <w:spacing w:after="0" w:line="240" w:lineRule="auto"/>
              <w:jc w:val="center"/>
              <w:textAlignment w:val="baseline"/>
              <w:rPr>
                <w:noProof/>
              </w:rPr>
            </w:pPr>
            <w:r>
              <w:rPr>
                <w:noProof/>
              </w:rPr>
              <w:t>77</w:t>
            </w:r>
          </w:p>
        </w:tc>
        <w:tc>
          <w:tcPr>
            <w:tcW w:w="1639" w:type="dxa"/>
            <w:shd w:val="clear" w:color="auto" w:fill="C6EFCE"/>
            <w:vAlign w:val="center"/>
          </w:tcPr>
          <w:p w14:paraId="0E8AC5C6" w14:textId="77777777" w:rsidR="00553430" w:rsidRDefault="00212577">
            <w:pPr>
              <w:pStyle w:val="P68B1DB1-Normal102"/>
              <w:spacing w:after="0" w:line="240" w:lineRule="auto"/>
              <w:jc w:val="center"/>
              <w:textAlignment w:val="baseline"/>
              <w:rPr>
                <w:noProof/>
              </w:rPr>
            </w:pPr>
            <w:r>
              <w:rPr>
                <w:noProof/>
              </w:rPr>
              <w:t>C1.3. R1- I3</w:t>
            </w:r>
          </w:p>
        </w:tc>
        <w:tc>
          <w:tcPr>
            <w:tcW w:w="1274" w:type="dxa"/>
            <w:shd w:val="clear" w:color="auto" w:fill="C6EFCE"/>
            <w:vAlign w:val="center"/>
          </w:tcPr>
          <w:p w14:paraId="7CD201C9"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F9B7974" w14:textId="77777777" w:rsidR="00553430" w:rsidRDefault="00212577">
            <w:pPr>
              <w:pStyle w:val="P68B1DB1-Normal102"/>
              <w:spacing w:after="0" w:line="240" w:lineRule="auto"/>
              <w:jc w:val="both"/>
              <w:textAlignment w:val="baseline"/>
              <w:rPr>
                <w:noProof/>
              </w:rPr>
            </w:pPr>
            <w:r>
              <w:rPr>
                <w:noProof/>
              </w:rPr>
              <w:t>Construction de structures de protection contre les inondations</w:t>
            </w:r>
          </w:p>
        </w:tc>
      </w:tr>
      <w:tr w:rsidR="00553430" w14:paraId="535A39E9" w14:textId="77777777">
        <w:trPr>
          <w:trHeight w:val="433"/>
        </w:trPr>
        <w:tc>
          <w:tcPr>
            <w:tcW w:w="1096" w:type="dxa"/>
            <w:shd w:val="clear" w:color="auto" w:fill="C6EFCE"/>
            <w:vAlign w:val="center"/>
            <w:hideMark/>
          </w:tcPr>
          <w:p w14:paraId="4CFE9C6A" w14:textId="77777777" w:rsidR="00553430" w:rsidRDefault="00212577">
            <w:pPr>
              <w:pStyle w:val="P68B1DB1-Normal102"/>
              <w:spacing w:after="0" w:line="240" w:lineRule="auto"/>
              <w:jc w:val="center"/>
              <w:textAlignment w:val="baseline"/>
              <w:rPr>
                <w:rFonts w:eastAsia="Times New Roman"/>
                <w:noProof/>
              </w:rPr>
            </w:pPr>
            <w:r>
              <w:rPr>
                <w:noProof/>
              </w:rPr>
              <w:t>120</w:t>
            </w:r>
          </w:p>
        </w:tc>
        <w:tc>
          <w:tcPr>
            <w:tcW w:w="1639" w:type="dxa"/>
            <w:shd w:val="clear" w:color="auto" w:fill="C6EFCE"/>
            <w:vAlign w:val="center"/>
            <w:hideMark/>
          </w:tcPr>
          <w:p w14:paraId="5EC36CFE" w14:textId="77777777" w:rsidR="00553430" w:rsidRDefault="00212577">
            <w:pPr>
              <w:pStyle w:val="P68B1DB1-Normal102"/>
              <w:spacing w:after="0" w:line="240" w:lineRule="auto"/>
              <w:jc w:val="center"/>
              <w:textAlignment w:val="baseline"/>
              <w:rPr>
                <w:rFonts w:eastAsia="Times New Roman"/>
                <w:noProof/>
              </w:rPr>
            </w:pPr>
            <w:r>
              <w:rPr>
                <w:noProof/>
              </w:rPr>
              <w:t>C1.4. R5-I2</w:t>
            </w:r>
          </w:p>
        </w:tc>
        <w:tc>
          <w:tcPr>
            <w:tcW w:w="1274" w:type="dxa"/>
            <w:shd w:val="clear" w:color="auto" w:fill="C6EFCE"/>
            <w:vAlign w:val="center"/>
            <w:hideMark/>
          </w:tcPr>
          <w:p w14:paraId="0A3927FD" w14:textId="77777777" w:rsidR="00553430" w:rsidRDefault="00212577">
            <w:pPr>
              <w:pStyle w:val="P68B1DB1-Normal102"/>
              <w:spacing w:after="0" w:line="240" w:lineRule="auto"/>
              <w:jc w:val="center"/>
              <w:textAlignment w:val="baseline"/>
              <w:rPr>
                <w:rFonts w:eastAsia="Times New Roman"/>
                <w:noProof/>
              </w:rPr>
            </w:pPr>
            <w:r>
              <w:rPr>
                <w:noProof/>
              </w:rPr>
              <w:t>M</w:t>
            </w:r>
          </w:p>
        </w:tc>
        <w:tc>
          <w:tcPr>
            <w:tcW w:w="5347" w:type="dxa"/>
            <w:shd w:val="clear" w:color="auto" w:fill="C6EFCE"/>
            <w:vAlign w:val="center"/>
            <w:hideMark/>
          </w:tcPr>
          <w:p w14:paraId="4DBFD4F9" w14:textId="77777777" w:rsidR="00553430" w:rsidRDefault="00212577">
            <w:pPr>
              <w:pStyle w:val="P68B1DB1-Normal102"/>
              <w:spacing w:after="0" w:line="240" w:lineRule="auto"/>
              <w:jc w:val="both"/>
              <w:textAlignment w:val="baseline"/>
              <w:rPr>
                <w:rFonts w:eastAsia="Times New Roman"/>
                <w:noProof/>
              </w:rPr>
            </w:pPr>
            <w:r>
              <w:rPr>
                <w:noProof/>
              </w:rPr>
              <w:t xml:space="preserve">Nouvelle </w:t>
            </w:r>
            <w:r>
              <w:rPr>
                <w:noProof/>
              </w:rPr>
              <w:t>législation sur la conduite autonome</w:t>
            </w:r>
          </w:p>
        </w:tc>
      </w:tr>
      <w:tr w:rsidR="00553430" w14:paraId="44FCDD79" w14:textId="77777777">
        <w:trPr>
          <w:trHeight w:val="433"/>
        </w:trPr>
        <w:tc>
          <w:tcPr>
            <w:tcW w:w="1096" w:type="dxa"/>
            <w:shd w:val="clear" w:color="auto" w:fill="C6EFCE"/>
            <w:vAlign w:val="center"/>
          </w:tcPr>
          <w:p w14:paraId="476C773C" w14:textId="77777777" w:rsidR="00553430" w:rsidRDefault="00212577">
            <w:pPr>
              <w:pStyle w:val="P68B1DB1-Normal102"/>
              <w:spacing w:after="0" w:line="240" w:lineRule="auto"/>
              <w:jc w:val="center"/>
              <w:textAlignment w:val="baseline"/>
              <w:rPr>
                <w:noProof/>
              </w:rPr>
            </w:pPr>
            <w:r>
              <w:rPr>
                <w:noProof/>
              </w:rPr>
              <w:t>167</w:t>
            </w:r>
          </w:p>
        </w:tc>
        <w:tc>
          <w:tcPr>
            <w:tcW w:w="1639" w:type="dxa"/>
            <w:shd w:val="clear" w:color="auto" w:fill="C6EFCE"/>
            <w:vAlign w:val="center"/>
          </w:tcPr>
          <w:p w14:paraId="27271F9A" w14:textId="77777777" w:rsidR="00553430" w:rsidRDefault="00212577">
            <w:pPr>
              <w:pStyle w:val="P68B1DB1-Normal102"/>
              <w:spacing w:after="0" w:line="240" w:lineRule="auto"/>
              <w:jc w:val="center"/>
              <w:textAlignment w:val="baseline"/>
              <w:rPr>
                <w:noProof/>
              </w:rPr>
            </w:pPr>
            <w:r>
              <w:rPr>
                <w:noProof/>
              </w:rPr>
              <w:t>C2.2. R2-I1</w:t>
            </w:r>
          </w:p>
        </w:tc>
        <w:tc>
          <w:tcPr>
            <w:tcW w:w="1274" w:type="dxa"/>
            <w:shd w:val="clear" w:color="auto" w:fill="C6EFCE"/>
            <w:vAlign w:val="center"/>
          </w:tcPr>
          <w:p w14:paraId="22F41284"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87714F1" w14:textId="77777777" w:rsidR="00553430" w:rsidRDefault="00212577">
            <w:pPr>
              <w:pStyle w:val="P68B1DB1-Normal102"/>
              <w:spacing w:after="0" w:line="240" w:lineRule="auto"/>
              <w:jc w:val="both"/>
              <w:textAlignment w:val="baseline"/>
              <w:rPr>
                <w:noProof/>
              </w:rPr>
            </w:pPr>
            <w:r>
              <w:rPr>
                <w:noProof/>
              </w:rPr>
              <w:t xml:space="preserve">Le système de gestion des ressources humaines, Registre du public </w:t>
            </w:r>
          </w:p>
          <w:p w14:paraId="5B6B23DC" w14:textId="77777777" w:rsidR="00553430" w:rsidRDefault="00212577">
            <w:pPr>
              <w:pStyle w:val="P68B1DB1-Normal102"/>
              <w:spacing w:after="0" w:line="240" w:lineRule="auto"/>
              <w:jc w:val="both"/>
              <w:textAlignment w:val="baseline"/>
              <w:rPr>
                <w:noProof/>
              </w:rPr>
            </w:pPr>
            <w:r>
              <w:rPr>
                <w:noProof/>
              </w:rPr>
              <w:t xml:space="preserve">Fonctionnaires et système salarial centralisé (RegZap – Cop), est </w:t>
            </w:r>
          </w:p>
          <w:p w14:paraId="384BA59C" w14:textId="77777777" w:rsidR="00553430" w:rsidRDefault="00212577">
            <w:pPr>
              <w:pStyle w:val="P68B1DB1-Normal102"/>
              <w:spacing w:after="0" w:line="240" w:lineRule="auto"/>
              <w:jc w:val="both"/>
              <w:textAlignment w:val="baseline"/>
              <w:rPr>
                <w:noProof/>
              </w:rPr>
            </w:pPr>
            <w:r>
              <w:rPr>
                <w:noProof/>
              </w:rPr>
              <w:t xml:space="preserve">complétée par neuf nouvelles fonctionnalités, numérisant toutes les fonctionnalités connexes </w:t>
            </w:r>
          </w:p>
          <w:p w14:paraId="491D20B9" w14:textId="77777777" w:rsidR="00553430" w:rsidRDefault="00212577">
            <w:pPr>
              <w:pStyle w:val="P68B1DB1-Normal102"/>
              <w:spacing w:after="0" w:line="240" w:lineRule="auto"/>
              <w:jc w:val="both"/>
              <w:textAlignment w:val="baseline"/>
              <w:rPr>
                <w:noProof/>
              </w:rPr>
            </w:pPr>
            <w:r>
              <w:rPr>
                <w:noProof/>
              </w:rPr>
              <w:t xml:space="preserve">des processus qui simplifient et accélèrent la modification de la </w:t>
            </w:r>
          </w:p>
          <w:p w14:paraId="7D7D24E2" w14:textId="77777777" w:rsidR="00553430" w:rsidRDefault="00212577">
            <w:pPr>
              <w:pStyle w:val="P68B1DB1-Normal102"/>
              <w:spacing w:after="0" w:line="240" w:lineRule="auto"/>
              <w:jc w:val="both"/>
              <w:textAlignment w:val="baseline"/>
              <w:rPr>
                <w:noProof/>
              </w:rPr>
            </w:pPr>
            <w:r>
              <w:rPr>
                <w:noProof/>
              </w:rPr>
              <w:t>système salarial</w:t>
            </w:r>
          </w:p>
        </w:tc>
      </w:tr>
      <w:tr w:rsidR="00553430" w14:paraId="6411BE98" w14:textId="77777777">
        <w:trPr>
          <w:trHeight w:val="433"/>
        </w:trPr>
        <w:tc>
          <w:tcPr>
            <w:tcW w:w="1096" w:type="dxa"/>
            <w:shd w:val="clear" w:color="auto" w:fill="C6EFCE"/>
            <w:vAlign w:val="center"/>
            <w:hideMark/>
          </w:tcPr>
          <w:p w14:paraId="33C95009" w14:textId="77777777" w:rsidR="00553430" w:rsidRDefault="00212577">
            <w:pPr>
              <w:pStyle w:val="P68B1DB1-Normal102"/>
              <w:spacing w:after="0" w:line="240" w:lineRule="auto"/>
              <w:jc w:val="center"/>
              <w:textAlignment w:val="baseline"/>
              <w:rPr>
                <w:noProof/>
              </w:rPr>
            </w:pPr>
            <w:r>
              <w:rPr>
                <w:noProof/>
              </w:rPr>
              <w:t>171</w:t>
            </w:r>
          </w:p>
        </w:tc>
        <w:tc>
          <w:tcPr>
            <w:tcW w:w="1639" w:type="dxa"/>
            <w:shd w:val="clear" w:color="auto" w:fill="C6EFCE"/>
            <w:vAlign w:val="center"/>
            <w:hideMark/>
          </w:tcPr>
          <w:p w14:paraId="4D104462" w14:textId="77777777" w:rsidR="00553430" w:rsidRDefault="00212577">
            <w:pPr>
              <w:pStyle w:val="P68B1DB1-Normal102"/>
              <w:spacing w:after="0" w:line="240" w:lineRule="auto"/>
              <w:jc w:val="center"/>
              <w:textAlignment w:val="baseline"/>
              <w:rPr>
                <w:noProof/>
              </w:rPr>
            </w:pPr>
            <w:r>
              <w:rPr>
                <w:noProof/>
              </w:rPr>
              <w:t>C2.2. R3</w:t>
            </w:r>
          </w:p>
        </w:tc>
        <w:tc>
          <w:tcPr>
            <w:tcW w:w="1274" w:type="dxa"/>
            <w:shd w:val="clear" w:color="auto" w:fill="C6EFCE"/>
            <w:vAlign w:val="center"/>
            <w:hideMark/>
          </w:tcPr>
          <w:p w14:paraId="041C38A6"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hideMark/>
          </w:tcPr>
          <w:p w14:paraId="49B5F200" w14:textId="77777777" w:rsidR="00553430" w:rsidRDefault="00212577">
            <w:pPr>
              <w:pStyle w:val="P68B1DB1-Normal102"/>
              <w:spacing w:after="0" w:line="240" w:lineRule="auto"/>
              <w:jc w:val="both"/>
              <w:textAlignment w:val="baseline"/>
              <w:rPr>
                <w:noProof/>
              </w:rPr>
            </w:pPr>
            <w:r>
              <w:rPr>
                <w:noProof/>
              </w:rPr>
              <w:t xml:space="preserve">Mise en place d'un système national d'information sur les </w:t>
            </w:r>
            <w:r>
              <w:rPr>
                <w:noProof/>
              </w:rPr>
              <w:t>archives</w:t>
            </w:r>
          </w:p>
        </w:tc>
      </w:tr>
      <w:tr w:rsidR="00553430" w14:paraId="74CBDB98" w14:textId="77777777">
        <w:trPr>
          <w:trHeight w:val="433"/>
        </w:trPr>
        <w:tc>
          <w:tcPr>
            <w:tcW w:w="1096" w:type="dxa"/>
            <w:shd w:val="clear" w:color="auto" w:fill="C6EFCE"/>
            <w:vAlign w:val="center"/>
            <w:hideMark/>
          </w:tcPr>
          <w:p w14:paraId="17C9A9D5" w14:textId="77777777" w:rsidR="00553430" w:rsidRDefault="00212577">
            <w:pPr>
              <w:pStyle w:val="P68B1DB1-Normal102"/>
              <w:spacing w:after="0" w:line="240" w:lineRule="auto"/>
              <w:jc w:val="center"/>
              <w:textAlignment w:val="baseline"/>
              <w:rPr>
                <w:noProof/>
              </w:rPr>
            </w:pPr>
            <w:r>
              <w:rPr>
                <w:noProof/>
              </w:rPr>
              <w:t>182</w:t>
            </w:r>
          </w:p>
        </w:tc>
        <w:tc>
          <w:tcPr>
            <w:tcW w:w="1639" w:type="dxa"/>
            <w:shd w:val="clear" w:color="auto" w:fill="C6EFCE"/>
            <w:vAlign w:val="center"/>
            <w:hideMark/>
          </w:tcPr>
          <w:p w14:paraId="2E851756" w14:textId="77777777" w:rsidR="00553430" w:rsidRDefault="00212577">
            <w:pPr>
              <w:pStyle w:val="P68B1DB1-Normal102"/>
              <w:spacing w:after="0" w:line="240" w:lineRule="auto"/>
              <w:jc w:val="center"/>
              <w:textAlignment w:val="baseline"/>
              <w:rPr>
                <w:noProof/>
              </w:rPr>
            </w:pPr>
            <w:r>
              <w:rPr>
                <w:noProof/>
              </w:rPr>
              <w:t>C2.3. R3-I2</w:t>
            </w:r>
          </w:p>
        </w:tc>
        <w:tc>
          <w:tcPr>
            <w:tcW w:w="1274" w:type="dxa"/>
            <w:shd w:val="clear" w:color="auto" w:fill="C6EFCE"/>
            <w:vAlign w:val="center"/>
            <w:hideMark/>
          </w:tcPr>
          <w:p w14:paraId="42DD189B"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hideMark/>
          </w:tcPr>
          <w:p w14:paraId="3705CE65" w14:textId="77777777" w:rsidR="00553430" w:rsidRDefault="00212577">
            <w:pPr>
              <w:pStyle w:val="P68B1DB1-Normal102"/>
              <w:spacing w:after="0" w:line="240" w:lineRule="auto"/>
              <w:jc w:val="both"/>
              <w:textAlignment w:val="baseline"/>
              <w:rPr>
                <w:noProof/>
              </w:rPr>
            </w:pPr>
            <w:r>
              <w:rPr>
                <w:noProof/>
              </w:rPr>
              <w:t>Campagne de prévention publique en matière de cybersécurité</w:t>
            </w:r>
          </w:p>
        </w:tc>
      </w:tr>
      <w:tr w:rsidR="00553430" w14:paraId="08BBACCC" w14:textId="77777777">
        <w:trPr>
          <w:trHeight w:val="433"/>
        </w:trPr>
        <w:tc>
          <w:tcPr>
            <w:tcW w:w="1096" w:type="dxa"/>
            <w:shd w:val="clear" w:color="auto" w:fill="C6EFCE"/>
            <w:vAlign w:val="center"/>
            <w:hideMark/>
          </w:tcPr>
          <w:p w14:paraId="4BB44D6E" w14:textId="77777777" w:rsidR="00553430" w:rsidRDefault="00212577">
            <w:pPr>
              <w:pStyle w:val="P68B1DB1-Normal102"/>
              <w:spacing w:after="0" w:line="240" w:lineRule="auto"/>
              <w:jc w:val="center"/>
              <w:textAlignment w:val="baseline"/>
              <w:rPr>
                <w:noProof/>
              </w:rPr>
            </w:pPr>
            <w:r>
              <w:rPr>
                <w:noProof/>
              </w:rPr>
              <w:t>184</w:t>
            </w:r>
          </w:p>
        </w:tc>
        <w:tc>
          <w:tcPr>
            <w:tcW w:w="1639" w:type="dxa"/>
            <w:shd w:val="clear" w:color="auto" w:fill="C6EFCE"/>
            <w:vAlign w:val="center"/>
            <w:hideMark/>
          </w:tcPr>
          <w:p w14:paraId="5F0B4E80" w14:textId="77777777" w:rsidR="00553430" w:rsidRDefault="00212577">
            <w:pPr>
              <w:pStyle w:val="P68B1DB1-Normal102"/>
              <w:spacing w:after="0" w:line="240" w:lineRule="auto"/>
              <w:jc w:val="center"/>
              <w:textAlignment w:val="baseline"/>
              <w:rPr>
                <w:noProof/>
              </w:rPr>
            </w:pPr>
            <w:r>
              <w:rPr>
                <w:noProof/>
              </w:rPr>
              <w:t>C2.3. R3-I4</w:t>
            </w:r>
          </w:p>
        </w:tc>
        <w:tc>
          <w:tcPr>
            <w:tcW w:w="1274" w:type="dxa"/>
            <w:shd w:val="clear" w:color="auto" w:fill="C6EFCE"/>
            <w:vAlign w:val="center"/>
            <w:hideMark/>
          </w:tcPr>
          <w:p w14:paraId="4FCF60A9"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hideMark/>
          </w:tcPr>
          <w:p w14:paraId="61BC1D44" w14:textId="77777777" w:rsidR="00553430" w:rsidRDefault="00212577">
            <w:pPr>
              <w:pStyle w:val="P68B1DB1-Normal102"/>
              <w:spacing w:after="0" w:line="240" w:lineRule="auto"/>
              <w:jc w:val="both"/>
              <w:textAlignment w:val="baseline"/>
              <w:rPr>
                <w:noProof/>
              </w:rPr>
            </w:pPr>
            <w:r>
              <w:rPr>
                <w:noProof/>
              </w:rPr>
              <w:t>Système informatique CEZIH</w:t>
            </w:r>
          </w:p>
        </w:tc>
      </w:tr>
      <w:tr w:rsidR="00553430" w14:paraId="1575B429" w14:textId="77777777">
        <w:trPr>
          <w:trHeight w:val="433"/>
        </w:trPr>
        <w:tc>
          <w:tcPr>
            <w:tcW w:w="1096" w:type="dxa"/>
            <w:shd w:val="clear" w:color="auto" w:fill="C6EFCE"/>
            <w:vAlign w:val="center"/>
            <w:hideMark/>
          </w:tcPr>
          <w:p w14:paraId="22E0C196" w14:textId="77777777" w:rsidR="00553430" w:rsidRDefault="00212577">
            <w:pPr>
              <w:pStyle w:val="P68B1DB1-Normal102"/>
              <w:spacing w:after="0" w:line="240" w:lineRule="auto"/>
              <w:jc w:val="center"/>
              <w:textAlignment w:val="baseline"/>
              <w:rPr>
                <w:noProof/>
              </w:rPr>
            </w:pPr>
            <w:r>
              <w:rPr>
                <w:noProof/>
              </w:rPr>
              <w:t>208</w:t>
            </w:r>
          </w:p>
        </w:tc>
        <w:tc>
          <w:tcPr>
            <w:tcW w:w="1639" w:type="dxa"/>
            <w:shd w:val="clear" w:color="auto" w:fill="C6EFCE"/>
            <w:vAlign w:val="center"/>
            <w:hideMark/>
          </w:tcPr>
          <w:p w14:paraId="236F692B" w14:textId="77777777" w:rsidR="00553430" w:rsidRDefault="00212577">
            <w:pPr>
              <w:pStyle w:val="P68B1DB1-Normal102"/>
              <w:spacing w:after="0" w:line="240" w:lineRule="auto"/>
              <w:jc w:val="center"/>
              <w:textAlignment w:val="baseline"/>
              <w:rPr>
                <w:noProof/>
              </w:rPr>
            </w:pPr>
            <w:r>
              <w:rPr>
                <w:noProof/>
              </w:rPr>
              <w:t>C2.4. R2</w:t>
            </w:r>
          </w:p>
        </w:tc>
        <w:tc>
          <w:tcPr>
            <w:tcW w:w="1274" w:type="dxa"/>
            <w:shd w:val="clear" w:color="auto" w:fill="C6EFCE"/>
            <w:vAlign w:val="center"/>
            <w:hideMark/>
          </w:tcPr>
          <w:p w14:paraId="042249A7"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hideMark/>
          </w:tcPr>
          <w:p w14:paraId="32703388" w14:textId="77777777" w:rsidR="00553430" w:rsidRDefault="00212577">
            <w:pPr>
              <w:pStyle w:val="P68B1DB1-Normal102"/>
              <w:spacing w:after="0" w:line="240" w:lineRule="auto"/>
              <w:jc w:val="both"/>
              <w:textAlignment w:val="baseline"/>
              <w:rPr>
                <w:noProof/>
              </w:rPr>
            </w:pPr>
            <w:r>
              <w:rPr>
                <w:noProof/>
              </w:rPr>
              <w:t>Nouveau cadre juridique sur les entreprises publiques, intégrant les recommandations de l'OCDE.</w:t>
            </w:r>
          </w:p>
        </w:tc>
      </w:tr>
      <w:tr w:rsidR="00553430" w14:paraId="10BFEAEC" w14:textId="77777777">
        <w:trPr>
          <w:trHeight w:val="433"/>
        </w:trPr>
        <w:tc>
          <w:tcPr>
            <w:tcW w:w="1096" w:type="dxa"/>
            <w:shd w:val="clear" w:color="auto" w:fill="C6EFCE"/>
            <w:vAlign w:val="center"/>
            <w:hideMark/>
          </w:tcPr>
          <w:p w14:paraId="5F8D54DF" w14:textId="77777777" w:rsidR="00553430" w:rsidRDefault="00212577">
            <w:pPr>
              <w:pStyle w:val="P68B1DB1-Normal102"/>
              <w:spacing w:after="0" w:line="240" w:lineRule="auto"/>
              <w:jc w:val="center"/>
              <w:textAlignment w:val="baseline"/>
              <w:rPr>
                <w:noProof/>
              </w:rPr>
            </w:pPr>
            <w:r>
              <w:rPr>
                <w:noProof/>
              </w:rPr>
              <w:t>228</w:t>
            </w:r>
          </w:p>
        </w:tc>
        <w:tc>
          <w:tcPr>
            <w:tcW w:w="1639" w:type="dxa"/>
            <w:shd w:val="clear" w:color="auto" w:fill="C6EFCE"/>
            <w:vAlign w:val="center"/>
            <w:hideMark/>
          </w:tcPr>
          <w:p w14:paraId="4BFDCFE5" w14:textId="77777777" w:rsidR="00553430" w:rsidRDefault="00212577">
            <w:pPr>
              <w:pStyle w:val="P68B1DB1-Normal102"/>
              <w:spacing w:after="0" w:line="240" w:lineRule="auto"/>
              <w:jc w:val="center"/>
              <w:textAlignment w:val="baseline"/>
              <w:rPr>
                <w:noProof/>
              </w:rPr>
            </w:pPr>
            <w:r>
              <w:rPr>
                <w:noProof/>
              </w:rPr>
              <w:t>C2.5.</w:t>
            </w:r>
            <w:r>
              <w:rPr>
                <w:noProof/>
              </w:rPr>
              <w:t xml:space="preserve"> R1-I5</w:t>
            </w:r>
          </w:p>
        </w:tc>
        <w:tc>
          <w:tcPr>
            <w:tcW w:w="1274" w:type="dxa"/>
            <w:shd w:val="clear" w:color="auto" w:fill="C6EFCE"/>
            <w:vAlign w:val="center"/>
            <w:hideMark/>
          </w:tcPr>
          <w:p w14:paraId="631D58B5"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hideMark/>
          </w:tcPr>
          <w:p w14:paraId="77E113C2" w14:textId="77777777" w:rsidR="00553430" w:rsidRDefault="00212577">
            <w:pPr>
              <w:pStyle w:val="P68B1DB1-Normal102"/>
              <w:spacing w:after="0" w:line="240" w:lineRule="auto"/>
              <w:jc w:val="both"/>
              <w:textAlignment w:val="baseline"/>
              <w:rPr>
                <w:noProof/>
              </w:rPr>
            </w:pPr>
            <w:r>
              <w:rPr>
                <w:noProof/>
              </w:rPr>
              <w:t>Bâtiments judiciaires récemment rénovés conformes au règlement technique sur l’utilisation rationnelle de l’énergie et la protection thermique dans les bâtiments</w:t>
            </w:r>
          </w:p>
        </w:tc>
      </w:tr>
      <w:tr w:rsidR="00553430" w14:paraId="13461543" w14:textId="77777777">
        <w:trPr>
          <w:trHeight w:val="433"/>
        </w:trPr>
        <w:tc>
          <w:tcPr>
            <w:tcW w:w="1096" w:type="dxa"/>
            <w:shd w:val="clear" w:color="auto" w:fill="C6EFCE"/>
            <w:vAlign w:val="center"/>
            <w:hideMark/>
          </w:tcPr>
          <w:p w14:paraId="2DA41383" w14:textId="77777777" w:rsidR="00553430" w:rsidRDefault="00212577">
            <w:pPr>
              <w:pStyle w:val="P68B1DB1-Normal102"/>
              <w:spacing w:after="0" w:line="240" w:lineRule="auto"/>
              <w:jc w:val="center"/>
              <w:textAlignment w:val="baseline"/>
              <w:rPr>
                <w:noProof/>
              </w:rPr>
            </w:pPr>
            <w:r>
              <w:rPr>
                <w:noProof/>
              </w:rPr>
              <w:t>235</w:t>
            </w:r>
          </w:p>
        </w:tc>
        <w:tc>
          <w:tcPr>
            <w:tcW w:w="1639" w:type="dxa"/>
            <w:shd w:val="clear" w:color="auto" w:fill="C6EFCE"/>
            <w:vAlign w:val="center"/>
            <w:hideMark/>
          </w:tcPr>
          <w:p w14:paraId="0A8D4FC6" w14:textId="77777777" w:rsidR="00553430" w:rsidRDefault="00212577">
            <w:pPr>
              <w:pStyle w:val="P68B1DB1-Normal102"/>
              <w:spacing w:after="0" w:line="240" w:lineRule="auto"/>
              <w:jc w:val="center"/>
              <w:textAlignment w:val="baseline"/>
              <w:rPr>
                <w:noProof/>
              </w:rPr>
            </w:pPr>
            <w:r>
              <w:rPr>
                <w:noProof/>
              </w:rPr>
              <w:t>C2.6. R1</w:t>
            </w:r>
          </w:p>
        </w:tc>
        <w:tc>
          <w:tcPr>
            <w:tcW w:w="1274" w:type="dxa"/>
            <w:shd w:val="clear" w:color="auto" w:fill="C6EFCE"/>
            <w:vAlign w:val="center"/>
            <w:hideMark/>
          </w:tcPr>
          <w:p w14:paraId="6A3A27D5"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hideMark/>
          </w:tcPr>
          <w:p w14:paraId="54170C77" w14:textId="77777777" w:rsidR="00553430" w:rsidRDefault="00212577">
            <w:pPr>
              <w:pStyle w:val="P68B1DB1-Normal102"/>
              <w:spacing w:after="0" w:line="240" w:lineRule="auto"/>
              <w:jc w:val="both"/>
              <w:textAlignment w:val="baseline"/>
              <w:rPr>
                <w:noProof/>
              </w:rPr>
            </w:pPr>
            <w:r>
              <w:rPr>
                <w:noProof/>
              </w:rPr>
              <w:t xml:space="preserve">Augmenter le budget du personnel des organes de lutte contre la </w:t>
            </w:r>
            <w:r>
              <w:rPr>
                <w:noProof/>
              </w:rPr>
              <w:t>corruption dans le système judiciaire.</w:t>
            </w:r>
          </w:p>
        </w:tc>
      </w:tr>
      <w:tr w:rsidR="00553430" w14:paraId="3757703E" w14:textId="77777777">
        <w:trPr>
          <w:trHeight w:val="433"/>
        </w:trPr>
        <w:tc>
          <w:tcPr>
            <w:tcW w:w="1096" w:type="dxa"/>
            <w:shd w:val="clear" w:color="auto" w:fill="C6EFCE"/>
            <w:vAlign w:val="center"/>
            <w:hideMark/>
          </w:tcPr>
          <w:p w14:paraId="02AA71A0" w14:textId="77777777" w:rsidR="00553430" w:rsidRDefault="00212577">
            <w:pPr>
              <w:pStyle w:val="P68B1DB1-Normal102"/>
              <w:spacing w:after="0" w:line="240" w:lineRule="auto"/>
              <w:jc w:val="center"/>
              <w:textAlignment w:val="baseline"/>
              <w:rPr>
                <w:noProof/>
              </w:rPr>
            </w:pPr>
            <w:r>
              <w:rPr>
                <w:noProof/>
              </w:rPr>
              <w:t>236</w:t>
            </w:r>
          </w:p>
        </w:tc>
        <w:tc>
          <w:tcPr>
            <w:tcW w:w="1639" w:type="dxa"/>
            <w:shd w:val="clear" w:color="auto" w:fill="C6EFCE"/>
            <w:vAlign w:val="center"/>
            <w:hideMark/>
          </w:tcPr>
          <w:p w14:paraId="5FD5C923" w14:textId="77777777" w:rsidR="00553430" w:rsidRDefault="00212577">
            <w:pPr>
              <w:pStyle w:val="P68B1DB1-Normal102"/>
              <w:spacing w:after="0" w:line="240" w:lineRule="auto"/>
              <w:jc w:val="center"/>
              <w:textAlignment w:val="baseline"/>
              <w:rPr>
                <w:noProof/>
              </w:rPr>
            </w:pPr>
            <w:r>
              <w:rPr>
                <w:noProof/>
              </w:rPr>
              <w:t>C2.6. R1</w:t>
            </w:r>
          </w:p>
        </w:tc>
        <w:tc>
          <w:tcPr>
            <w:tcW w:w="1274" w:type="dxa"/>
            <w:shd w:val="clear" w:color="auto" w:fill="C6EFCE"/>
            <w:vAlign w:val="center"/>
            <w:hideMark/>
          </w:tcPr>
          <w:p w14:paraId="27921E88"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hideMark/>
          </w:tcPr>
          <w:p w14:paraId="2BAA1795" w14:textId="77777777" w:rsidR="00553430" w:rsidRDefault="00212577">
            <w:pPr>
              <w:pStyle w:val="P68B1DB1-Normal102"/>
              <w:spacing w:after="0" w:line="240" w:lineRule="auto"/>
              <w:jc w:val="both"/>
              <w:textAlignment w:val="baseline"/>
              <w:rPr>
                <w:noProof/>
              </w:rPr>
            </w:pPr>
            <w:r>
              <w:rPr>
                <w:noProof/>
              </w:rPr>
              <w:t>Augmenter le budget consacré à l’acquisition d’outils et d’équipements informatiques par les autorités judiciaires pour enquêter sur les infractions de corruption et de criminalité organisée</w:t>
            </w:r>
          </w:p>
        </w:tc>
      </w:tr>
      <w:tr w:rsidR="00553430" w14:paraId="1EB9A37A" w14:textId="77777777">
        <w:trPr>
          <w:trHeight w:val="433"/>
        </w:trPr>
        <w:tc>
          <w:tcPr>
            <w:tcW w:w="1096" w:type="dxa"/>
            <w:shd w:val="clear" w:color="auto" w:fill="C6EFCE"/>
            <w:vAlign w:val="center"/>
            <w:hideMark/>
          </w:tcPr>
          <w:p w14:paraId="3079CE72" w14:textId="77777777" w:rsidR="00553430" w:rsidRDefault="00212577">
            <w:pPr>
              <w:pStyle w:val="P68B1DB1-Normal102"/>
              <w:spacing w:after="0" w:line="240" w:lineRule="auto"/>
              <w:jc w:val="center"/>
              <w:textAlignment w:val="baseline"/>
              <w:rPr>
                <w:noProof/>
              </w:rPr>
            </w:pPr>
            <w:r>
              <w:rPr>
                <w:noProof/>
              </w:rPr>
              <w:t>241</w:t>
            </w:r>
          </w:p>
        </w:tc>
        <w:tc>
          <w:tcPr>
            <w:tcW w:w="1639" w:type="dxa"/>
            <w:shd w:val="clear" w:color="auto" w:fill="C6EFCE"/>
            <w:vAlign w:val="center"/>
            <w:hideMark/>
          </w:tcPr>
          <w:p w14:paraId="4BF1AFAC" w14:textId="77777777" w:rsidR="00553430" w:rsidRDefault="00212577">
            <w:pPr>
              <w:pStyle w:val="P68B1DB1-Normal102"/>
              <w:spacing w:after="0" w:line="240" w:lineRule="auto"/>
              <w:jc w:val="center"/>
              <w:textAlignment w:val="baseline"/>
              <w:rPr>
                <w:noProof/>
              </w:rPr>
            </w:pPr>
            <w:r>
              <w:rPr>
                <w:noProof/>
              </w:rPr>
              <w:t>C2.6.</w:t>
            </w:r>
            <w:r>
              <w:rPr>
                <w:noProof/>
              </w:rPr>
              <w:t xml:space="preserve"> R1-I3</w:t>
            </w:r>
          </w:p>
        </w:tc>
        <w:tc>
          <w:tcPr>
            <w:tcW w:w="1274" w:type="dxa"/>
            <w:shd w:val="clear" w:color="auto" w:fill="C6EFCE"/>
            <w:vAlign w:val="center"/>
            <w:hideMark/>
          </w:tcPr>
          <w:p w14:paraId="11ED4589"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hideMark/>
          </w:tcPr>
          <w:p w14:paraId="56914966" w14:textId="77777777" w:rsidR="00553430" w:rsidRDefault="00212577">
            <w:pPr>
              <w:pStyle w:val="P68B1DB1-Normal102"/>
              <w:spacing w:after="0" w:line="240" w:lineRule="auto"/>
              <w:jc w:val="both"/>
              <w:textAlignment w:val="baseline"/>
              <w:rPr>
                <w:noProof/>
              </w:rPr>
            </w:pPr>
            <w:r>
              <w:rPr>
                <w:noProof/>
              </w:rPr>
              <w:t>Amélioration des systèmes d’information sur les déclarations de patrimoine pour les fonctionnaires de l’État et les magistrats</w:t>
            </w:r>
          </w:p>
        </w:tc>
      </w:tr>
      <w:tr w:rsidR="00553430" w14:paraId="399D2487" w14:textId="77777777">
        <w:trPr>
          <w:trHeight w:val="433"/>
        </w:trPr>
        <w:tc>
          <w:tcPr>
            <w:tcW w:w="1096" w:type="dxa"/>
            <w:shd w:val="clear" w:color="auto" w:fill="C6EFCE"/>
            <w:vAlign w:val="center"/>
            <w:hideMark/>
          </w:tcPr>
          <w:p w14:paraId="52C1357E" w14:textId="77777777" w:rsidR="00553430" w:rsidRDefault="00212577">
            <w:pPr>
              <w:pStyle w:val="P68B1DB1-Normal102"/>
              <w:spacing w:after="0" w:line="240" w:lineRule="auto"/>
              <w:jc w:val="center"/>
              <w:textAlignment w:val="baseline"/>
              <w:rPr>
                <w:noProof/>
              </w:rPr>
            </w:pPr>
            <w:r>
              <w:rPr>
                <w:noProof/>
              </w:rPr>
              <w:t>244</w:t>
            </w:r>
          </w:p>
        </w:tc>
        <w:tc>
          <w:tcPr>
            <w:tcW w:w="1639" w:type="dxa"/>
            <w:shd w:val="clear" w:color="auto" w:fill="C6EFCE"/>
            <w:vAlign w:val="center"/>
            <w:hideMark/>
          </w:tcPr>
          <w:p w14:paraId="592E0920" w14:textId="77777777" w:rsidR="00553430" w:rsidRDefault="00212577">
            <w:pPr>
              <w:pStyle w:val="P68B1DB1-Normal102"/>
              <w:spacing w:after="0" w:line="240" w:lineRule="auto"/>
              <w:jc w:val="center"/>
              <w:textAlignment w:val="baseline"/>
              <w:rPr>
                <w:noProof/>
              </w:rPr>
            </w:pPr>
            <w:r>
              <w:rPr>
                <w:noProof/>
              </w:rPr>
              <w:t>C2.6. R3</w:t>
            </w:r>
          </w:p>
        </w:tc>
        <w:tc>
          <w:tcPr>
            <w:tcW w:w="1274" w:type="dxa"/>
            <w:shd w:val="clear" w:color="auto" w:fill="C6EFCE"/>
            <w:vAlign w:val="center"/>
            <w:hideMark/>
          </w:tcPr>
          <w:p w14:paraId="5620EF1C"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hideMark/>
          </w:tcPr>
          <w:p w14:paraId="4881E0E2" w14:textId="77777777" w:rsidR="00553430" w:rsidRDefault="00212577">
            <w:pPr>
              <w:pStyle w:val="P68B1DB1-Normal102"/>
              <w:spacing w:after="0" w:line="240" w:lineRule="auto"/>
              <w:jc w:val="both"/>
              <w:textAlignment w:val="baseline"/>
              <w:rPr>
                <w:noProof/>
              </w:rPr>
            </w:pPr>
            <w:r>
              <w:rPr>
                <w:noProof/>
              </w:rPr>
              <w:t xml:space="preserve">Application des recommandations de l'OCDE en matière de gouvernance d'entreprise sur la participation </w:t>
            </w:r>
            <w:r>
              <w:rPr>
                <w:noProof/>
              </w:rPr>
              <w:t>majoritaire des collectivités locales et régionales</w:t>
            </w:r>
          </w:p>
        </w:tc>
      </w:tr>
      <w:tr w:rsidR="00553430" w14:paraId="0B4A0367" w14:textId="77777777">
        <w:trPr>
          <w:trHeight w:val="433"/>
        </w:trPr>
        <w:tc>
          <w:tcPr>
            <w:tcW w:w="1096" w:type="dxa"/>
            <w:shd w:val="clear" w:color="auto" w:fill="C6EFCE"/>
            <w:vAlign w:val="center"/>
            <w:hideMark/>
          </w:tcPr>
          <w:p w14:paraId="5C8F347F" w14:textId="77777777" w:rsidR="00553430" w:rsidRDefault="00212577">
            <w:pPr>
              <w:pStyle w:val="P68B1DB1-Normal102"/>
              <w:spacing w:after="0" w:line="240" w:lineRule="auto"/>
              <w:jc w:val="center"/>
              <w:textAlignment w:val="baseline"/>
              <w:rPr>
                <w:noProof/>
              </w:rPr>
            </w:pPr>
            <w:r>
              <w:rPr>
                <w:noProof/>
              </w:rPr>
              <w:t>246</w:t>
            </w:r>
          </w:p>
        </w:tc>
        <w:tc>
          <w:tcPr>
            <w:tcW w:w="1639" w:type="dxa"/>
            <w:shd w:val="clear" w:color="auto" w:fill="C6EFCE"/>
            <w:vAlign w:val="center"/>
            <w:hideMark/>
          </w:tcPr>
          <w:p w14:paraId="7CDDC3B9" w14:textId="77777777" w:rsidR="00553430" w:rsidRDefault="00212577">
            <w:pPr>
              <w:pStyle w:val="P68B1DB1-Normal102"/>
              <w:spacing w:after="0" w:line="240" w:lineRule="auto"/>
              <w:jc w:val="center"/>
              <w:textAlignment w:val="baseline"/>
              <w:rPr>
                <w:noProof/>
              </w:rPr>
            </w:pPr>
            <w:r>
              <w:rPr>
                <w:noProof/>
              </w:rPr>
              <w:t>C2.6. R4</w:t>
            </w:r>
          </w:p>
        </w:tc>
        <w:tc>
          <w:tcPr>
            <w:tcW w:w="1274" w:type="dxa"/>
            <w:shd w:val="clear" w:color="auto" w:fill="C6EFCE"/>
            <w:vAlign w:val="center"/>
            <w:hideMark/>
          </w:tcPr>
          <w:p w14:paraId="62AA9D5F"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hideMark/>
          </w:tcPr>
          <w:p w14:paraId="46642771" w14:textId="77777777" w:rsidR="00553430" w:rsidRDefault="00212577">
            <w:pPr>
              <w:pStyle w:val="P68B1DB1-Normal102"/>
              <w:spacing w:after="0" w:line="240" w:lineRule="auto"/>
              <w:jc w:val="both"/>
              <w:textAlignment w:val="baseline"/>
              <w:rPr>
                <w:noProof/>
              </w:rPr>
            </w:pPr>
            <w:r>
              <w:rPr>
                <w:noProof/>
              </w:rPr>
              <w:t>Formation des juges à la gestion des risques de corruption dans les marchés publics et à la protection judiciaire dans les procédures de passation de marchés publics</w:t>
            </w:r>
          </w:p>
        </w:tc>
      </w:tr>
      <w:tr w:rsidR="00553430" w14:paraId="539648B7" w14:textId="77777777">
        <w:trPr>
          <w:trHeight w:val="433"/>
        </w:trPr>
        <w:tc>
          <w:tcPr>
            <w:tcW w:w="1096" w:type="dxa"/>
            <w:shd w:val="clear" w:color="auto" w:fill="C6EFCE"/>
            <w:vAlign w:val="center"/>
            <w:hideMark/>
          </w:tcPr>
          <w:p w14:paraId="317148BB" w14:textId="77777777" w:rsidR="00553430" w:rsidRDefault="00212577">
            <w:pPr>
              <w:pStyle w:val="P68B1DB1-Normal102"/>
              <w:spacing w:after="0" w:line="240" w:lineRule="auto"/>
              <w:jc w:val="center"/>
              <w:textAlignment w:val="baseline"/>
              <w:rPr>
                <w:noProof/>
              </w:rPr>
            </w:pPr>
            <w:r>
              <w:rPr>
                <w:noProof/>
              </w:rPr>
              <w:t>263</w:t>
            </w:r>
          </w:p>
        </w:tc>
        <w:tc>
          <w:tcPr>
            <w:tcW w:w="1639" w:type="dxa"/>
            <w:shd w:val="clear" w:color="auto" w:fill="C6EFCE"/>
            <w:vAlign w:val="center"/>
            <w:hideMark/>
          </w:tcPr>
          <w:p w14:paraId="61FFFE41" w14:textId="77777777" w:rsidR="00553430" w:rsidRDefault="00212577">
            <w:pPr>
              <w:pStyle w:val="P68B1DB1-Normal102"/>
              <w:spacing w:after="0" w:line="240" w:lineRule="auto"/>
              <w:jc w:val="center"/>
              <w:textAlignment w:val="baseline"/>
              <w:rPr>
                <w:noProof/>
              </w:rPr>
            </w:pPr>
            <w:r>
              <w:rPr>
                <w:noProof/>
              </w:rPr>
              <w:t>C2.9. R3</w:t>
            </w:r>
          </w:p>
        </w:tc>
        <w:tc>
          <w:tcPr>
            <w:tcW w:w="1274" w:type="dxa"/>
            <w:shd w:val="clear" w:color="auto" w:fill="C6EFCE"/>
            <w:vAlign w:val="center"/>
            <w:hideMark/>
          </w:tcPr>
          <w:p w14:paraId="34C9F907"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hideMark/>
          </w:tcPr>
          <w:p w14:paraId="43634D38" w14:textId="77777777" w:rsidR="00553430" w:rsidRDefault="00212577">
            <w:pPr>
              <w:pStyle w:val="P68B1DB1-Normal102"/>
              <w:spacing w:after="0" w:line="240" w:lineRule="auto"/>
              <w:jc w:val="both"/>
              <w:textAlignment w:val="baseline"/>
              <w:rPr>
                <w:noProof/>
              </w:rPr>
            </w:pPr>
            <w:r>
              <w:rPr>
                <w:noProof/>
              </w:rPr>
              <w:t>Programmes et activités visant à concevoir et à gérer des marchés publics innovants</w:t>
            </w:r>
          </w:p>
        </w:tc>
      </w:tr>
      <w:tr w:rsidR="00553430" w14:paraId="2E5EB7A0" w14:textId="77777777">
        <w:trPr>
          <w:trHeight w:val="433"/>
        </w:trPr>
        <w:tc>
          <w:tcPr>
            <w:tcW w:w="1096" w:type="dxa"/>
            <w:shd w:val="clear" w:color="auto" w:fill="C6EFCE"/>
            <w:vAlign w:val="center"/>
            <w:hideMark/>
          </w:tcPr>
          <w:p w14:paraId="4770797C" w14:textId="77777777" w:rsidR="00553430" w:rsidRDefault="00212577">
            <w:pPr>
              <w:pStyle w:val="P68B1DB1-Normal102"/>
              <w:spacing w:after="0" w:line="240" w:lineRule="auto"/>
              <w:jc w:val="center"/>
              <w:textAlignment w:val="baseline"/>
              <w:rPr>
                <w:noProof/>
              </w:rPr>
            </w:pPr>
            <w:r>
              <w:rPr>
                <w:noProof/>
              </w:rPr>
              <w:t>326</w:t>
            </w:r>
          </w:p>
        </w:tc>
        <w:tc>
          <w:tcPr>
            <w:tcW w:w="1639" w:type="dxa"/>
            <w:shd w:val="clear" w:color="auto" w:fill="C6EFCE"/>
            <w:vAlign w:val="center"/>
            <w:hideMark/>
          </w:tcPr>
          <w:p w14:paraId="40F15E31" w14:textId="77777777" w:rsidR="00553430" w:rsidRDefault="00212577">
            <w:pPr>
              <w:pStyle w:val="P68B1DB1-Normal102"/>
              <w:spacing w:after="0" w:line="240" w:lineRule="auto"/>
              <w:jc w:val="center"/>
              <w:textAlignment w:val="baseline"/>
              <w:rPr>
                <w:noProof/>
              </w:rPr>
            </w:pPr>
            <w:r>
              <w:rPr>
                <w:noProof/>
              </w:rPr>
              <w:t>C5.1. R1-I7</w:t>
            </w:r>
          </w:p>
        </w:tc>
        <w:tc>
          <w:tcPr>
            <w:tcW w:w="1274" w:type="dxa"/>
            <w:shd w:val="clear" w:color="auto" w:fill="C6EFCE"/>
            <w:vAlign w:val="center"/>
            <w:hideMark/>
          </w:tcPr>
          <w:p w14:paraId="06B756F8"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hideMark/>
          </w:tcPr>
          <w:p w14:paraId="4290216A" w14:textId="77777777" w:rsidR="00553430" w:rsidRDefault="00212577">
            <w:pPr>
              <w:pStyle w:val="P68B1DB1-Normal102"/>
              <w:spacing w:after="0" w:line="240" w:lineRule="auto"/>
              <w:jc w:val="both"/>
              <w:textAlignment w:val="baseline"/>
              <w:rPr>
                <w:noProof/>
              </w:rPr>
            </w:pPr>
            <w:r>
              <w:rPr>
                <w:noProof/>
              </w:rPr>
              <w:t>Nouvelles installations au Centre Hospitalier Clinique (KBC) Sestre Milosrdnice</w:t>
            </w:r>
          </w:p>
        </w:tc>
      </w:tr>
      <w:tr w:rsidR="00553430" w14:paraId="70EB5DD8" w14:textId="77777777">
        <w:trPr>
          <w:trHeight w:val="433"/>
        </w:trPr>
        <w:tc>
          <w:tcPr>
            <w:tcW w:w="1096" w:type="dxa"/>
            <w:shd w:val="clear" w:color="auto" w:fill="C6EFCE"/>
            <w:vAlign w:val="center"/>
            <w:hideMark/>
          </w:tcPr>
          <w:p w14:paraId="02B73FFC" w14:textId="77777777" w:rsidR="00553430" w:rsidRDefault="00212577">
            <w:pPr>
              <w:pStyle w:val="P68B1DB1-Normal102"/>
              <w:spacing w:after="0" w:line="240" w:lineRule="auto"/>
              <w:jc w:val="center"/>
              <w:textAlignment w:val="baseline"/>
              <w:rPr>
                <w:noProof/>
              </w:rPr>
            </w:pPr>
            <w:r>
              <w:rPr>
                <w:noProof/>
              </w:rPr>
              <w:t>347</w:t>
            </w:r>
          </w:p>
        </w:tc>
        <w:tc>
          <w:tcPr>
            <w:tcW w:w="1639" w:type="dxa"/>
            <w:shd w:val="clear" w:color="auto" w:fill="C6EFCE"/>
            <w:vAlign w:val="center"/>
            <w:hideMark/>
          </w:tcPr>
          <w:p w14:paraId="4B1E4544" w14:textId="77777777" w:rsidR="00553430" w:rsidRDefault="00212577">
            <w:pPr>
              <w:pStyle w:val="P68B1DB1-Normal102"/>
              <w:spacing w:after="0" w:line="240" w:lineRule="auto"/>
              <w:jc w:val="center"/>
              <w:textAlignment w:val="baseline"/>
              <w:rPr>
                <w:noProof/>
              </w:rPr>
            </w:pPr>
            <w:r>
              <w:rPr>
                <w:noProof/>
              </w:rPr>
              <w:t>C5.1. R5-I1</w:t>
            </w:r>
          </w:p>
        </w:tc>
        <w:tc>
          <w:tcPr>
            <w:tcW w:w="1274" w:type="dxa"/>
            <w:shd w:val="clear" w:color="auto" w:fill="C6EFCE"/>
            <w:vAlign w:val="center"/>
            <w:hideMark/>
          </w:tcPr>
          <w:p w14:paraId="63542DAD"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hideMark/>
          </w:tcPr>
          <w:p w14:paraId="2F692CE0" w14:textId="77777777" w:rsidR="00553430" w:rsidRDefault="00212577">
            <w:pPr>
              <w:pStyle w:val="P68B1DB1-Normal102"/>
              <w:spacing w:after="0" w:line="240" w:lineRule="auto"/>
              <w:jc w:val="both"/>
              <w:textAlignment w:val="baseline"/>
              <w:rPr>
                <w:noProof/>
              </w:rPr>
            </w:pPr>
            <w:r>
              <w:rPr>
                <w:noProof/>
              </w:rPr>
              <w:t xml:space="preserve">Installation et fonctionnement de salles d'opération </w:t>
            </w:r>
            <w:r>
              <w:rPr>
                <w:noProof/>
              </w:rPr>
              <w:t>intégrées numérisées (Firule et Križine) et d'un système robotique sur le site de Firule</w:t>
            </w:r>
          </w:p>
        </w:tc>
      </w:tr>
      <w:tr w:rsidR="00553430" w14:paraId="0ED68BE6" w14:textId="77777777">
        <w:trPr>
          <w:trHeight w:val="433"/>
        </w:trPr>
        <w:tc>
          <w:tcPr>
            <w:tcW w:w="1096" w:type="dxa"/>
            <w:shd w:val="clear" w:color="auto" w:fill="C6EFCE"/>
            <w:vAlign w:val="center"/>
            <w:hideMark/>
          </w:tcPr>
          <w:p w14:paraId="107C2AD2" w14:textId="77777777" w:rsidR="00553430" w:rsidRDefault="00212577">
            <w:pPr>
              <w:pStyle w:val="P68B1DB1-Normal102"/>
              <w:spacing w:after="0" w:line="240" w:lineRule="auto"/>
              <w:jc w:val="center"/>
              <w:textAlignment w:val="baseline"/>
              <w:rPr>
                <w:noProof/>
              </w:rPr>
            </w:pPr>
            <w:r>
              <w:rPr>
                <w:noProof/>
              </w:rPr>
              <w:t>350</w:t>
            </w:r>
          </w:p>
        </w:tc>
        <w:tc>
          <w:tcPr>
            <w:tcW w:w="1639" w:type="dxa"/>
            <w:shd w:val="clear" w:color="auto" w:fill="C6EFCE"/>
            <w:vAlign w:val="center"/>
            <w:hideMark/>
          </w:tcPr>
          <w:p w14:paraId="06837DCE" w14:textId="77777777" w:rsidR="00553430" w:rsidRDefault="00212577">
            <w:pPr>
              <w:pStyle w:val="P68B1DB1-Normal102"/>
              <w:spacing w:after="0" w:line="240" w:lineRule="auto"/>
              <w:jc w:val="center"/>
              <w:textAlignment w:val="baseline"/>
              <w:rPr>
                <w:noProof/>
              </w:rPr>
            </w:pPr>
            <w:r>
              <w:rPr>
                <w:noProof/>
              </w:rPr>
              <w:t>C5.1. R5-I4</w:t>
            </w:r>
          </w:p>
        </w:tc>
        <w:tc>
          <w:tcPr>
            <w:tcW w:w="1274" w:type="dxa"/>
            <w:shd w:val="clear" w:color="auto" w:fill="C6EFCE"/>
            <w:vAlign w:val="center"/>
            <w:hideMark/>
          </w:tcPr>
          <w:p w14:paraId="7D7DEE32"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hideMark/>
          </w:tcPr>
          <w:p w14:paraId="6327F45D" w14:textId="77777777" w:rsidR="00553430" w:rsidRDefault="00212577">
            <w:pPr>
              <w:pStyle w:val="P68B1DB1-Normal102"/>
              <w:spacing w:after="0" w:line="240" w:lineRule="auto"/>
              <w:jc w:val="both"/>
              <w:textAlignment w:val="baseline"/>
              <w:rPr>
                <w:noProof/>
              </w:rPr>
            </w:pPr>
            <w:r>
              <w:rPr>
                <w:noProof/>
              </w:rPr>
              <w:t>Salles d'opération Centre hospitalier clinique (KBC) Sestre milosrdnice équipé de chirurgie robotique</w:t>
            </w:r>
          </w:p>
        </w:tc>
      </w:tr>
      <w:tr w:rsidR="00553430" w14:paraId="76828854" w14:textId="77777777">
        <w:trPr>
          <w:trHeight w:val="433"/>
        </w:trPr>
        <w:tc>
          <w:tcPr>
            <w:tcW w:w="1096" w:type="dxa"/>
            <w:shd w:val="clear" w:color="auto" w:fill="C6EFCE"/>
            <w:vAlign w:val="center"/>
            <w:hideMark/>
          </w:tcPr>
          <w:p w14:paraId="57C1B08C" w14:textId="77777777" w:rsidR="00553430" w:rsidRDefault="00212577">
            <w:pPr>
              <w:pStyle w:val="P68B1DB1-Normal102"/>
              <w:spacing w:after="0" w:line="240" w:lineRule="auto"/>
              <w:jc w:val="center"/>
              <w:textAlignment w:val="baseline"/>
              <w:rPr>
                <w:noProof/>
              </w:rPr>
            </w:pPr>
            <w:r>
              <w:rPr>
                <w:noProof/>
              </w:rPr>
              <w:t>407</w:t>
            </w:r>
          </w:p>
        </w:tc>
        <w:tc>
          <w:tcPr>
            <w:tcW w:w="1639" w:type="dxa"/>
            <w:shd w:val="clear" w:color="auto" w:fill="C6EFCE"/>
            <w:vAlign w:val="center"/>
            <w:hideMark/>
          </w:tcPr>
          <w:p w14:paraId="3C9EDB54" w14:textId="77777777" w:rsidR="00553430" w:rsidRDefault="00212577">
            <w:pPr>
              <w:pStyle w:val="P68B1DB1-Normal102"/>
              <w:spacing w:after="0" w:line="240" w:lineRule="auto"/>
              <w:jc w:val="center"/>
              <w:textAlignment w:val="baseline"/>
              <w:rPr>
                <w:noProof/>
              </w:rPr>
            </w:pPr>
            <w:r>
              <w:rPr>
                <w:noProof/>
              </w:rPr>
              <w:t>C7.1 R1-I2</w:t>
            </w:r>
          </w:p>
        </w:tc>
        <w:tc>
          <w:tcPr>
            <w:tcW w:w="1274" w:type="dxa"/>
            <w:shd w:val="clear" w:color="auto" w:fill="C6EFCE"/>
            <w:vAlign w:val="center"/>
            <w:hideMark/>
          </w:tcPr>
          <w:p w14:paraId="3550F1A5"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hideMark/>
          </w:tcPr>
          <w:p w14:paraId="7D530F65" w14:textId="77777777" w:rsidR="00553430" w:rsidRDefault="00212577">
            <w:pPr>
              <w:pStyle w:val="P68B1DB1-Normal102"/>
              <w:spacing w:after="0" w:line="240" w:lineRule="auto"/>
              <w:jc w:val="both"/>
              <w:textAlignment w:val="baseline"/>
              <w:rPr>
                <w:noProof/>
              </w:rPr>
            </w:pPr>
            <w:r>
              <w:rPr>
                <w:noProof/>
              </w:rPr>
              <w:t>Organisme de coordination de</w:t>
            </w:r>
            <w:r>
              <w:rPr>
                <w:noProof/>
              </w:rPr>
              <w:t xml:space="preserve"> l'hydrogène</w:t>
            </w:r>
          </w:p>
        </w:tc>
      </w:tr>
      <w:tr w:rsidR="00553430" w14:paraId="613B96F5" w14:textId="77777777">
        <w:trPr>
          <w:trHeight w:val="433"/>
        </w:trPr>
        <w:tc>
          <w:tcPr>
            <w:tcW w:w="1096" w:type="dxa"/>
            <w:shd w:val="clear" w:color="auto" w:fill="C6EFCE"/>
            <w:vAlign w:val="center"/>
            <w:hideMark/>
          </w:tcPr>
          <w:p w14:paraId="08B4FB6D" w14:textId="77777777" w:rsidR="00553430" w:rsidRDefault="00212577">
            <w:pPr>
              <w:pStyle w:val="P68B1DB1-Normal102"/>
              <w:spacing w:after="0" w:line="240" w:lineRule="auto"/>
              <w:jc w:val="center"/>
              <w:textAlignment w:val="baseline"/>
              <w:rPr>
                <w:noProof/>
              </w:rPr>
            </w:pPr>
            <w:r>
              <w:rPr>
                <w:noProof/>
              </w:rPr>
              <w:t>412</w:t>
            </w:r>
          </w:p>
        </w:tc>
        <w:tc>
          <w:tcPr>
            <w:tcW w:w="1639" w:type="dxa"/>
            <w:shd w:val="clear" w:color="auto" w:fill="C6EFCE"/>
            <w:vAlign w:val="center"/>
            <w:hideMark/>
          </w:tcPr>
          <w:p w14:paraId="221E3048" w14:textId="77777777" w:rsidR="00553430" w:rsidRDefault="00212577">
            <w:pPr>
              <w:pStyle w:val="P68B1DB1-Normal102"/>
              <w:spacing w:after="0" w:line="240" w:lineRule="auto"/>
              <w:jc w:val="center"/>
              <w:textAlignment w:val="baseline"/>
              <w:rPr>
                <w:noProof/>
              </w:rPr>
            </w:pPr>
            <w:r>
              <w:rPr>
                <w:noProof/>
              </w:rPr>
              <w:t>C7.1 R1-I3</w:t>
            </w:r>
          </w:p>
        </w:tc>
        <w:tc>
          <w:tcPr>
            <w:tcW w:w="1274" w:type="dxa"/>
            <w:shd w:val="clear" w:color="auto" w:fill="C6EFCE"/>
            <w:vAlign w:val="center"/>
            <w:hideMark/>
          </w:tcPr>
          <w:p w14:paraId="7B2F1005"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hideMark/>
          </w:tcPr>
          <w:p w14:paraId="57869629" w14:textId="77777777" w:rsidR="00553430" w:rsidRDefault="00212577">
            <w:pPr>
              <w:pStyle w:val="P68B1DB1-Normal102"/>
              <w:spacing w:after="0" w:line="240" w:lineRule="auto"/>
              <w:jc w:val="both"/>
              <w:textAlignment w:val="baseline"/>
              <w:rPr>
                <w:noProof/>
              </w:rPr>
            </w:pPr>
            <w:r>
              <w:rPr>
                <w:noProof/>
              </w:rPr>
              <w:t>Plan de développement du potentiel géothermique</w:t>
            </w:r>
          </w:p>
        </w:tc>
      </w:tr>
      <w:tr w:rsidR="00553430" w14:paraId="6405ACAA" w14:textId="77777777">
        <w:trPr>
          <w:trHeight w:val="433"/>
        </w:trPr>
        <w:tc>
          <w:tcPr>
            <w:tcW w:w="1096" w:type="dxa"/>
            <w:shd w:val="clear" w:color="auto" w:fill="C6EFCE"/>
            <w:vAlign w:val="center"/>
            <w:hideMark/>
          </w:tcPr>
          <w:p w14:paraId="461B1CB4" w14:textId="77777777" w:rsidR="00553430" w:rsidRDefault="00553430">
            <w:pPr>
              <w:spacing w:after="0" w:line="240" w:lineRule="auto"/>
              <w:jc w:val="center"/>
              <w:textAlignment w:val="baseline"/>
              <w:rPr>
                <w:rFonts w:ascii="Times New Roman" w:hAnsi="Times New Roman" w:cs="Times New Roman"/>
                <w:noProof/>
                <w:color w:val="000000"/>
                <w:sz w:val="20"/>
                <w:szCs w:val="20"/>
              </w:rPr>
            </w:pPr>
          </w:p>
        </w:tc>
        <w:tc>
          <w:tcPr>
            <w:tcW w:w="1639" w:type="dxa"/>
            <w:shd w:val="clear" w:color="auto" w:fill="C6EFCE"/>
            <w:vAlign w:val="center"/>
            <w:hideMark/>
          </w:tcPr>
          <w:p w14:paraId="19290E38" w14:textId="77777777" w:rsidR="00553430" w:rsidRDefault="00553430">
            <w:pPr>
              <w:spacing w:after="0" w:line="240" w:lineRule="auto"/>
              <w:jc w:val="center"/>
              <w:textAlignment w:val="baseline"/>
              <w:rPr>
                <w:rFonts w:ascii="Times New Roman" w:hAnsi="Times New Roman" w:cs="Times New Roman"/>
                <w:noProof/>
                <w:color w:val="000000"/>
                <w:sz w:val="20"/>
                <w:szCs w:val="20"/>
              </w:rPr>
            </w:pPr>
          </w:p>
        </w:tc>
        <w:tc>
          <w:tcPr>
            <w:tcW w:w="1274" w:type="dxa"/>
            <w:shd w:val="clear" w:color="auto" w:fill="C6EFCE"/>
            <w:vAlign w:val="center"/>
            <w:hideMark/>
          </w:tcPr>
          <w:p w14:paraId="5713323D" w14:textId="77777777" w:rsidR="00553430" w:rsidRDefault="00212577">
            <w:pPr>
              <w:pStyle w:val="P68B1DB1-Normal102"/>
              <w:spacing w:after="0" w:line="240" w:lineRule="auto"/>
              <w:jc w:val="center"/>
              <w:textAlignment w:val="baseline"/>
              <w:rPr>
                <w:noProof/>
              </w:rPr>
            </w:pPr>
            <w:r>
              <w:rPr>
                <w:noProof/>
              </w:rPr>
              <w:t>Montant des acomptes provisionnels</w:t>
            </w:r>
          </w:p>
        </w:tc>
        <w:tc>
          <w:tcPr>
            <w:tcW w:w="5347" w:type="dxa"/>
            <w:shd w:val="clear" w:color="auto" w:fill="C6EFCE"/>
            <w:vAlign w:val="center"/>
            <w:hideMark/>
          </w:tcPr>
          <w:p w14:paraId="167B3B55" w14:textId="50ECB4AF" w:rsidR="00553430" w:rsidRDefault="00212577">
            <w:pPr>
              <w:pStyle w:val="P68B1DB1-Normal102"/>
              <w:spacing w:after="0" w:line="240" w:lineRule="auto"/>
              <w:jc w:val="both"/>
              <w:textAlignment w:val="baseline"/>
              <w:rPr>
                <w:noProof/>
              </w:rPr>
            </w:pPr>
            <w:r>
              <w:rPr>
                <w:noProof/>
              </w:rPr>
              <w:t>505 174 531 EUR</w:t>
            </w:r>
          </w:p>
          <w:p w14:paraId="109FF84F" w14:textId="77777777" w:rsidR="00553430" w:rsidRDefault="00553430">
            <w:pPr>
              <w:spacing w:after="0" w:line="240" w:lineRule="auto"/>
              <w:jc w:val="both"/>
              <w:textAlignment w:val="baseline"/>
              <w:rPr>
                <w:rFonts w:ascii="Times New Roman" w:hAnsi="Times New Roman" w:cs="Times New Roman"/>
                <w:noProof/>
                <w:color w:val="000000"/>
                <w:sz w:val="20"/>
                <w:szCs w:val="20"/>
              </w:rPr>
            </w:pPr>
          </w:p>
        </w:tc>
      </w:tr>
    </w:tbl>
    <w:p w14:paraId="48BDD7EA" w14:textId="77777777" w:rsidR="00553430" w:rsidRDefault="00553430">
      <w:pPr>
        <w:rPr>
          <w:noProof/>
        </w:rPr>
      </w:pPr>
    </w:p>
    <w:p w14:paraId="361103E6" w14:textId="77777777" w:rsidR="00553430" w:rsidRDefault="00553430">
      <w:pPr>
        <w:spacing w:after="0" w:line="240" w:lineRule="auto"/>
        <w:jc w:val="both"/>
        <w:textAlignment w:val="baseline"/>
        <w:rPr>
          <w:rFonts w:eastAsia="Times New Roman"/>
          <w:noProof/>
          <w:szCs w:val="24"/>
        </w:rPr>
      </w:pPr>
    </w:p>
    <w:p w14:paraId="45CF6ADE" w14:textId="77777777" w:rsidR="00553430" w:rsidRDefault="00212577">
      <w:pPr>
        <w:pStyle w:val="P68B1DB1-Normal83"/>
        <w:numPr>
          <w:ilvl w:val="0"/>
          <w:numId w:val="80"/>
        </w:numPr>
        <w:spacing w:line="240" w:lineRule="auto"/>
        <w:contextualSpacing/>
        <w:jc w:val="both"/>
        <w:textAlignment w:val="baseline"/>
        <w:rPr>
          <w:noProof/>
        </w:rPr>
      </w:pPr>
      <w:r>
        <w:rPr>
          <w:noProof/>
        </w:rPr>
        <w:t>Septième tranche (soutien non remboursable):</w:t>
      </w:r>
    </w:p>
    <w:p w14:paraId="41439819" w14:textId="77777777" w:rsidR="00553430" w:rsidRDefault="00553430">
      <w:pPr>
        <w:spacing w:line="240" w:lineRule="auto"/>
        <w:ind w:left="720"/>
        <w:contextualSpacing/>
        <w:jc w:val="both"/>
        <w:textAlignment w:val="baseline"/>
        <w:rPr>
          <w:rFonts w:ascii="Times New Roman" w:eastAsia="Times New Roman" w:hAnsi="Times New Roman" w:cs="Times New Roman"/>
          <w:noProof/>
          <w:sz w:val="24"/>
          <w:szCs w:val="24"/>
        </w:rPr>
      </w:pPr>
    </w:p>
    <w:tbl>
      <w:tblPr>
        <w:tblW w:w="935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6"/>
        <w:gridCol w:w="1639"/>
        <w:gridCol w:w="1274"/>
        <w:gridCol w:w="5347"/>
      </w:tblGrid>
      <w:tr w:rsidR="00553430" w14:paraId="180C0F35" w14:textId="77777777">
        <w:trPr>
          <w:trHeight w:val="517"/>
          <w:tblHeader/>
        </w:trPr>
        <w:tc>
          <w:tcPr>
            <w:tcW w:w="1096" w:type="dxa"/>
            <w:vMerge w:val="restart"/>
            <w:shd w:val="clear" w:color="auto" w:fill="BDD7EE"/>
            <w:vAlign w:val="center"/>
            <w:hideMark/>
          </w:tcPr>
          <w:p w14:paraId="592EBB91" w14:textId="77777777" w:rsidR="00553430" w:rsidRDefault="00212577">
            <w:pPr>
              <w:pStyle w:val="P68B1DB1-Normal76"/>
              <w:spacing w:after="0" w:line="240" w:lineRule="auto"/>
              <w:jc w:val="center"/>
              <w:textAlignment w:val="baseline"/>
              <w:rPr>
                <w:noProof/>
              </w:rPr>
            </w:pPr>
            <w:r>
              <w:rPr>
                <w:b/>
                <w:noProof/>
              </w:rPr>
              <w:t>Numéro séquentiel</w:t>
            </w:r>
            <w:r>
              <w:rPr>
                <w:noProof/>
              </w:rPr>
              <w:t> </w:t>
            </w:r>
          </w:p>
        </w:tc>
        <w:tc>
          <w:tcPr>
            <w:tcW w:w="1639" w:type="dxa"/>
            <w:vMerge w:val="restart"/>
            <w:shd w:val="clear" w:color="auto" w:fill="BDD7EE"/>
            <w:vAlign w:val="center"/>
            <w:hideMark/>
          </w:tcPr>
          <w:p w14:paraId="70DE8443" w14:textId="77777777" w:rsidR="00553430" w:rsidRDefault="00212577">
            <w:pPr>
              <w:pStyle w:val="P68B1DB1-Normal76"/>
              <w:spacing w:after="0" w:line="240" w:lineRule="auto"/>
              <w:jc w:val="center"/>
              <w:textAlignment w:val="baseline"/>
              <w:rPr>
                <w:noProof/>
              </w:rPr>
            </w:pPr>
            <w:r>
              <w:rPr>
                <w:b/>
                <w:noProof/>
              </w:rPr>
              <w:t>Mesure connexe (réforme ou investissement)</w:t>
            </w:r>
            <w:r>
              <w:rPr>
                <w:noProof/>
              </w:rPr>
              <w:t> </w:t>
            </w:r>
          </w:p>
        </w:tc>
        <w:tc>
          <w:tcPr>
            <w:tcW w:w="1274" w:type="dxa"/>
            <w:vMerge w:val="restart"/>
            <w:shd w:val="clear" w:color="auto" w:fill="BDD7EE"/>
            <w:vAlign w:val="center"/>
            <w:hideMark/>
          </w:tcPr>
          <w:p w14:paraId="2384EF55" w14:textId="77777777" w:rsidR="00553430" w:rsidRDefault="00212577">
            <w:pPr>
              <w:pStyle w:val="P68B1DB1-Normal76"/>
              <w:spacing w:after="0" w:line="240" w:lineRule="auto"/>
              <w:jc w:val="center"/>
              <w:textAlignment w:val="baseline"/>
              <w:rPr>
                <w:noProof/>
              </w:rPr>
            </w:pPr>
            <w:r>
              <w:rPr>
                <w:b/>
                <w:noProof/>
              </w:rPr>
              <w:t>Étape/cible</w:t>
            </w:r>
            <w:r>
              <w:rPr>
                <w:noProof/>
              </w:rPr>
              <w:t> </w:t>
            </w:r>
          </w:p>
        </w:tc>
        <w:tc>
          <w:tcPr>
            <w:tcW w:w="5347" w:type="dxa"/>
            <w:vMerge w:val="restart"/>
            <w:shd w:val="clear" w:color="auto" w:fill="BDD7EE"/>
            <w:vAlign w:val="center"/>
            <w:hideMark/>
          </w:tcPr>
          <w:p w14:paraId="3DDE666C" w14:textId="77777777" w:rsidR="00553430" w:rsidRDefault="00212577">
            <w:pPr>
              <w:pStyle w:val="P68B1DB1-Normal76"/>
              <w:spacing w:after="0" w:line="240" w:lineRule="auto"/>
              <w:jc w:val="center"/>
              <w:textAlignment w:val="baseline"/>
              <w:rPr>
                <w:noProof/>
              </w:rPr>
            </w:pPr>
            <w:r>
              <w:rPr>
                <w:b/>
                <w:noProof/>
              </w:rPr>
              <w:t>Nom</w:t>
            </w:r>
            <w:r>
              <w:rPr>
                <w:noProof/>
              </w:rPr>
              <w:t> </w:t>
            </w:r>
          </w:p>
        </w:tc>
      </w:tr>
      <w:tr w:rsidR="00553430" w14:paraId="517AB44A" w14:textId="77777777">
        <w:trPr>
          <w:trHeight w:val="524"/>
        </w:trPr>
        <w:tc>
          <w:tcPr>
            <w:tcW w:w="1096" w:type="dxa"/>
            <w:vMerge/>
            <w:vAlign w:val="center"/>
            <w:hideMark/>
          </w:tcPr>
          <w:p w14:paraId="21B03328" w14:textId="77777777" w:rsidR="00553430" w:rsidRDefault="00553430">
            <w:pPr>
              <w:spacing w:after="0" w:line="240" w:lineRule="auto"/>
              <w:rPr>
                <w:rFonts w:ascii="Times New Roman" w:eastAsia="Times New Roman" w:hAnsi="Times New Roman" w:cs="Times New Roman"/>
                <w:noProof/>
                <w:sz w:val="20"/>
                <w:szCs w:val="20"/>
              </w:rPr>
            </w:pPr>
          </w:p>
        </w:tc>
        <w:tc>
          <w:tcPr>
            <w:tcW w:w="1639" w:type="dxa"/>
            <w:vMerge/>
            <w:vAlign w:val="center"/>
            <w:hideMark/>
          </w:tcPr>
          <w:p w14:paraId="7FA74345" w14:textId="77777777" w:rsidR="00553430" w:rsidRDefault="00553430">
            <w:pPr>
              <w:spacing w:after="0" w:line="240" w:lineRule="auto"/>
              <w:rPr>
                <w:rFonts w:ascii="Times New Roman" w:eastAsia="Times New Roman" w:hAnsi="Times New Roman" w:cs="Times New Roman"/>
                <w:noProof/>
                <w:sz w:val="20"/>
                <w:szCs w:val="20"/>
              </w:rPr>
            </w:pPr>
          </w:p>
        </w:tc>
        <w:tc>
          <w:tcPr>
            <w:tcW w:w="1274" w:type="dxa"/>
            <w:vMerge/>
            <w:vAlign w:val="center"/>
            <w:hideMark/>
          </w:tcPr>
          <w:p w14:paraId="4ECCA1AE" w14:textId="77777777" w:rsidR="00553430" w:rsidRDefault="00553430">
            <w:pPr>
              <w:spacing w:after="0" w:line="240" w:lineRule="auto"/>
              <w:rPr>
                <w:rFonts w:ascii="Times New Roman" w:eastAsia="Times New Roman" w:hAnsi="Times New Roman" w:cs="Times New Roman"/>
                <w:noProof/>
                <w:sz w:val="20"/>
                <w:szCs w:val="20"/>
              </w:rPr>
            </w:pPr>
          </w:p>
        </w:tc>
        <w:tc>
          <w:tcPr>
            <w:tcW w:w="5347" w:type="dxa"/>
            <w:vMerge/>
            <w:vAlign w:val="center"/>
            <w:hideMark/>
          </w:tcPr>
          <w:p w14:paraId="1B63748B" w14:textId="77777777" w:rsidR="00553430" w:rsidRDefault="00553430">
            <w:pPr>
              <w:spacing w:after="0" w:line="240" w:lineRule="auto"/>
              <w:rPr>
                <w:rFonts w:ascii="Times New Roman" w:eastAsia="Times New Roman" w:hAnsi="Times New Roman" w:cs="Times New Roman"/>
                <w:noProof/>
                <w:sz w:val="20"/>
                <w:szCs w:val="20"/>
              </w:rPr>
            </w:pPr>
          </w:p>
        </w:tc>
      </w:tr>
      <w:tr w:rsidR="00553430" w14:paraId="62CD0923" w14:textId="77777777">
        <w:trPr>
          <w:trHeight w:val="51"/>
        </w:trPr>
        <w:tc>
          <w:tcPr>
            <w:tcW w:w="1096" w:type="dxa"/>
            <w:shd w:val="clear" w:color="auto" w:fill="C6EFCE"/>
            <w:vAlign w:val="center"/>
            <w:hideMark/>
          </w:tcPr>
          <w:p w14:paraId="6B6352C5" w14:textId="77777777" w:rsidR="00553430" w:rsidRDefault="00212577">
            <w:pPr>
              <w:pStyle w:val="P68B1DB1-Normal102"/>
              <w:spacing w:after="0" w:line="240" w:lineRule="auto"/>
              <w:jc w:val="center"/>
              <w:textAlignment w:val="baseline"/>
              <w:rPr>
                <w:rFonts w:eastAsia="Times New Roman"/>
                <w:noProof/>
              </w:rPr>
            </w:pPr>
            <w:r>
              <w:rPr>
                <w:noProof/>
              </w:rPr>
              <w:t>3</w:t>
            </w:r>
          </w:p>
        </w:tc>
        <w:tc>
          <w:tcPr>
            <w:tcW w:w="1639" w:type="dxa"/>
            <w:shd w:val="clear" w:color="auto" w:fill="C6EFCE"/>
            <w:vAlign w:val="center"/>
            <w:hideMark/>
          </w:tcPr>
          <w:p w14:paraId="5C6B523D" w14:textId="77777777" w:rsidR="00553430" w:rsidRDefault="00212577">
            <w:pPr>
              <w:pStyle w:val="P68B1DB1-Normal102"/>
              <w:spacing w:after="0" w:line="240" w:lineRule="auto"/>
              <w:jc w:val="center"/>
              <w:textAlignment w:val="baseline"/>
              <w:rPr>
                <w:rFonts w:eastAsia="Times New Roman"/>
                <w:noProof/>
              </w:rPr>
            </w:pPr>
            <w:r>
              <w:rPr>
                <w:noProof/>
              </w:rPr>
              <w:t>C1.1.1. R1-I1</w:t>
            </w:r>
          </w:p>
        </w:tc>
        <w:tc>
          <w:tcPr>
            <w:tcW w:w="1274" w:type="dxa"/>
            <w:shd w:val="clear" w:color="auto" w:fill="C6EFCE"/>
            <w:vAlign w:val="center"/>
            <w:hideMark/>
          </w:tcPr>
          <w:p w14:paraId="1C3EE5F9" w14:textId="77777777" w:rsidR="00553430" w:rsidRDefault="00212577">
            <w:pPr>
              <w:pStyle w:val="P68B1DB1-Normal102"/>
              <w:spacing w:after="0" w:line="240" w:lineRule="auto"/>
              <w:jc w:val="center"/>
              <w:textAlignment w:val="baseline"/>
              <w:rPr>
                <w:rFonts w:eastAsia="Times New Roman"/>
                <w:noProof/>
              </w:rPr>
            </w:pPr>
            <w:r>
              <w:rPr>
                <w:noProof/>
              </w:rPr>
              <w:t>M</w:t>
            </w:r>
          </w:p>
        </w:tc>
        <w:tc>
          <w:tcPr>
            <w:tcW w:w="5347" w:type="dxa"/>
            <w:shd w:val="clear" w:color="auto" w:fill="C6EFCE"/>
            <w:vAlign w:val="center"/>
            <w:hideMark/>
          </w:tcPr>
          <w:p w14:paraId="340945F1" w14:textId="77777777" w:rsidR="00553430" w:rsidRDefault="00212577">
            <w:pPr>
              <w:pStyle w:val="P68B1DB1-Normal102"/>
              <w:spacing w:after="0" w:line="240" w:lineRule="auto"/>
              <w:textAlignment w:val="baseline"/>
              <w:rPr>
                <w:rFonts w:eastAsia="Times New Roman"/>
                <w:noProof/>
              </w:rPr>
            </w:pPr>
            <w:r>
              <w:rPr>
                <w:noProof/>
              </w:rPr>
              <w:t>Mise à niveau des systèmes START</w:t>
            </w:r>
          </w:p>
        </w:tc>
      </w:tr>
      <w:tr w:rsidR="00553430" w14:paraId="4193308A" w14:textId="77777777">
        <w:trPr>
          <w:trHeight w:val="51"/>
        </w:trPr>
        <w:tc>
          <w:tcPr>
            <w:tcW w:w="1096" w:type="dxa"/>
            <w:shd w:val="clear" w:color="auto" w:fill="C6EFCE"/>
            <w:vAlign w:val="center"/>
            <w:hideMark/>
          </w:tcPr>
          <w:p w14:paraId="6EE474B4" w14:textId="77777777" w:rsidR="00553430" w:rsidRDefault="00212577">
            <w:pPr>
              <w:pStyle w:val="P68B1DB1-Normal102"/>
              <w:spacing w:after="0" w:line="240" w:lineRule="auto"/>
              <w:jc w:val="center"/>
              <w:textAlignment w:val="baseline"/>
              <w:rPr>
                <w:rFonts w:eastAsia="Times New Roman"/>
                <w:noProof/>
              </w:rPr>
            </w:pPr>
            <w:r>
              <w:rPr>
                <w:noProof/>
              </w:rPr>
              <w:t>4</w:t>
            </w:r>
          </w:p>
        </w:tc>
        <w:tc>
          <w:tcPr>
            <w:tcW w:w="1639" w:type="dxa"/>
            <w:shd w:val="clear" w:color="auto" w:fill="C6EFCE"/>
            <w:vAlign w:val="center"/>
            <w:hideMark/>
          </w:tcPr>
          <w:p w14:paraId="4D5E1A4C" w14:textId="77777777" w:rsidR="00553430" w:rsidRDefault="00212577">
            <w:pPr>
              <w:pStyle w:val="P68B1DB1-Normal102"/>
              <w:spacing w:after="0" w:line="240" w:lineRule="auto"/>
              <w:jc w:val="center"/>
              <w:textAlignment w:val="baseline"/>
              <w:rPr>
                <w:rFonts w:eastAsia="Times New Roman"/>
                <w:noProof/>
              </w:rPr>
            </w:pPr>
            <w:r>
              <w:rPr>
                <w:noProof/>
              </w:rPr>
              <w:t>C1.1.1. R1-I1</w:t>
            </w:r>
          </w:p>
        </w:tc>
        <w:tc>
          <w:tcPr>
            <w:tcW w:w="1274" w:type="dxa"/>
            <w:shd w:val="clear" w:color="auto" w:fill="C6EFCE"/>
            <w:vAlign w:val="center"/>
            <w:hideMark/>
          </w:tcPr>
          <w:p w14:paraId="2E23A7A8" w14:textId="77777777" w:rsidR="00553430" w:rsidRDefault="00212577">
            <w:pPr>
              <w:pStyle w:val="P68B1DB1-Normal102"/>
              <w:spacing w:after="0" w:line="240" w:lineRule="auto"/>
              <w:jc w:val="center"/>
              <w:textAlignment w:val="baseline"/>
              <w:rPr>
                <w:rFonts w:eastAsia="Times New Roman"/>
                <w:noProof/>
              </w:rPr>
            </w:pPr>
            <w:r>
              <w:rPr>
                <w:noProof/>
              </w:rPr>
              <w:t>T</w:t>
            </w:r>
          </w:p>
        </w:tc>
        <w:tc>
          <w:tcPr>
            <w:tcW w:w="5347" w:type="dxa"/>
            <w:shd w:val="clear" w:color="auto" w:fill="C6EFCE"/>
            <w:vAlign w:val="center"/>
            <w:hideMark/>
          </w:tcPr>
          <w:p w14:paraId="28E3ADE7" w14:textId="77777777" w:rsidR="00553430" w:rsidRDefault="00212577">
            <w:pPr>
              <w:pStyle w:val="P68B1DB1-Normal102"/>
              <w:spacing w:after="0" w:line="240" w:lineRule="auto"/>
              <w:textAlignment w:val="baseline"/>
              <w:rPr>
                <w:rFonts w:eastAsia="Times New Roman"/>
                <w:noProof/>
              </w:rPr>
            </w:pPr>
            <w:r>
              <w:rPr>
                <w:noProof/>
              </w:rPr>
              <w:t>Mise en place de points d'accès physiques à la plateforme START</w:t>
            </w:r>
          </w:p>
        </w:tc>
      </w:tr>
      <w:tr w:rsidR="00553430" w14:paraId="4C23CED6" w14:textId="77777777">
        <w:trPr>
          <w:trHeight w:val="51"/>
        </w:trPr>
        <w:tc>
          <w:tcPr>
            <w:tcW w:w="1096" w:type="dxa"/>
            <w:shd w:val="clear" w:color="auto" w:fill="C6EFCE"/>
            <w:vAlign w:val="center"/>
            <w:hideMark/>
          </w:tcPr>
          <w:p w14:paraId="46B9EBC2" w14:textId="77777777" w:rsidR="00553430" w:rsidRDefault="00212577">
            <w:pPr>
              <w:pStyle w:val="P68B1DB1-Normal102"/>
              <w:spacing w:after="0" w:line="240" w:lineRule="auto"/>
              <w:jc w:val="center"/>
              <w:textAlignment w:val="baseline"/>
              <w:rPr>
                <w:rFonts w:eastAsia="Times New Roman"/>
                <w:noProof/>
              </w:rPr>
            </w:pPr>
            <w:r>
              <w:rPr>
                <w:noProof/>
              </w:rPr>
              <w:t>5</w:t>
            </w:r>
          </w:p>
        </w:tc>
        <w:tc>
          <w:tcPr>
            <w:tcW w:w="1639" w:type="dxa"/>
            <w:shd w:val="clear" w:color="auto" w:fill="C6EFCE"/>
            <w:vAlign w:val="center"/>
            <w:hideMark/>
          </w:tcPr>
          <w:p w14:paraId="65965235" w14:textId="77777777" w:rsidR="00553430" w:rsidRDefault="00212577">
            <w:pPr>
              <w:pStyle w:val="P68B1DB1-Normal102"/>
              <w:spacing w:after="0" w:line="240" w:lineRule="auto"/>
              <w:jc w:val="center"/>
              <w:textAlignment w:val="baseline"/>
              <w:rPr>
                <w:rFonts w:eastAsia="Times New Roman"/>
                <w:noProof/>
              </w:rPr>
            </w:pPr>
            <w:r>
              <w:rPr>
                <w:noProof/>
              </w:rPr>
              <w:t>C1.1.1. R1-I1</w:t>
            </w:r>
          </w:p>
        </w:tc>
        <w:tc>
          <w:tcPr>
            <w:tcW w:w="1274" w:type="dxa"/>
            <w:shd w:val="clear" w:color="auto" w:fill="C6EFCE"/>
            <w:vAlign w:val="center"/>
            <w:hideMark/>
          </w:tcPr>
          <w:p w14:paraId="52DCA833" w14:textId="77777777" w:rsidR="00553430" w:rsidRDefault="00212577">
            <w:pPr>
              <w:pStyle w:val="P68B1DB1-Normal102"/>
              <w:spacing w:after="0" w:line="240" w:lineRule="auto"/>
              <w:jc w:val="center"/>
              <w:textAlignment w:val="baseline"/>
              <w:rPr>
                <w:rFonts w:eastAsia="Times New Roman"/>
                <w:noProof/>
              </w:rPr>
            </w:pPr>
            <w:r>
              <w:rPr>
                <w:noProof/>
              </w:rPr>
              <w:t>M</w:t>
            </w:r>
          </w:p>
        </w:tc>
        <w:tc>
          <w:tcPr>
            <w:tcW w:w="5347" w:type="dxa"/>
            <w:shd w:val="clear" w:color="auto" w:fill="C6EFCE"/>
            <w:vAlign w:val="center"/>
            <w:hideMark/>
          </w:tcPr>
          <w:p w14:paraId="762D8A69" w14:textId="77777777" w:rsidR="00553430" w:rsidRDefault="00212577">
            <w:pPr>
              <w:pStyle w:val="P68B1DB1-Normal102"/>
              <w:spacing w:after="0" w:line="240" w:lineRule="auto"/>
              <w:textAlignment w:val="baseline"/>
              <w:rPr>
                <w:rFonts w:eastAsia="Times New Roman"/>
                <w:noProof/>
              </w:rPr>
            </w:pPr>
            <w:r>
              <w:rPr>
                <w:noProof/>
              </w:rPr>
              <w:t xml:space="preserve">Numérisation des processus ciblés de MINGOR au titre de la loi sur les projets </w:t>
            </w:r>
            <w:r>
              <w:rPr>
                <w:noProof/>
              </w:rPr>
              <w:t>d’investissement stratégique de la République de Croatie, de la loi sur la promotion des investissements et de la loi sur les aides d’État aux projets de recherche et de développement, et poursuite de la numérisation et de la mise en réseau du système JRPI</w:t>
            </w:r>
          </w:p>
        </w:tc>
      </w:tr>
      <w:tr w:rsidR="00553430" w14:paraId="60A80FC4" w14:textId="77777777">
        <w:trPr>
          <w:trHeight w:val="51"/>
        </w:trPr>
        <w:tc>
          <w:tcPr>
            <w:tcW w:w="1096" w:type="dxa"/>
            <w:shd w:val="clear" w:color="auto" w:fill="C6EFCE"/>
            <w:vAlign w:val="center"/>
          </w:tcPr>
          <w:p w14:paraId="14C2C8C7" w14:textId="77777777" w:rsidR="00553430" w:rsidRDefault="00212577">
            <w:pPr>
              <w:pStyle w:val="P68B1DB1-Normal102"/>
              <w:spacing w:after="0" w:line="240" w:lineRule="auto"/>
              <w:jc w:val="center"/>
              <w:textAlignment w:val="baseline"/>
              <w:rPr>
                <w:noProof/>
              </w:rPr>
            </w:pPr>
            <w:r>
              <w:rPr>
                <w:noProof/>
              </w:rPr>
              <w:t>10</w:t>
            </w:r>
          </w:p>
        </w:tc>
        <w:tc>
          <w:tcPr>
            <w:tcW w:w="1639" w:type="dxa"/>
            <w:shd w:val="clear" w:color="auto" w:fill="C6EFCE"/>
            <w:vAlign w:val="center"/>
          </w:tcPr>
          <w:p w14:paraId="0F9D3664" w14:textId="77777777" w:rsidR="00553430" w:rsidRDefault="00212577">
            <w:pPr>
              <w:pStyle w:val="P68B1DB1-Normal102"/>
              <w:spacing w:after="0" w:line="240" w:lineRule="auto"/>
              <w:jc w:val="center"/>
              <w:textAlignment w:val="baseline"/>
              <w:rPr>
                <w:noProof/>
              </w:rPr>
            </w:pPr>
            <w:r>
              <w:rPr>
                <w:noProof/>
              </w:rPr>
              <w:t>C1.1.1. R1-I2</w:t>
            </w:r>
          </w:p>
        </w:tc>
        <w:tc>
          <w:tcPr>
            <w:tcW w:w="1274" w:type="dxa"/>
            <w:shd w:val="clear" w:color="auto" w:fill="C6EFCE"/>
            <w:vAlign w:val="center"/>
          </w:tcPr>
          <w:p w14:paraId="1D3C415E"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BA47EFA" w14:textId="77777777" w:rsidR="00553430" w:rsidRDefault="00212577">
            <w:pPr>
              <w:pStyle w:val="P68B1DB1-Normal102"/>
              <w:spacing w:after="0" w:line="240" w:lineRule="auto"/>
              <w:textAlignment w:val="baseline"/>
              <w:rPr>
                <w:noProof/>
              </w:rPr>
            </w:pPr>
            <w:r>
              <w:rPr>
                <w:noProof/>
              </w:rPr>
              <w:t>Mise en œuvre de la première série de mesures énoncées dans le nouveau/cinquième plan d’action pour l’allègement de la charge administrative des entrepreneurs</w:t>
            </w:r>
          </w:p>
        </w:tc>
      </w:tr>
      <w:tr w:rsidR="00553430" w14:paraId="14BB0026" w14:textId="77777777">
        <w:trPr>
          <w:trHeight w:val="51"/>
        </w:trPr>
        <w:tc>
          <w:tcPr>
            <w:tcW w:w="1096" w:type="dxa"/>
            <w:shd w:val="clear" w:color="auto" w:fill="C6EFCE"/>
            <w:vAlign w:val="center"/>
          </w:tcPr>
          <w:p w14:paraId="2A71AEF7" w14:textId="77777777" w:rsidR="00553430" w:rsidRDefault="00212577">
            <w:pPr>
              <w:pStyle w:val="P68B1DB1-Normal102"/>
              <w:spacing w:after="0" w:line="240" w:lineRule="auto"/>
              <w:jc w:val="center"/>
              <w:textAlignment w:val="baseline"/>
              <w:rPr>
                <w:noProof/>
              </w:rPr>
            </w:pPr>
            <w:r>
              <w:rPr>
                <w:noProof/>
              </w:rPr>
              <w:t>12</w:t>
            </w:r>
          </w:p>
        </w:tc>
        <w:tc>
          <w:tcPr>
            <w:tcW w:w="1639" w:type="dxa"/>
            <w:shd w:val="clear" w:color="auto" w:fill="C6EFCE"/>
            <w:vAlign w:val="center"/>
          </w:tcPr>
          <w:p w14:paraId="66520E9F" w14:textId="77777777" w:rsidR="00553430" w:rsidRDefault="00212577">
            <w:pPr>
              <w:pStyle w:val="P68B1DB1-Normal102"/>
              <w:spacing w:after="0" w:line="240" w:lineRule="auto"/>
              <w:jc w:val="center"/>
              <w:textAlignment w:val="baseline"/>
              <w:rPr>
                <w:noProof/>
              </w:rPr>
            </w:pPr>
            <w:r>
              <w:rPr>
                <w:noProof/>
              </w:rPr>
              <w:t>C1.1.1. R2</w:t>
            </w:r>
          </w:p>
        </w:tc>
        <w:tc>
          <w:tcPr>
            <w:tcW w:w="1274" w:type="dxa"/>
            <w:shd w:val="clear" w:color="auto" w:fill="C6EFCE"/>
            <w:vAlign w:val="center"/>
          </w:tcPr>
          <w:p w14:paraId="7507E23E"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A7F67B9" w14:textId="77777777" w:rsidR="00553430" w:rsidRDefault="00212577">
            <w:pPr>
              <w:pStyle w:val="P68B1DB1-Normal102"/>
              <w:spacing w:after="0" w:line="240" w:lineRule="auto"/>
              <w:textAlignment w:val="baseline"/>
              <w:rPr>
                <w:noProof/>
              </w:rPr>
            </w:pPr>
            <w:r>
              <w:rPr>
                <w:noProof/>
              </w:rPr>
              <w:t xml:space="preserve">Simplification ou suppression d'au moins 50 exigences </w:t>
            </w:r>
            <w:r>
              <w:rPr>
                <w:noProof/>
              </w:rPr>
              <w:t>réglementaires pour les services professionnels</w:t>
            </w:r>
          </w:p>
        </w:tc>
      </w:tr>
      <w:tr w:rsidR="00553430" w14:paraId="04615300" w14:textId="77777777">
        <w:trPr>
          <w:trHeight w:val="51"/>
        </w:trPr>
        <w:tc>
          <w:tcPr>
            <w:tcW w:w="1096" w:type="dxa"/>
            <w:shd w:val="clear" w:color="auto" w:fill="C6EFCE"/>
            <w:vAlign w:val="center"/>
          </w:tcPr>
          <w:p w14:paraId="65016068" w14:textId="77777777" w:rsidR="00553430" w:rsidRDefault="00212577">
            <w:pPr>
              <w:pStyle w:val="P68B1DB1-Normal102"/>
              <w:spacing w:after="0" w:line="240" w:lineRule="auto"/>
              <w:jc w:val="center"/>
              <w:textAlignment w:val="baseline"/>
              <w:rPr>
                <w:noProof/>
              </w:rPr>
            </w:pPr>
            <w:r>
              <w:rPr>
                <w:noProof/>
              </w:rPr>
              <w:t>13</w:t>
            </w:r>
          </w:p>
        </w:tc>
        <w:tc>
          <w:tcPr>
            <w:tcW w:w="1639" w:type="dxa"/>
            <w:shd w:val="clear" w:color="auto" w:fill="C6EFCE"/>
            <w:vAlign w:val="center"/>
          </w:tcPr>
          <w:p w14:paraId="00DC753D" w14:textId="77777777" w:rsidR="00553430" w:rsidRDefault="00212577">
            <w:pPr>
              <w:pStyle w:val="P68B1DB1-Normal102"/>
              <w:spacing w:after="0" w:line="240" w:lineRule="auto"/>
              <w:jc w:val="center"/>
              <w:textAlignment w:val="baseline"/>
              <w:rPr>
                <w:noProof/>
              </w:rPr>
            </w:pPr>
            <w:r>
              <w:rPr>
                <w:noProof/>
              </w:rPr>
              <w:t>C1.1.1. R3</w:t>
            </w:r>
          </w:p>
        </w:tc>
        <w:tc>
          <w:tcPr>
            <w:tcW w:w="1274" w:type="dxa"/>
            <w:shd w:val="clear" w:color="auto" w:fill="C6EFCE"/>
            <w:vAlign w:val="center"/>
          </w:tcPr>
          <w:p w14:paraId="248A5784"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6A4C18D3" w14:textId="77777777" w:rsidR="00553430" w:rsidRDefault="00212577">
            <w:pPr>
              <w:pStyle w:val="P68B1DB1-Normal102"/>
              <w:spacing w:after="0" w:line="240" w:lineRule="auto"/>
              <w:textAlignment w:val="baseline"/>
              <w:rPr>
                <w:noProof/>
              </w:rPr>
            </w:pPr>
            <w:r>
              <w:rPr>
                <w:noProof/>
              </w:rPr>
              <w:br/>
              <w:t>Établir un cadre stratégique pour la promotion de l'investissement privé</w:t>
            </w:r>
          </w:p>
        </w:tc>
      </w:tr>
      <w:tr w:rsidR="00553430" w14:paraId="77395062" w14:textId="77777777">
        <w:trPr>
          <w:trHeight w:val="51"/>
        </w:trPr>
        <w:tc>
          <w:tcPr>
            <w:tcW w:w="1096" w:type="dxa"/>
            <w:shd w:val="clear" w:color="auto" w:fill="C6EFCE"/>
            <w:vAlign w:val="center"/>
          </w:tcPr>
          <w:p w14:paraId="24B9D7DB" w14:textId="77777777" w:rsidR="00553430" w:rsidRDefault="00212577">
            <w:pPr>
              <w:pStyle w:val="P68B1DB1-Normal102"/>
              <w:spacing w:after="0" w:line="240" w:lineRule="auto"/>
              <w:jc w:val="center"/>
              <w:textAlignment w:val="baseline"/>
              <w:rPr>
                <w:noProof/>
              </w:rPr>
            </w:pPr>
            <w:r>
              <w:rPr>
                <w:noProof/>
              </w:rPr>
              <w:t>28</w:t>
            </w:r>
          </w:p>
        </w:tc>
        <w:tc>
          <w:tcPr>
            <w:tcW w:w="1639" w:type="dxa"/>
            <w:shd w:val="clear" w:color="auto" w:fill="C6EFCE"/>
            <w:vAlign w:val="center"/>
          </w:tcPr>
          <w:p w14:paraId="089AB086" w14:textId="77777777" w:rsidR="00553430" w:rsidRDefault="00212577">
            <w:pPr>
              <w:pStyle w:val="P68B1DB1-Normal102"/>
              <w:spacing w:after="0" w:line="240" w:lineRule="auto"/>
              <w:jc w:val="center"/>
              <w:textAlignment w:val="baseline"/>
              <w:rPr>
                <w:noProof/>
              </w:rPr>
            </w:pPr>
            <w:r>
              <w:rPr>
                <w:noProof/>
              </w:rPr>
              <w:t>C1.1.2. R1</w:t>
            </w:r>
          </w:p>
        </w:tc>
        <w:tc>
          <w:tcPr>
            <w:tcW w:w="1274" w:type="dxa"/>
            <w:shd w:val="clear" w:color="auto" w:fill="C6EFCE"/>
            <w:vAlign w:val="center"/>
          </w:tcPr>
          <w:p w14:paraId="3172AE7E"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79CD8E4" w14:textId="77777777" w:rsidR="00553430" w:rsidRDefault="00212577">
            <w:pPr>
              <w:pStyle w:val="P68B1DB1-Normal102"/>
              <w:spacing w:after="0" w:line="240" w:lineRule="auto"/>
              <w:textAlignment w:val="baseline"/>
              <w:rPr>
                <w:noProof/>
              </w:rPr>
            </w:pPr>
            <w:r>
              <w:rPr>
                <w:noProof/>
              </w:rPr>
              <w:t>Modification et complément du cadre juridique relatif à l'incitation fiscale en faveur de la R &amp; D</w:t>
            </w:r>
          </w:p>
        </w:tc>
      </w:tr>
      <w:tr w:rsidR="00553430" w14:paraId="69DA37B3" w14:textId="77777777">
        <w:trPr>
          <w:trHeight w:val="51"/>
        </w:trPr>
        <w:tc>
          <w:tcPr>
            <w:tcW w:w="1096" w:type="dxa"/>
            <w:shd w:val="clear" w:color="auto" w:fill="C6EFCE"/>
            <w:vAlign w:val="center"/>
          </w:tcPr>
          <w:p w14:paraId="6CCDAA39" w14:textId="77777777" w:rsidR="00553430" w:rsidRDefault="00212577">
            <w:pPr>
              <w:pStyle w:val="P68B1DB1-Normal102"/>
              <w:spacing w:after="0" w:line="240" w:lineRule="auto"/>
              <w:jc w:val="center"/>
              <w:textAlignment w:val="baseline"/>
              <w:rPr>
                <w:noProof/>
              </w:rPr>
            </w:pPr>
            <w:r>
              <w:rPr>
                <w:noProof/>
              </w:rPr>
              <w:t>30</w:t>
            </w:r>
          </w:p>
        </w:tc>
        <w:tc>
          <w:tcPr>
            <w:tcW w:w="1639" w:type="dxa"/>
            <w:shd w:val="clear" w:color="auto" w:fill="C6EFCE"/>
            <w:vAlign w:val="center"/>
          </w:tcPr>
          <w:p w14:paraId="290838D5" w14:textId="77777777" w:rsidR="00553430" w:rsidRDefault="00212577">
            <w:pPr>
              <w:pStyle w:val="P68B1DB1-Normal102"/>
              <w:spacing w:after="0" w:line="240" w:lineRule="auto"/>
              <w:jc w:val="center"/>
              <w:textAlignment w:val="baseline"/>
              <w:rPr>
                <w:noProof/>
              </w:rPr>
            </w:pPr>
            <w:r>
              <w:rPr>
                <w:noProof/>
              </w:rPr>
              <w:t>C1.1.2. R2-I3</w:t>
            </w:r>
          </w:p>
        </w:tc>
        <w:tc>
          <w:tcPr>
            <w:tcW w:w="1274" w:type="dxa"/>
            <w:shd w:val="clear" w:color="auto" w:fill="C6EFCE"/>
            <w:vAlign w:val="center"/>
          </w:tcPr>
          <w:p w14:paraId="3B78FB0D"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B43F9FD" w14:textId="77777777" w:rsidR="00553430" w:rsidRDefault="00212577">
            <w:pPr>
              <w:pStyle w:val="P68B1DB1-Normal102"/>
              <w:spacing w:after="0" w:line="240" w:lineRule="auto"/>
              <w:textAlignment w:val="baseline"/>
              <w:rPr>
                <w:noProof/>
              </w:rPr>
            </w:pPr>
            <w:r>
              <w:rPr>
                <w:noProof/>
              </w:rPr>
              <w:t>Octroi d’un soutien pour stimuler la croissance des jeunes pousses dans les secteurs de la haute technologie et de la connaissance</w:t>
            </w:r>
          </w:p>
        </w:tc>
      </w:tr>
      <w:tr w:rsidR="00553430" w14:paraId="693E401A" w14:textId="77777777">
        <w:trPr>
          <w:trHeight w:val="51"/>
        </w:trPr>
        <w:tc>
          <w:tcPr>
            <w:tcW w:w="1096" w:type="dxa"/>
            <w:shd w:val="clear" w:color="auto" w:fill="C6EFCE"/>
            <w:vAlign w:val="center"/>
          </w:tcPr>
          <w:p w14:paraId="7397B13B" w14:textId="77777777" w:rsidR="00553430" w:rsidRDefault="00212577">
            <w:pPr>
              <w:pStyle w:val="P68B1DB1-Normal102"/>
              <w:spacing w:after="0" w:line="240" w:lineRule="auto"/>
              <w:jc w:val="center"/>
              <w:textAlignment w:val="baseline"/>
              <w:rPr>
                <w:noProof/>
              </w:rPr>
            </w:pPr>
            <w:r>
              <w:rPr>
                <w:noProof/>
              </w:rPr>
              <w:t>32</w:t>
            </w:r>
          </w:p>
        </w:tc>
        <w:tc>
          <w:tcPr>
            <w:tcW w:w="1639" w:type="dxa"/>
            <w:shd w:val="clear" w:color="auto" w:fill="C6EFCE"/>
            <w:vAlign w:val="center"/>
          </w:tcPr>
          <w:p w14:paraId="1D771128" w14:textId="77777777" w:rsidR="00553430" w:rsidRDefault="00212577">
            <w:pPr>
              <w:pStyle w:val="P68B1DB1-Normal102"/>
              <w:spacing w:after="0" w:line="240" w:lineRule="auto"/>
              <w:jc w:val="center"/>
              <w:textAlignment w:val="baseline"/>
              <w:rPr>
                <w:noProof/>
              </w:rPr>
            </w:pPr>
            <w:r>
              <w:rPr>
                <w:noProof/>
              </w:rPr>
              <w:t>C1.1.2. R2-I5</w:t>
            </w:r>
          </w:p>
        </w:tc>
        <w:tc>
          <w:tcPr>
            <w:tcW w:w="1274" w:type="dxa"/>
            <w:shd w:val="clear" w:color="auto" w:fill="C6EFCE"/>
            <w:vAlign w:val="center"/>
          </w:tcPr>
          <w:p w14:paraId="7BD9F495"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388FC26" w14:textId="535BDD67" w:rsidR="00553430" w:rsidRDefault="00212577">
            <w:pPr>
              <w:pStyle w:val="P68B1DB1-Normal102"/>
              <w:spacing w:after="0" w:line="240" w:lineRule="auto"/>
              <w:textAlignment w:val="baseline"/>
              <w:rPr>
                <w:noProof/>
              </w:rPr>
            </w:pPr>
            <w:r>
              <w:rPr>
                <w:noProof/>
              </w:rPr>
              <w:t>Soutien à des projets de commercialisation de l'innovation</w:t>
            </w:r>
          </w:p>
        </w:tc>
      </w:tr>
      <w:tr w:rsidR="00553430" w14:paraId="1AB0FD9C" w14:textId="77777777">
        <w:trPr>
          <w:trHeight w:val="51"/>
        </w:trPr>
        <w:tc>
          <w:tcPr>
            <w:tcW w:w="1096" w:type="dxa"/>
            <w:shd w:val="clear" w:color="auto" w:fill="C6EFCE"/>
            <w:vAlign w:val="center"/>
          </w:tcPr>
          <w:p w14:paraId="142E20DB" w14:textId="77777777" w:rsidR="00553430" w:rsidRDefault="00212577">
            <w:pPr>
              <w:pStyle w:val="P68B1DB1-Normal102"/>
              <w:spacing w:after="0" w:line="240" w:lineRule="auto"/>
              <w:jc w:val="center"/>
              <w:textAlignment w:val="baseline"/>
              <w:rPr>
                <w:noProof/>
              </w:rPr>
            </w:pPr>
            <w:r>
              <w:rPr>
                <w:noProof/>
              </w:rPr>
              <w:t>41</w:t>
            </w:r>
          </w:p>
        </w:tc>
        <w:tc>
          <w:tcPr>
            <w:tcW w:w="1639" w:type="dxa"/>
            <w:shd w:val="clear" w:color="auto" w:fill="C6EFCE"/>
            <w:vAlign w:val="center"/>
          </w:tcPr>
          <w:p w14:paraId="48AF2B41" w14:textId="77777777" w:rsidR="00553430" w:rsidRDefault="00212577">
            <w:pPr>
              <w:pStyle w:val="P68B1DB1-Normal102"/>
              <w:spacing w:after="0" w:line="240" w:lineRule="auto"/>
              <w:jc w:val="center"/>
              <w:textAlignment w:val="baseline"/>
              <w:rPr>
                <w:noProof/>
              </w:rPr>
            </w:pPr>
            <w:r>
              <w:rPr>
                <w:noProof/>
              </w:rPr>
              <w:t>C1.2. R1-I1</w:t>
            </w:r>
          </w:p>
        </w:tc>
        <w:tc>
          <w:tcPr>
            <w:tcW w:w="1274" w:type="dxa"/>
            <w:shd w:val="clear" w:color="auto" w:fill="C6EFCE"/>
            <w:vAlign w:val="center"/>
          </w:tcPr>
          <w:p w14:paraId="031B3136"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53B9ADE" w14:textId="77777777" w:rsidR="00553430" w:rsidRDefault="00212577">
            <w:pPr>
              <w:pStyle w:val="P68B1DB1-Normal102"/>
              <w:spacing w:after="0" w:line="240" w:lineRule="auto"/>
              <w:textAlignment w:val="baseline"/>
              <w:rPr>
                <w:noProof/>
              </w:rPr>
            </w:pPr>
            <w:r>
              <w:rPr>
                <w:noProof/>
              </w:rPr>
              <w:t>Achèvement de la mise à niveau du réseau haute tension (220/110 kV)</w:t>
            </w:r>
          </w:p>
        </w:tc>
      </w:tr>
      <w:tr w:rsidR="00553430" w14:paraId="3B926E96" w14:textId="77777777">
        <w:trPr>
          <w:trHeight w:val="51"/>
        </w:trPr>
        <w:tc>
          <w:tcPr>
            <w:tcW w:w="1096" w:type="dxa"/>
            <w:shd w:val="clear" w:color="auto" w:fill="C6EFCE"/>
            <w:vAlign w:val="center"/>
          </w:tcPr>
          <w:p w14:paraId="12FE14AE" w14:textId="77777777" w:rsidR="00553430" w:rsidRDefault="00212577">
            <w:pPr>
              <w:pStyle w:val="P68B1DB1-Normal102"/>
              <w:spacing w:after="0" w:line="240" w:lineRule="auto"/>
              <w:jc w:val="center"/>
              <w:textAlignment w:val="baseline"/>
              <w:rPr>
                <w:noProof/>
              </w:rPr>
            </w:pPr>
            <w:r>
              <w:rPr>
                <w:noProof/>
              </w:rPr>
              <w:t>42</w:t>
            </w:r>
          </w:p>
        </w:tc>
        <w:tc>
          <w:tcPr>
            <w:tcW w:w="1639" w:type="dxa"/>
            <w:shd w:val="clear" w:color="auto" w:fill="C6EFCE"/>
            <w:vAlign w:val="center"/>
          </w:tcPr>
          <w:p w14:paraId="386C03DE" w14:textId="77777777" w:rsidR="00553430" w:rsidRDefault="00212577">
            <w:pPr>
              <w:pStyle w:val="P68B1DB1-Normal102"/>
              <w:spacing w:after="0" w:line="240" w:lineRule="auto"/>
              <w:jc w:val="center"/>
              <w:textAlignment w:val="baseline"/>
              <w:rPr>
                <w:noProof/>
              </w:rPr>
            </w:pPr>
            <w:r>
              <w:rPr>
                <w:noProof/>
              </w:rPr>
              <w:t>C1.2. R1</w:t>
            </w:r>
          </w:p>
        </w:tc>
        <w:tc>
          <w:tcPr>
            <w:tcW w:w="1274" w:type="dxa"/>
            <w:shd w:val="clear" w:color="auto" w:fill="C6EFCE"/>
            <w:vAlign w:val="center"/>
          </w:tcPr>
          <w:p w14:paraId="22DD3F61"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CD53D03" w14:textId="77777777" w:rsidR="00553430" w:rsidRDefault="00212577">
            <w:pPr>
              <w:pStyle w:val="P68B1DB1-Normal102"/>
              <w:spacing w:after="0" w:line="240" w:lineRule="auto"/>
              <w:textAlignment w:val="baseline"/>
              <w:rPr>
                <w:noProof/>
              </w:rPr>
            </w:pPr>
            <w:r>
              <w:rPr>
                <w:noProof/>
              </w:rPr>
              <w:t>1500 MW supplémentaires de capacité SER installés.</w:t>
            </w:r>
          </w:p>
        </w:tc>
      </w:tr>
      <w:tr w:rsidR="00553430" w14:paraId="5F72B766" w14:textId="77777777">
        <w:trPr>
          <w:trHeight w:val="51"/>
        </w:trPr>
        <w:tc>
          <w:tcPr>
            <w:tcW w:w="1096" w:type="dxa"/>
            <w:shd w:val="clear" w:color="auto" w:fill="C6EFCE"/>
            <w:vAlign w:val="center"/>
          </w:tcPr>
          <w:p w14:paraId="7BA949CE" w14:textId="77777777" w:rsidR="00553430" w:rsidRDefault="00212577">
            <w:pPr>
              <w:pStyle w:val="P68B1DB1-Normal102"/>
              <w:spacing w:after="0" w:line="240" w:lineRule="auto"/>
              <w:jc w:val="center"/>
              <w:textAlignment w:val="baseline"/>
              <w:rPr>
                <w:noProof/>
              </w:rPr>
            </w:pPr>
            <w:r>
              <w:rPr>
                <w:noProof/>
              </w:rPr>
              <w:t>43</w:t>
            </w:r>
          </w:p>
        </w:tc>
        <w:tc>
          <w:tcPr>
            <w:tcW w:w="1639" w:type="dxa"/>
            <w:shd w:val="clear" w:color="auto" w:fill="C6EFCE"/>
            <w:vAlign w:val="center"/>
          </w:tcPr>
          <w:p w14:paraId="28815175" w14:textId="77777777" w:rsidR="00553430" w:rsidRDefault="00212577">
            <w:pPr>
              <w:pStyle w:val="P68B1DB1-Normal102"/>
              <w:spacing w:after="0" w:line="240" w:lineRule="auto"/>
              <w:jc w:val="center"/>
              <w:textAlignment w:val="baseline"/>
              <w:rPr>
                <w:noProof/>
              </w:rPr>
            </w:pPr>
            <w:r>
              <w:rPr>
                <w:noProof/>
              </w:rPr>
              <w:t>C1.2. R1-I1</w:t>
            </w:r>
          </w:p>
        </w:tc>
        <w:tc>
          <w:tcPr>
            <w:tcW w:w="1274" w:type="dxa"/>
            <w:shd w:val="clear" w:color="auto" w:fill="C6EFCE"/>
            <w:vAlign w:val="center"/>
          </w:tcPr>
          <w:p w14:paraId="041EC575"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B89C5B7" w14:textId="77777777" w:rsidR="00553430" w:rsidRDefault="00212577">
            <w:pPr>
              <w:pStyle w:val="P68B1DB1-Normal102"/>
              <w:spacing w:after="0" w:line="240" w:lineRule="auto"/>
              <w:textAlignment w:val="baseline"/>
              <w:rPr>
                <w:noProof/>
              </w:rPr>
            </w:pPr>
            <w:r>
              <w:rPr>
                <w:noProof/>
              </w:rPr>
              <w:t>Nombre de compteurs intelligents installés</w:t>
            </w:r>
          </w:p>
        </w:tc>
      </w:tr>
      <w:tr w:rsidR="00553430" w14:paraId="425E2DC6" w14:textId="77777777">
        <w:trPr>
          <w:trHeight w:val="51"/>
        </w:trPr>
        <w:tc>
          <w:tcPr>
            <w:tcW w:w="1096" w:type="dxa"/>
            <w:shd w:val="clear" w:color="auto" w:fill="C6EFCE"/>
            <w:vAlign w:val="center"/>
          </w:tcPr>
          <w:p w14:paraId="4EF2AD8E" w14:textId="77777777" w:rsidR="00553430" w:rsidRDefault="00212577">
            <w:pPr>
              <w:pStyle w:val="P68B1DB1-Normal102"/>
              <w:spacing w:after="0" w:line="240" w:lineRule="auto"/>
              <w:jc w:val="center"/>
              <w:textAlignment w:val="baseline"/>
              <w:rPr>
                <w:noProof/>
              </w:rPr>
            </w:pPr>
            <w:r>
              <w:rPr>
                <w:noProof/>
              </w:rPr>
              <w:t>47</w:t>
            </w:r>
          </w:p>
        </w:tc>
        <w:tc>
          <w:tcPr>
            <w:tcW w:w="1639" w:type="dxa"/>
            <w:shd w:val="clear" w:color="auto" w:fill="C6EFCE"/>
            <w:vAlign w:val="center"/>
          </w:tcPr>
          <w:p w14:paraId="4EF8F0D5" w14:textId="77777777" w:rsidR="00553430" w:rsidRDefault="00212577">
            <w:pPr>
              <w:pStyle w:val="P68B1DB1-Normal102"/>
              <w:spacing w:after="0" w:line="240" w:lineRule="auto"/>
              <w:jc w:val="center"/>
              <w:textAlignment w:val="baseline"/>
              <w:rPr>
                <w:noProof/>
              </w:rPr>
            </w:pPr>
            <w:r>
              <w:rPr>
                <w:noProof/>
              </w:rPr>
              <w:t>C1.2. R1-I2</w:t>
            </w:r>
          </w:p>
        </w:tc>
        <w:tc>
          <w:tcPr>
            <w:tcW w:w="1274" w:type="dxa"/>
            <w:shd w:val="clear" w:color="auto" w:fill="C6EFCE"/>
            <w:vAlign w:val="center"/>
          </w:tcPr>
          <w:p w14:paraId="3F3C09D3"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D51B373" w14:textId="77777777" w:rsidR="00553430" w:rsidRDefault="00212577">
            <w:pPr>
              <w:pStyle w:val="P68B1DB1-Normal102"/>
              <w:spacing w:after="0" w:line="240" w:lineRule="auto"/>
              <w:textAlignment w:val="baseline"/>
              <w:rPr>
                <w:noProof/>
              </w:rPr>
            </w:pPr>
            <w:r>
              <w:rPr>
                <w:noProof/>
              </w:rPr>
              <w:t xml:space="preserve">Contrats signés pour l'exploration du potentiel géothermique </w:t>
            </w:r>
          </w:p>
        </w:tc>
      </w:tr>
      <w:tr w:rsidR="00553430" w14:paraId="405E6BDB" w14:textId="77777777">
        <w:trPr>
          <w:trHeight w:val="51"/>
        </w:trPr>
        <w:tc>
          <w:tcPr>
            <w:tcW w:w="1096" w:type="dxa"/>
            <w:shd w:val="clear" w:color="auto" w:fill="C6EFCE"/>
            <w:vAlign w:val="center"/>
          </w:tcPr>
          <w:p w14:paraId="320EED75" w14:textId="77777777" w:rsidR="00553430" w:rsidRDefault="00212577">
            <w:pPr>
              <w:pStyle w:val="P68B1DB1-Normal102"/>
              <w:spacing w:after="0" w:line="240" w:lineRule="auto"/>
              <w:jc w:val="center"/>
              <w:textAlignment w:val="baseline"/>
              <w:rPr>
                <w:noProof/>
              </w:rPr>
            </w:pPr>
            <w:r>
              <w:rPr>
                <w:noProof/>
              </w:rPr>
              <w:t>61</w:t>
            </w:r>
          </w:p>
        </w:tc>
        <w:tc>
          <w:tcPr>
            <w:tcW w:w="1639" w:type="dxa"/>
            <w:shd w:val="clear" w:color="auto" w:fill="C6EFCE"/>
            <w:vAlign w:val="center"/>
          </w:tcPr>
          <w:p w14:paraId="01B863E5" w14:textId="77777777" w:rsidR="00553430" w:rsidRDefault="00212577">
            <w:pPr>
              <w:pStyle w:val="P68B1DB1-Normal102"/>
              <w:spacing w:after="0" w:line="240" w:lineRule="auto"/>
              <w:jc w:val="center"/>
              <w:textAlignment w:val="baseline"/>
              <w:rPr>
                <w:noProof/>
              </w:rPr>
            </w:pPr>
            <w:r>
              <w:rPr>
                <w:noProof/>
              </w:rPr>
              <w:t>C1.3. R1</w:t>
            </w:r>
          </w:p>
        </w:tc>
        <w:tc>
          <w:tcPr>
            <w:tcW w:w="1274" w:type="dxa"/>
            <w:shd w:val="clear" w:color="auto" w:fill="C6EFCE"/>
            <w:vAlign w:val="center"/>
          </w:tcPr>
          <w:p w14:paraId="19DCF91F"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D4DE531" w14:textId="4F37C2C0" w:rsidR="00553430" w:rsidRDefault="00212577">
            <w:pPr>
              <w:pStyle w:val="P68B1DB1-Normal102"/>
              <w:spacing w:after="0" w:line="240" w:lineRule="auto"/>
              <w:textAlignment w:val="baseline"/>
              <w:rPr>
                <w:noProof/>
              </w:rPr>
            </w:pPr>
            <w:r>
              <w:rPr>
                <w:noProof/>
              </w:rPr>
              <w:t xml:space="preserve">Intégration des prestataires de services d'eau </w:t>
            </w:r>
          </w:p>
        </w:tc>
      </w:tr>
      <w:tr w:rsidR="00553430" w14:paraId="3F7FA88A" w14:textId="77777777">
        <w:trPr>
          <w:trHeight w:val="51"/>
        </w:trPr>
        <w:tc>
          <w:tcPr>
            <w:tcW w:w="1096" w:type="dxa"/>
            <w:shd w:val="clear" w:color="auto" w:fill="C6EFCE"/>
            <w:vAlign w:val="center"/>
          </w:tcPr>
          <w:p w14:paraId="015C8F59" w14:textId="77777777" w:rsidR="00553430" w:rsidRDefault="00212577">
            <w:pPr>
              <w:pStyle w:val="P68B1DB1-Normal102"/>
              <w:spacing w:after="0" w:line="240" w:lineRule="auto"/>
              <w:jc w:val="center"/>
              <w:textAlignment w:val="baseline"/>
              <w:rPr>
                <w:noProof/>
              </w:rPr>
            </w:pPr>
            <w:r>
              <w:rPr>
                <w:noProof/>
              </w:rPr>
              <w:t>85</w:t>
            </w:r>
          </w:p>
        </w:tc>
        <w:tc>
          <w:tcPr>
            <w:tcW w:w="1639" w:type="dxa"/>
            <w:shd w:val="clear" w:color="auto" w:fill="C6EFCE"/>
            <w:vAlign w:val="center"/>
          </w:tcPr>
          <w:p w14:paraId="56F3F431" w14:textId="77777777" w:rsidR="00553430" w:rsidRDefault="00212577">
            <w:pPr>
              <w:pStyle w:val="P68B1DB1-Normal102"/>
              <w:spacing w:after="0" w:line="240" w:lineRule="auto"/>
              <w:jc w:val="center"/>
              <w:textAlignment w:val="baseline"/>
              <w:rPr>
                <w:noProof/>
              </w:rPr>
            </w:pPr>
            <w:r>
              <w:rPr>
                <w:noProof/>
              </w:rPr>
              <w:t>C1.3. R2</w:t>
            </w:r>
          </w:p>
        </w:tc>
        <w:tc>
          <w:tcPr>
            <w:tcW w:w="1274" w:type="dxa"/>
            <w:shd w:val="clear" w:color="auto" w:fill="C6EFCE"/>
            <w:vAlign w:val="center"/>
          </w:tcPr>
          <w:p w14:paraId="67EBD1BE"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CDA5870" w14:textId="77777777" w:rsidR="00553430" w:rsidRDefault="00212577">
            <w:pPr>
              <w:pStyle w:val="P68B1DB1-Normal102"/>
              <w:spacing w:after="0" w:line="240" w:lineRule="auto"/>
              <w:textAlignment w:val="baseline"/>
              <w:rPr>
                <w:noProof/>
              </w:rPr>
            </w:pPr>
            <w:r>
              <w:rPr>
                <w:noProof/>
              </w:rPr>
              <w:t>Réduction de la part des déchets municipaux destinés à être éliminés (51 %)</w:t>
            </w:r>
          </w:p>
        </w:tc>
      </w:tr>
      <w:tr w:rsidR="00553430" w14:paraId="0D6E077E" w14:textId="77777777">
        <w:trPr>
          <w:trHeight w:val="51"/>
        </w:trPr>
        <w:tc>
          <w:tcPr>
            <w:tcW w:w="1096" w:type="dxa"/>
            <w:shd w:val="clear" w:color="auto" w:fill="C6EFCE"/>
            <w:vAlign w:val="center"/>
          </w:tcPr>
          <w:p w14:paraId="1F718688" w14:textId="77777777" w:rsidR="00553430" w:rsidRDefault="00212577">
            <w:pPr>
              <w:pStyle w:val="P68B1DB1-Normal102"/>
              <w:spacing w:after="0" w:line="240" w:lineRule="auto"/>
              <w:jc w:val="center"/>
              <w:textAlignment w:val="baseline"/>
              <w:rPr>
                <w:noProof/>
              </w:rPr>
            </w:pPr>
            <w:r>
              <w:rPr>
                <w:noProof/>
              </w:rPr>
              <w:t>96</w:t>
            </w:r>
          </w:p>
        </w:tc>
        <w:tc>
          <w:tcPr>
            <w:tcW w:w="1639" w:type="dxa"/>
            <w:shd w:val="clear" w:color="auto" w:fill="C6EFCE"/>
            <w:vAlign w:val="center"/>
          </w:tcPr>
          <w:p w14:paraId="6142E56C" w14:textId="77777777" w:rsidR="00553430" w:rsidRDefault="00212577">
            <w:pPr>
              <w:pStyle w:val="P68B1DB1-Normal102"/>
              <w:spacing w:after="0" w:line="240" w:lineRule="auto"/>
              <w:jc w:val="center"/>
              <w:textAlignment w:val="baseline"/>
              <w:rPr>
                <w:noProof/>
              </w:rPr>
            </w:pPr>
            <w:r>
              <w:rPr>
                <w:noProof/>
              </w:rPr>
              <w:t>C1.4. R1-I4</w:t>
            </w:r>
          </w:p>
        </w:tc>
        <w:tc>
          <w:tcPr>
            <w:tcW w:w="1274" w:type="dxa"/>
            <w:shd w:val="clear" w:color="auto" w:fill="C6EFCE"/>
            <w:vAlign w:val="center"/>
          </w:tcPr>
          <w:p w14:paraId="5E684E27"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628B19EA" w14:textId="77777777" w:rsidR="00553430" w:rsidRDefault="00212577">
            <w:pPr>
              <w:pStyle w:val="P68B1DB1-Normal102"/>
              <w:spacing w:after="0" w:line="240" w:lineRule="auto"/>
              <w:textAlignment w:val="baseline"/>
              <w:rPr>
                <w:noProof/>
              </w:rPr>
            </w:pPr>
            <w:r>
              <w:rPr>
                <w:noProof/>
              </w:rPr>
              <w:t xml:space="preserve">Mise en place d'un </w:t>
            </w:r>
            <w:r>
              <w:rPr>
                <w:noProof/>
              </w:rPr>
              <w:t>système efficace de contrôle des rapports pour le transport routier de voyageurs et de marchandises</w:t>
            </w:r>
          </w:p>
        </w:tc>
      </w:tr>
      <w:tr w:rsidR="00553430" w14:paraId="6B51D55B" w14:textId="77777777">
        <w:trPr>
          <w:trHeight w:val="51"/>
        </w:trPr>
        <w:tc>
          <w:tcPr>
            <w:tcW w:w="1096" w:type="dxa"/>
            <w:shd w:val="clear" w:color="auto" w:fill="C6EFCE"/>
            <w:vAlign w:val="center"/>
          </w:tcPr>
          <w:p w14:paraId="51222C50" w14:textId="77777777" w:rsidR="00553430" w:rsidRDefault="00212577">
            <w:pPr>
              <w:pStyle w:val="P68B1DB1-Normal102"/>
              <w:spacing w:after="0" w:line="240" w:lineRule="auto"/>
              <w:jc w:val="center"/>
              <w:textAlignment w:val="baseline"/>
              <w:rPr>
                <w:noProof/>
              </w:rPr>
            </w:pPr>
            <w:r>
              <w:rPr>
                <w:noProof/>
              </w:rPr>
              <w:t>100</w:t>
            </w:r>
          </w:p>
        </w:tc>
        <w:tc>
          <w:tcPr>
            <w:tcW w:w="1639" w:type="dxa"/>
            <w:shd w:val="clear" w:color="auto" w:fill="C6EFCE"/>
            <w:vAlign w:val="center"/>
          </w:tcPr>
          <w:p w14:paraId="270AD41A" w14:textId="77777777" w:rsidR="00553430" w:rsidRDefault="00212577">
            <w:pPr>
              <w:pStyle w:val="P68B1DB1-Normal102"/>
              <w:spacing w:after="0" w:line="240" w:lineRule="auto"/>
              <w:jc w:val="center"/>
              <w:textAlignment w:val="baseline"/>
              <w:rPr>
                <w:noProof/>
              </w:rPr>
            </w:pPr>
            <w:r>
              <w:rPr>
                <w:noProof/>
              </w:rPr>
              <w:t>C1.4. R2</w:t>
            </w:r>
          </w:p>
        </w:tc>
        <w:tc>
          <w:tcPr>
            <w:tcW w:w="1274" w:type="dxa"/>
            <w:shd w:val="clear" w:color="auto" w:fill="C6EFCE"/>
            <w:vAlign w:val="center"/>
          </w:tcPr>
          <w:p w14:paraId="6577B785"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CC84D7F" w14:textId="77777777" w:rsidR="00553430" w:rsidRDefault="00212577">
            <w:pPr>
              <w:pStyle w:val="P68B1DB1-Normal102"/>
              <w:spacing w:after="0" w:line="240" w:lineRule="auto"/>
              <w:textAlignment w:val="baseline"/>
              <w:rPr>
                <w:noProof/>
              </w:rPr>
            </w:pPr>
            <w:r>
              <w:rPr>
                <w:noProof/>
              </w:rPr>
              <w:t>Réorganisation des entreprises ferroviaires et gestion des affaires</w:t>
            </w:r>
          </w:p>
        </w:tc>
      </w:tr>
      <w:tr w:rsidR="00553430" w14:paraId="723BBC69" w14:textId="77777777">
        <w:trPr>
          <w:trHeight w:val="51"/>
        </w:trPr>
        <w:tc>
          <w:tcPr>
            <w:tcW w:w="1096" w:type="dxa"/>
            <w:shd w:val="clear" w:color="auto" w:fill="C6EFCE"/>
            <w:vAlign w:val="center"/>
          </w:tcPr>
          <w:p w14:paraId="3D72E431" w14:textId="77777777" w:rsidR="00553430" w:rsidRDefault="00212577">
            <w:pPr>
              <w:pStyle w:val="P68B1DB1-Normal102"/>
              <w:spacing w:after="0" w:line="240" w:lineRule="auto"/>
              <w:jc w:val="center"/>
              <w:textAlignment w:val="baseline"/>
              <w:rPr>
                <w:noProof/>
              </w:rPr>
            </w:pPr>
            <w:r>
              <w:rPr>
                <w:noProof/>
              </w:rPr>
              <w:t>105</w:t>
            </w:r>
          </w:p>
        </w:tc>
        <w:tc>
          <w:tcPr>
            <w:tcW w:w="1639" w:type="dxa"/>
            <w:shd w:val="clear" w:color="auto" w:fill="C6EFCE"/>
            <w:vAlign w:val="center"/>
          </w:tcPr>
          <w:p w14:paraId="7BA9076F" w14:textId="77777777" w:rsidR="00553430" w:rsidRDefault="00212577">
            <w:pPr>
              <w:pStyle w:val="P68B1DB1-Normal102"/>
              <w:spacing w:after="0" w:line="240" w:lineRule="auto"/>
              <w:jc w:val="center"/>
              <w:textAlignment w:val="baseline"/>
              <w:rPr>
                <w:noProof/>
              </w:rPr>
            </w:pPr>
            <w:r>
              <w:rPr>
                <w:noProof/>
              </w:rPr>
              <w:t>C1.4. R2-I4</w:t>
            </w:r>
          </w:p>
        </w:tc>
        <w:tc>
          <w:tcPr>
            <w:tcW w:w="1274" w:type="dxa"/>
            <w:shd w:val="clear" w:color="auto" w:fill="C6EFCE"/>
            <w:vAlign w:val="center"/>
          </w:tcPr>
          <w:p w14:paraId="1E8F3326"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6A9FC2A" w14:textId="451F2206" w:rsidR="00553430" w:rsidRDefault="00212577">
            <w:pPr>
              <w:pStyle w:val="P68B1DB1-Normal102"/>
              <w:spacing w:after="0" w:line="240" w:lineRule="auto"/>
              <w:textAlignment w:val="baseline"/>
              <w:rPr>
                <w:noProof/>
              </w:rPr>
            </w:pPr>
            <w:r>
              <w:rPr>
                <w:noProof/>
              </w:rPr>
              <w:t xml:space="preserve">Ligne ferroviaire à double voie à Zagreb Kustošija - </w:t>
            </w:r>
            <w:r>
              <w:rPr>
                <w:noProof/>
              </w:rPr>
              <w:t>ZG Zapadni Kolodvor - Zagreb Glavni Kolodvor pour une longueur de 3,4 km reconstruite et modernisée</w:t>
            </w:r>
          </w:p>
        </w:tc>
      </w:tr>
      <w:tr w:rsidR="00553430" w14:paraId="5FD124DA" w14:textId="77777777">
        <w:trPr>
          <w:trHeight w:val="51"/>
        </w:trPr>
        <w:tc>
          <w:tcPr>
            <w:tcW w:w="1096" w:type="dxa"/>
            <w:shd w:val="clear" w:color="auto" w:fill="C6EFCE"/>
            <w:vAlign w:val="center"/>
          </w:tcPr>
          <w:p w14:paraId="78B7EA5F" w14:textId="77777777" w:rsidR="00553430" w:rsidRDefault="00212577">
            <w:pPr>
              <w:pStyle w:val="P68B1DB1-Normal102"/>
              <w:spacing w:after="0" w:line="240" w:lineRule="auto"/>
              <w:jc w:val="center"/>
              <w:textAlignment w:val="baseline"/>
              <w:rPr>
                <w:noProof/>
              </w:rPr>
            </w:pPr>
            <w:r>
              <w:rPr>
                <w:noProof/>
              </w:rPr>
              <w:t>118</w:t>
            </w:r>
          </w:p>
        </w:tc>
        <w:tc>
          <w:tcPr>
            <w:tcW w:w="1639" w:type="dxa"/>
            <w:shd w:val="clear" w:color="auto" w:fill="C6EFCE"/>
            <w:vAlign w:val="center"/>
          </w:tcPr>
          <w:p w14:paraId="42A743CF" w14:textId="77777777" w:rsidR="00553430" w:rsidRDefault="00212577">
            <w:pPr>
              <w:pStyle w:val="P68B1DB1-Normal102"/>
              <w:spacing w:after="0" w:line="240" w:lineRule="auto"/>
              <w:jc w:val="center"/>
              <w:textAlignment w:val="baseline"/>
              <w:rPr>
                <w:noProof/>
              </w:rPr>
            </w:pPr>
            <w:r>
              <w:rPr>
                <w:noProof/>
              </w:rPr>
              <w:t>C1.4. R5-I1</w:t>
            </w:r>
          </w:p>
        </w:tc>
        <w:tc>
          <w:tcPr>
            <w:tcW w:w="1274" w:type="dxa"/>
            <w:shd w:val="clear" w:color="auto" w:fill="C6EFCE"/>
            <w:vAlign w:val="center"/>
          </w:tcPr>
          <w:p w14:paraId="25E13B6F"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CB1E5FE" w14:textId="77777777" w:rsidR="00553430" w:rsidRDefault="00212577">
            <w:pPr>
              <w:pStyle w:val="P68B1DB1-Normal102"/>
              <w:spacing w:after="0" w:line="240" w:lineRule="auto"/>
              <w:textAlignment w:val="baseline"/>
              <w:rPr>
                <w:noProof/>
              </w:rPr>
            </w:pPr>
            <w:r>
              <w:rPr>
                <w:noProof/>
              </w:rPr>
              <w:t>Électrification et écologisation du système de manutention au sol des avions à l'aéroport de Zadar</w:t>
            </w:r>
          </w:p>
        </w:tc>
      </w:tr>
      <w:tr w:rsidR="00553430" w14:paraId="1EC5BEBC" w14:textId="77777777">
        <w:trPr>
          <w:trHeight w:val="51"/>
        </w:trPr>
        <w:tc>
          <w:tcPr>
            <w:tcW w:w="1096" w:type="dxa"/>
            <w:shd w:val="clear" w:color="auto" w:fill="C6EFCE"/>
            <w:vAlign w:val="center"/>
          </w:tcPr>
          <w:p w14:paraId="757FA864" w14:textId="77777777" w:rsidR="00553430" w:rsidRDefault="00212577">
            <w:pPr>
              <w:pStyle w:val="P68B1DB1-Normal102"/>
              <w:spacing w:after="0" w:line="240" w:lineRule="auto"/>
              <w:jc w:val="center"/>
              <w:rPr>
                <w:noProof/>
                <w:color w:val="000000" w:themeColor="text1"/>
              </w:rPr>
            </w:pPr>
            <w:r>
              <w:rPr>
                <w:noProof/>
              </w:rPr>
              <w:t>135</w:t>
            </w:r>
          </w:p>
        </w:tc>
        <w:tc>
          <w:tcPr>
            <w:tcW w:w="1639" w:type="dxa"/>
            <w:shd w:val="clear" w:color="auto" w:fill="C6EFCE"/>
            <w:vAlign w:val="center"/>
          </w:tcPr>
          <w:p w14:paraId="3D6C056E" w14:textId="77777777" w:rsidR="00553430" w:rsidRDefault="00212577">
            <w:pPr>
              <w:pStyle w:val="P68B1DB1-Normal102"/>
              <w:spacing w:after="0" w:line="240" w:lineRule="auto"/>
              <w:jc w:val="center"/>
              <w:rPr>
                <w:noProof/>
                <w:color w:val="000000" w:themeColor="text1"/>
              </w:rPr>
            </w:pPr>
            <w:r>
              <w:rPr>
                <w:noProof/>
              </w:rPr>
              <w:t>C1.5. R3-I1</w:t>
            </w:r>
          </w:p>
        </w:tc>
        <w:tc>
          <w:tcPr>
            <w:tcW w:w="1274" w:type="dxa"/>
            <w:shd w:val="clear" w:color="auto" w:fill="C6EFCE"/>
            <w:vAlign w:val="center"/>
          </w:tcPr>
          <w:p w14:paraId="74192599" w14:textId="77777777" w:rsidR="00553430" w:rsidRDefault="00212577">
            <w:pPr>
              <w:pStyle w:val="P68B1DB1-Normal102"/>
              <w:spacing w:after="0" w:line="240" w:lineRule="auto"/>
              <w:jc w:val="center"/>
              <w:rPr>
                <w:noProof/>
                <w:color w:val="000000" w:themeColor="text1"/>
              </w:rPr>
            </w:pPr>
            <w:r>
              <w:rPr>
                <w:noProof/>
              </w:rPr>
              <w:t>T</w:t>
            </w:r>
          </w:p>
        </w:tc>
        <w:tc>
          <w:tcPr>
            <w:tcW w:w="5347" w:type="dxa"/>
            <w:shd w:val="clear" w:color="auto" w:fill="C6EFCE"/>
            <w:vAlign w:val="center"/>
          </w:tcPr>
          <w:p w14:paraId="03C45A38" w14:textId="77777777" w:rsidR="00553430" w:rsidRDefault="00212577">
            <w:pPr>
              <w:pStyle w:val="P68B1DB1-Normal102"/>
              <w:spacing w:after="0" w:line="240" w:lineRule="auto"/>
              <w:rPr>
                <w:noProof/>
                <w:color w:val="000000" w:themeColor="text1"/>
              </w:rPr>
            </w:pPr>
            <w:r>
              <w:rPr>
                <w:noProof/>
              </w:rPr>
              <w:t xml:space="preserve">Numérisation d’au </w:t>
            </w:r>
            <w:r>
              <w:rPr>
                <w:noProof/>
              </w:rPr>
              <w:t>moins 30 services publics dans l’agriculture énumérés dans le plan d’action pour la transformation numérique des services publics agricoles</w:t>
            </w:r>
          </w:p>
        </w:tc>
      </w:tr>
      <w:tr w:rsidR="00553430" w14:paraId="3E4B5644" w14:textId="77777777">
        <w:trPr>
          <w:trHeight w:val="51"/>
        </w:trPr>
        <w:tc>
          <w:tcPr>
            <w:tcW w:w="1096" w:type="dxa"/>
            <w:shd w:val="clear" w:color="auto" w:fill="C6EFCE"/>
            <w:vAlign w:val="center"/>
          </w:tcPr>
          <w:p w14:paraId="2332E21A" w14:textId="77777777" w:rsidR="00553430" w:rsidRDefault="00212577">
            <w:pPr>
              <w:pStyle w:val="P68B1DB1-Normal102"/>
              <w:spacing w:after="0" w:line="240" w:lineRule="auto"/>
              <w:jc w:val="center"/>
              <w:textAlignment w:val="baseline"/>
              <w:rPr>
                <w:noProof/>
              </w:rPr>
            </w:pPr>
            <w:r>
              <w:rPr>
                <w:noProof/>
              </w:rPr>
              <w:t>137</w:t>
            </w:r>
          </w:p>
        </w:tc>
        <w:tc>
          <w:tcPr>
            <w:tcW w:w="1639" w:type="dxa"/>
            <w:shd w:val="clear" w:color="auto" w:fill="C6EFCE"/>
            <w:vAlign w:val="center"/>
          </w:tcPr>
          <w:p w14:paraId="7218D4F0" w14:textId="77777777" w:rsidR="00553430" w:rsidRDefault="00212577">
            <w:pPr>
              <w:pStyle w:val="P68B1DB1-Normal102"/>
              <w:spacing w:after="0" w:line="240" w:lineRule="auto"/>
              <w:jc w:val="center"/>
              <w:textAlignment w:val="baseline"/>
              <w:rPr>
                <w:noProof/>
              </w:rPr>
            </w:pPr>
            <w:r>
              <w:rPr>
                <w:noProof/>
              </w:rPr>
              <w:t>C1.5. R3-I3</w:t>
            </w:r>
          </w:p>
        </w:tc>
        <w:tc>
          <w:tcPr>
            <w:tcW w:w="1274" w:type="dxa"/>
            <w:shd w:val="clear" w:color="auto" w:fill="C6EFCE"/>
            <w:vAlign w:val="center"/>
          </w:tcPr>
          <w:p w14:paraId="3DADDEB1"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2450E88" w14:textId="77777777" w:rsidR="00553430" w:rsidRDefault="00212577">
            <w:pPr>
              <w:pStyle w:val="P68B1DB1-Normal102"/>
              <w:spacing w:after="0" w:line="240" w:lineRule="auto"/>
              <w:textAlignment w:val="baseline"/>
              <w:rPr>
                <w:noProof/>
              </w:rPr>
            </w:pPr>
            <w:r>
              <w:rPr>
                <w:noProof/>
              </w:rPr>
              <w:t>Mise en place d'un système d'information sur la traçabilité</w:t>
            </w:r>
          </w:p>
        </w:tc>
      </w:tr>
      <w:tr w:rsidR="00553430" w14:paraId="0355F310" w14:textId="77777777">
        <w:trPr>
          <w:trHeight w:val="51"/>
        </w:trPr>
        <w:tc>
          <w:tcPr>
            <w:tcW w:w="1096" w:type="dxa"/>
            <w:shd w:val="clear" w:color="auto" w:fill="C6EFCE"/>
            <w:vAlign w:val="center"/>
          </w:tcPr>
          <w:p w14:paraId="6B3946E4" w14:textId="77777777" w:rsidR="00553430" w:rsidRDefault="00212577">
            <w:pPr>
              <w:pStyle w:val="P68B1DB1-Normal102"/>
              <w:spacing w:after="0" w:line="240" w:lineRule="auto"/>
              <w:jc w:val="center"/>
              <w:textAlignment w:val="baseline"/>
              <w:rPr>
                <w:noProof/>
              </w:rPr>
            </w:pPr>
            <w:r>
              <w:rPr>
                <w:noProof/>
              </w:rPr>
              <w:t>148</w:t>
            </w:r>
          </w:p>
        </w:tc>
        <w:tc>
          <w:tcPr>
            <w:tcW w:w="1639" w:type="dxa"/>
            <w:shd w:val="clear" w:color="auto" w:fill="C6EFCE"/>
            <w:vAlign w:val="center"/>
          </w:tcPr>
          <w:p w14:paraId="0F619104" w14:textId="77777777" w:rsidR="00553430" w:rsidRDefault="00212577">
            <w:pPr>
              <w:pStyle w:val="P68B1DB1-Normal102"/>
              <w:spacing w:after="0" w:line="240" w:lineRule="auto"/>
              <w:jc w:val="center"/>
              <w:textAlignment w:val="baseline"/>
              <w:rPr>
                <w:noProof/>
              </w:rPr>
            </w:pPr>
            <w:r>
              <w:rPr>
                <w:noProof/>
              </w:rPr>
              <w:t>C1.6. R1-I3</w:t>
            </w:r>
          </w:p>
        </w:tc>
        <w:tc>
          <w:tcPr>
            <w:tcW w:w="1274" w:type="dxa"/>
            <w:shd w:val="clear" w:color="auto" w:fill="C6EFCE"/>
            <w:vAlign w:val="center"/>
          </w:tcPr>
          <w:p w14:paraId="2D05076B"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4FA59DB" w14:textId="77777777" w:rsidR="00553430" w:rsidRDefault="00212577">
            <w:pPr>
              <w:pStyle w:val="P68B1DB1-Normal102"/>
              <w:spacing w:after="0" w:line="240" w:lineRule="auto"/>
              <w:textAlignment w:val="baseline"/>
              <w:rPr>
                <w:noProof/>
              </w:rPr>
            </w:pPr>
            <w:r>
              <w:rPr>
                <w:noProof/>
              </w:rPr>
              <w:t xml:space="preserve">Programmes </w:t>
            </w:r>
            <w:r>
              <w:rPr>
                <w:noProof/>
              </w:rPr>
              <w:t>éducatifs visant à renforcer les connaissances et les compétences en matière de tourisme</w:t>
            </w:r>
          </w:p>
        </w:tc>
      </w:tr>
      <w:tr w:rsidR="00553430" w14:paraId="707EB616" w14:textId="77777777">
        <w:trPr>
          <w:trHeight w:val="51"/>
        </w:trPr>
        <w:tc>
          <w:tcPr>
            <w:tcW w:w="1096" w:type="dxa"/>
            <w:shd w:val="clear" w:color="auto" w:fill="C6EFCE"/>
            <w:vAlign w:val="center"/>
          </w:tcPr>
          <w:p w14:paraId="135A71C0" w14:textId="77777777" w:rsidR="00553430" w:rsidRDefault="00212577">
            <w:pPr>
              <w:pStyle w:val="P68B1DB1-Normal102"/>
              <w:spacing w:after="0" w:line="240" w:lineRule="auto"/>
              <w:jc w:val="center"/>
              <w:textAlignment w:val="baseline"/>
              <w:rPr>
                <w:noProof/>
              </w:rPr>
            </w:pPr>
            <w:r>
              <w:rPr>
                <w:noProof/>
              </w:rPr>
              <w:t>164</w:t>
            </w:r>
          </w:p>
        </w:tc>
        <w:tc>
          <w:tcPr>
            <w:tcW w:w="1639" w:type="dxa"/>
            <w:shd w:val="clear" w:color="auto" w:fill="C6EFCE"/>
            <w:vAlign w:val="center"/>
          </w:tcPr>
          <w:p w14:paraId="0FCA8A6D" w14:textId="77777777" w:rsidR="00553430" w:rsidRDefault="00212577">
            <w:pPr>
              <w:pStyle w:val="P68B1DB1-Normal102"/>
              <w:spacing w:after="0" w:line="240" w:lineRule="auto"/>
              <w:jc w:val="center"/>
              <w:textAlignment w:val="baseline"/>
              <w:rPr>
                <w:noProof/>
              </w:rPr>
            </w:pPr>
            <w:r>
              <w:rPr>
                <w:noProof/>
              </w:rPr>
              <w:t>C2.2. R1-I1</w:t>
            </w:r>
          </w:p>
        </w:tc>
        <w:tc>
          <w:tcPr>
            <w:tcW w:w="1274" w:type="dxa"/>
            <w:shd w:val="clear" w:color="auto" w:fill="C6EFCE"/>
            <w:vAlign w:val="center"/>
          </w:tcPr>
          <w:p w14:paraId="682D297F"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79DEC4B" w14:textId="77777777" w:rsidR="00553430" w:rsidRDefault="00212577">
            <w:pPr>
              <w:pStyle w:val="P68B1DB1-Normal102"/>
              <w:spacing w:after="0" w:line="240" w:lineRule="auto"/>
              <w:textAlignment w:val="baseline"/>
              <w:rPr>
                <w:noProof/>
              </w:rPr>
            </w:pPr>
            <w:r>
              <w:rPr>
                <w:noProof/>
              </w:rPr>
              <w:t>100 % de tous les fonctionnaires permanents nouvellement recrutés au sein d’organismes gouvernementaux sont employés exclusivement au moyen d’un nou</w:t>
            </w:r>
            <w:r>
              <w:rPr>
                <w:noProof/>
              </w:rPr>
              <w:t>veau système de sélection et de recrutement centralisé, numérisé et normalisé, disponible au moyen d’une plateforme informatique nouvellement développée.</w:t>
            </w:r>
          </w:p>
        </w:tc>
      </w:tr>
      <w:tr w:rsidR="00553430" w14:paraId="4572CAC9" w14:textId="77777777">
        <w:trPr>
          <w:trHeight w:val="51"/>
        </w:trPr>
        <w:tc>
          <w:tcPr>
            <w:tcW w:w="1096" w:type="dxa"/>
            <w:shd w:val="clear" w:color="auto" w:fill="C6EFCE"/>
            <w:vAlign w:val="center"/>
          </w:tcPr>
          <w:p w14:paraId="481C56B7" w14:textId="77777777" w:rsidR="00553430" w:rsidRDefault="00212577">
            <w:pPr>
              <w:pStyle w:val="P68B1DB1-Normal102"/>
              <w:spacing w:after="0" w:line="240" w:lineRule="auto"/>
              <w:jc w:val="center"/>
              <w:textAlignment w:val="baseline"/>
              <w:rPr>
                <w:noProof/>
              </w:rPr>
            </w:pPr>
            <w:r>
              <w:rPr>
                <w:noProof/>
              </w:rPr>
              <w:t>178</w:t>
            </w:r>
          </w:p>
        </w:tc>
        <w:tc>
          <w:tcPr>
            <w:tcW w:w="1639" w:type="dxa"/>
            <w:shd w:val="clear" w:color="auto" w:fill="C6EFCE"/>
            <w:vAlign w:val="center"/>
          </w:tcPr>
          <w:p w14:paraId="0237738A" w14:textId="77777777" w:rsidR="00553430" w:rsidRDefault="00212577">
            <w:pPr>
              <w:pStyle w:val="P68B1DB1-Normal102"/>
              <w:spacing w:after="0" w:line="240" w:lineRule="auto"/>
              <w:jc w:val="center"/>
              <w:textAlignment w:val="baseline"/>
              <w:rPr>
                <w:noProof/>
              </w:rPr>
            </w:pPr>
            <w:r>
              <w:rPr>
                <w:noProof/>
              </w:rPr>
              <w:t>C2.3. R2-I1</w:t>
            </w:r>
          </w:p>
        </w:tc>
        <w:tc>
          <w:tcPr>
            <w:tcW w:w="1274" w:type="dxa"/>
            <w:shd w:val="clear" w:color="auto" w:fill="C6EFCE"/>
            <w:vAlign w:val="center"/>
          </w:tcPr>
          <w:p w14:paraId="24582C6F"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65AD53C0" w14:textId="77777777" w:rsidR="00553430" w:rsidRDefault="00212577">
            <w:pPr>
              <w:pStyle w:val="P68B1DB1-Normal102"/>
              <w:spacing w:after="0" w:line="240" w:lineRule="auto"/>
              <w:textAlignment w:val="baseline"/>
              <w:rPr>
                <w:noProof/>
              </w:rPr>
            </w:pPr>
            <w:r>
              <w:rPr>
                <w:noProof/>
              </w:rPr>
              <w:t>Mise en place du système central d'interopérabilité</w:t>
            </w:r>
          </w:p>
        </w:tc>
      </w:tr>
      <w:tr w:rsidR="00553430" w14:paraId="1A755590" w14:textId="77777777">
        <w:trPr>
          <w:trHeight w:val="51"/>
        </w:trPr>
        <w:tc>
          <w:tcPr>
            <w:tcW w:w="1096" w:type="dxa"/>
            <w:shd w:val="clear" w:color="auto" w:fill="C6EFCE"/>
            <w:vAlign w:val="center"/>
          </w:tcPr>
          <w:p w14:paraId="5FDA5949" w14:textId="77777777" w:rsidR="00553430" w:rsidRDefault="00212577">
            <w:pPr>
              <w:pStyle w:val="P68B1DB1-Normal102"/>
              <w:spacing w:after="0" w:line="240" w:lineRule="auto"/>
              <w:jc w:val="center"/>
              <w:textAlignment w:val="baseline"/>
              <w:rPr>
                <w:noProof/>
              </w:rPr>
            </w:pPr>
            <w:r>
              <w:rPr>
                <w:noProof/>
              </w:rPr>
              <w:t>185</w:t>
            </w:r>
          </w:p>
        </w:tc>
        <w:tc>
          <w:tcPr>
            <w:tcW w:w="1639" w:type="dxa"/>
            <w:shd w:val="clear" w:color="auto" w:fill="C6EFCE"/>
            <w:vAlign w:val="center"/>
          </w:tcPr>
          <w:p w14:paraId="56A01E4F" w14:textId="77777777" w:rsidR="00553430" w:rsidRDefault="00212577">
            <w:pPr>
              <w:pStyle w:val="P68B1DB1-Normal102"/>
              <w:spacing w:after="0" w:line="240" w:lineRule="auto"/>
              <w:jc w:val="center"/>
              <w:textAlignment w:val="baseline"/>
              <w:rPr>
                <w:noProof/>
              </w:rPr>
            </w:pPr>
            <w:r>
              <w:rPr>
                <w:noProof/>
              </w:rPr>
              <w:t>C2.3. R3-I5</w:t>
            </w:r>
          </w:p>
        </w:tc>
        <w:tc>
          <w:tcPr>
            <w:tcW w:w="1274" w:type="dxa"/>
            <w:shd w:val="clear" w:color="auto" w:fill="C6EFCE"/>
            <w:vAlign w:val="center"/>
          </w:tcPr>
          <w:p w14:paraId="57B79FE7"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A7E4DA4" w14:textId="77777777" w:rsidR="00553430" w:rsidRDefault="00212577">
            <w:pPr>
              <w:pStyle w:val="P68B1DB1-Normal102"/>
              <w:spacing w:after="0" w:line="240" w:lineRule="auto"/>
              <w:textAlignment w:val="baseline"/>
              <w:rPr>
                <w:noProof/>
              </w:rPr>
            </w:pPr>
            <w:r>
              <w:rPr>
                <w:noProof/>
              </w:rPr>
              <w:t xml:space="preserve">Signature </w:t>
            </w:r>
            <w:r>
              <w:rPr>
                <w:noProof/>
              </w:rPr>
              <w:t>électronique de la carte d’identité numérique</w:t>
            </w:r>
          </w:p>
        </w:tc>
      </w:tr>
      <w:tr w:rsidR="00553430" w14:paraId="391B8C1D" w14:textId="77777777">
        <w:trPr>
          <w:trHeight w:val="51"/>
        </w:trPr>
        <w:tc>
          <w:tcPr>
            <w:tcW w:w="1096" w:type="dxa"/>
            <w:shd w:val="clear" w:color="auto" w:fill="C6EFCE"/>
            <w:vAlign w:val="center"/>
          </w:tcPr>
          <w:p w14:paraId="226025A5" w14:textId="77777777" w:rsidR="00553430" w:rsidRDefault="00212577">
            <w:pPr>
              <w:pStyle w:val="P68B1DB1-Normal102"/>
              <w:spacing w:after="0" w:line="240" w:lineRule="auto"/>
              <w:jc w:val="center"/>
              <w:textAlignment w:val="baseline"/>
              <w:rPr>
                <w:noProof/>
              </w:rPr>
            </w:pPr>
            <w:r>
              <w:rPr>
                <w:noProof/>
              </w:rPr>
              <w:t>190</w:t>
            </w:r>
          </w:p>
        </w:tc>
        <w:tc>
          <w:tcPr>
            <w:tcW w:w="1639" w:type="dxa"/>
            <w:shd w:val="clear" w:color="auto" w:fill="C6EFCE"/>
            <w:vAlign w:val="center"/>
          </w:tcPr>
          <w:p w14:paraId="5D90E47C" w14:textId="77777777" w:rsidR="00553430" w:rsidRDefault="00212577">
            <w:pPr>
              <w:pStyle w:val="P68B1DB1-Normal102"/>
              <w:spacing w:after="0" w:line="240" w:lineRule="auto"/>
              <w:jc w:val="center"/>
              <w:textAlignment w:val="baseline"/>
              <w:rPr>
                <w:noProof/>
              </w:rPr>
            </w:pPr>
            <w:r>
              <w:rPr>
                <w:noProof/>
              </w:rPr>
              <w:t>C2.3. R3-I8</w:t>
            </w:r>
          </w:p>
        </w:tc>
        <w:tc>
          <w:tcPr>
            <w:tcW w:w="1274" w:type="dxa"/>
            <w:shd w:val="clear" w:color="auto" w:fill="C6EFCE"/>
            <w:vAlign w:val="center"/>
          </w:tcPr>
          <w:p w14:paraId="1A9A5612"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DE4AF08" w14:textId="18268E5B" w:rsidR="00553430" w:rsidRDefault="00212577">
            <w:pPr>
              <w:pStyle w:val="P68B1DB1-Normal102"/>
              <w:spacing w:after="0" w:line="240" w:lineRule="auto"/>
              <w:textAlignment w:val="baseline"/>
              <w:rPr>
                <w:noProof/>
              </w:rPr>
            </w:pPr>
            <w:r>
              <w:rPr>
                <w:noProof/>
              </w:rPr>
              <w:t xml:space="preserve">Services publics électroniques numériques intégrés à la nouvelle plateforme mobile </w:t>
            </w:r>
          </w:p>
        </w:tc>
      </w:tr>
      <w:tr w:rsidR="00553430" w14:paraId="6DAF0D3B" w14:textId="77777777">
        <w:trPr>
          <w:trHeight w:val="51"/>
        </w:trPr>
        <w:tc>
          <w:tcPr>
            <w:tcW w:w="1096" w:type="dxa"/>
            <w:shd w:val="clear" w:color="auto" w:fill="C6EFCE"/>
            <w:vAlign w:val="center"/>
          </w:tcPr>
          <w:p w14:paraId="70DB15F0" w14:textId="77777777" w:rsidR="00553430" w:rsidRDefault="00212577">
            <w:pPr>
              <w:pStyle w:val="P68B1DB1-Normal102"/>
              <w:spacing w:after="0" w:line="240" w:lineRule="auto"/>
              <w:jc w:val="center"/>
              <w:textAlignment w:val="baseline"/>
              <w:rPr>
                <w:noProof/>
              </w:rPr>
            </w:pPr>
            <w:r>
              <w:rPr>
                <w:noProof/>
              </w:rPr>
              <w:t>199</w:t>
            </w:r>
          </w:p>
        </w:tc>
        <w:tc>
          <w:tcPr>
            <w:tcW w:w="1639" w:type="dxa"/>
            <w:shd w:val="clear" w:color="auto" w:fill="C6EFCE"/>
            <w:vAlign w:val="center"/>
          </w:tcPr>
          <w:p w14:paraId="1FE59D7D" w14:textId="77777777" w:rsidR="00553430" w:rsidRDefault="00212577">
            <w:pPr>
              <w:pStyle w:val="P68B1DB1-Normal102"/>
              <w:spacing w:after="0" w:line="240" w:lineRule="auto"/>
              <w:jc w:val="center"/>
              <w:textAlignment w:val="baseline"/>
              <w:rPr>
                <w:noProof/>
              </w:rPr>
            </w:pPr>
            <w:r>
              <w:rPr>
                <w:noProof/>
              </w:rPr>
              <w:t>C2.3. R3-I14</w:t>
            </w:r>
          </w:p>
        </w:tc>
        <w:tc>
          <w:tcPr>
            <w:tcW w:w="1274" w:type="dxa"/>
            <w:shd w:val="clear" w:color="auto" w:fill="C6EFCE"/>
            <w:vAlign w:val="center"/>
          </w:tcPr>
          <w:p w14:paraId="46D77D48"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3EE07D3" w14:textId="77777777" w:rsidR="00553430" w:rsidRDefault="00212577">
            <w:pPr>
              <w:pStyle w:val="P68B1DB1-Normal102"/>
              <w:spacing w:after="0" w:line="240" w:lineRule="auto"/>
              <w:textAlignment w:val="baseline"/>
              <w:rPr>
                <w:noProof/>
              </w:rPr>
            </w:pPr>
            <w:r>
              <w:rPr>
                <w:noProof/>
              </w:rPr>
              <w:t xml:space="preserve">Système de facturation électronique et de comptabilité TVA en ligne </w:t>
            </w:r>
          </w:p>
        </w:tc>
      </w:tr>
      <w:tr w:rsidR="00553430" w14:paraId="7ECB1C61" w14:textId="77777777">
        <w:trPr>
          <w:trHeight w:val="51"/>
        </w:trPr>
        <w:tc>
          <w:tcPr>
            <w:tcW w:w="1096" w:type="dxa"/>
            <w:shd w:val="clear" w:color="auto" w:fill="C6EFCE"/>
            <w:vAlign w:val="center"/>
          </w:tcPr>
          <w:p w14:paraId="6F9B79A1" w14:textId="77777777" w:rsidR="00553430" w:rsidRDefault="00212577">
            <w:pPr>
              <w:pStyle w:val="P68B1DB1-Normal102"/>
              <w:spacing w:after="0" w:line="240" w:lineRule="auto"/>
              <w:jc w:val="center"/>
              <w:textAlignment w:val="baseline"/>
              <w:rPr>
                <w:noProof/>
              </w:rPr>
            </w:pPr>
            <w:r>
              <w:rPr>
                <w:noProof/>
              </w:rPr>
              <w:t>210</w:t>
            </w:r>
          </w:p>
        </w:tc>
        <w:tc>
          <w:tcPr>
            <w:tcW w:w="1639" w:type="dxa"/>
            <w:shd w:val="clear" w:color="auto" w:fill="C6EFCE"/>
            <w:vAlign w:val="center"/>
          </w:tcPr>
          <w:p w14:paraId="3A961697" w14:textId="77777777" w:rsidR="00553430" w:rsidRDefault="00212577">
            <w:pPr>
              <w:pStyle w:val="P68B1DB1-Normal102"/>
              <w:spacing w:after="0" w:line="240" w:lineRule="auto"/>
              <w:jc w:val="center"/>
              <w:textAlignment w:val="baseline"/>
              <w:rPr>
                <w:noProof/>
              </w:rPr>
            </w:pPr>
            <w:r>
              <w:rPr>
                <w:noProof/>
              </w:rPr>
              <w:t>C2.4. R4</w:t>
            </w:r>
          </w:p>
        </w:tc>
        <w:tc>
          <w:tcPr>
            <w:tcW w:w="1274" w:type="dxa"/>
            <w:shd w:val="clear" w:color="auto" w:fill="C6EFCE"/>
            <w:vAlign w:val="center"/>
          </w:tcPr>
          <w:p w14:paraId="2AED777F"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30E1867" w14:textId="77777777" w:rsidR="00553430" w:rsidRDefault="00212577">
            <w:pPr>
              <w:pStyle w:val="P68B1DB1-Normal102"/>
              <w:spacing w:after="0" w:line="240" w:lineRule="auto"/>
              <w:textAlignment w:val="baseline"/>
              <w:rPr>
                <w:noProof/>
              </w:rPr>
            </w:pPr>
            <w:r>
              <w:rPr>
                <w:noProof/>
              </w:rPr>
              <w:t>La</w:t>
            </w:r>
            <w:r>
              <w:rPr>
                <w:noProof/>
              </w:rPr>
              <w:t xml:space="preserve"> réalisation de la vente de 90 entreprises publiques qui ne présentent pas un intérêt particulier pour la République de Croatie et sont gérées par CERP</w:t>
            </w:r>
          </w:p>
        </w:tc>
      </w:tr>
      <w:tr w:rsidR="00553430" w14:paraId="5B9C5ACF" w14:textId="77777777">
        <w:trPr>
          <w:trHeight w:val="51"/>
        </w:trPr>
        <w:tc>
          <w:tcPr>
            <w:tcW w:w="1096" w:type="dxa"/>
            <w:shd w:val="clear" w:color="auto" w:fill="C6EFCE"/>
            <w:vAlign w:val="center"/>
          </w:tcPr>
          <w:p w14:paraId="510CA3E8" w14:textId="77777777" w:rsidR="00553430" w:rsidRDefault="00212577">
            <w:pPr>
              <w:pStyle w:val="P68B1DB1-Normal102"/>
              <w:spacing w:after="0" w:line="240" w:lineRule="auto"/>
              <w:jc w:val="center"/>
              <w:textAlignment w:val="baseline"/>
              <w:rPr>
                <w:noProof/>
              </w:rPr>
            </w:pPr>
            <w:r>
              <w:rPr>
                <w:noProof/>
              </w:rPr>
              <w:t>212</w:t>
            </w:r>
          </w:p>
        </w:tc>
        <w:tc>
          <w:tcPr>
            <w:tcW w:w="1639" w:type="dxa"/>
            <w:shd w:val="clear" w:color="auto" w:fill="C6EFCE"/>
            <w:vAlign w:val="center"/>
          </w:tcPr>
          <w:p w14:paraId="6CF8E00F" w14:textId="77777777" w:rsidR="00553430" w:rsidRDefault="00212577">
            <w:pPr>
              <w:pStyle w:val="P68B1DB1-Normal102"/>
              <w:spacing w:after="0" w:line="240" w:lineRule="auto"/>
              <w:jc w:val="center"/>
              <w:textAlignment w:val="baseline"/>
              <w:rPr>
                <w:noProof/>
              </w:rPr>
            </w:pPr>
            <w:r>
              <w:rPr>
                <w:noProof/>
              </w:rPr>
              <w:t>C2.4. R5</w:t>
            </w:r>
          </w:p>
        </w:tc>
        <w:tc>
          <w:tcPr>
            <w:tcW w:w="1274" w:type="dxa"/>
            <w:shd w:val="clear" w:color="auto" w:fill="C6EFCE"/>
            <w:vAlign w:val="center"/>
          </w:tcPr>
          <w:p w14:paraId="22B8850E"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BD52941" w14:textId="77777777" w:rsidR="00553430" w:rsidRDefault="00212577">
            <w:pPr>
              <w:pStyle w:val="P68B1DB1-Normal102"/>
              <w:spacing w:after="0" w:line="240" w:lineRule="auto"/>
              <w:textAlignment w:val="baseline"/>
              <w:rPr>
                <w:noProof/>
              </w:rPr>
            </w:pPr>
            <w:r>
              <w:rPr>
                <w:noProof/>
              </w:rPr>
              <w:t>Développer un système informatique et une méthodologie pour la réduction du portefeuille</w:t>
            </w:r>
            <w:r>
              <w:rPr>
                <w:noProof/>
              </w:rPr>
              <w:t xml:space="preserve"> immobilier de l'État et l'activation plus rapide et efficace des actifs publics inutilisés </w:t>
            </w:r>
          </w:p>
        </w:tc>
      </w:tr>
      <w:tr w:rsidR="00553430" w14:paraId="281D0EE8" w14:textId="77777777">
        <w:trPr>
          <w:trHeight w:val="51"/>
        </w:trPr>
        <w:tc>
          <w:tcPr>
            <w:tcW w:w="1096" w:type="dxa"/>
            <w:shd w:val="clear" w:color="auto" w:fill="C6EFCE"/>
            <w:vAlign w:val="center"/>
          </w:tcPr>
          <w:p w14:paraId="185499E2" w14:textId="77777777" w:rsidR="00553430" w:rsidRDefault="00212577">
            <w:pPr>
              <w:pStyle w:val="P68B1DB1-Normal102"/>
              <w:spacing w:after="0" w:line="240" w:lineRule="auto"/>
              <w:jc w:val="center"/>
              <w:textAlignment w:val="baseline"/>
              <w:rPr>
                <w:noProof/>
              </w:rPr>
            </w:pPr>
            <w:r>
              <w:rPr>
                <w:noProof/>
              </w:rPr>
              <w:t>224</w:t>
            </w:r>
          </w:p>
        </w:tc>
        <w:tc>
          <w:tcPr>
            <w:tcW w:w="1639" w:type="dxa"/>
            <w:shd w:val="clear" w:color="auto" w:fill="C6EFCE"/>
            <w:vAlign w:val="center"/>
          </w:tcPr>
          <w:p w14:paraId="00A02F0C" w14:textId="77777777" w:rsidR="00553430" w:rsidRDefault="00212577">
            <w:pPr>
              <w:pStyle w:val="P68B1DB1-Normal102"/>
              <w:spacing w:after="0" w:line="240" w:lineRule="auto"/>
              <w:jc w:val="center"/>
              <w:textAlignment w:val="baseline"/>
              <w:rPr>
                <w:noProof/>
              </w:rPr>
            </w:pPr>
            <w:r>
              <w:rPr>
                <w:noProof/>
              </w:rPr>
              <w:t>C2.5. R1-I1</w:t>
            </w:r>
          </w:p>
        </w:tc>
        <w:tc>
          <w:tcPr>
            <w:tcW w:w="1274" w:type="dxa"/>
            <w:shd w:val="clear" w:color="auto" w:fill="C6EFCE"/>
            <w:vAlign w:val="center"/>
          </w:tcPr>
          <w:p w14:paraId="1C399ED3"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698ED8B9" w14:textId="77777777" w:rsidR="00553430" w:rsidRDefault="00212577">
            <w:pPr>
              <w:pStyle w:val="P68B1DB1-Normal102"/>
              <w:spacing w:after="0" w:line="240" w:lineRule="auto"/>
              <w:textAlignment w:val="baseline"/>
              <w:rPr>
                <w:noProof/>
              </w:rPr>
            </w:pPr>
            <w:r>
              <w:rPr>
                <w:noProof/>
              </w:rPr>
              <w:t>Toutes les nouvelles décisions de première et de deuxième instance mettant fin à une procédure sont rendues anonymes et publiées sur le portail.</w:t>
            </w:r>
          </w:p>
        </w:tc>
      </w:tr>
      <w:tr w:rsidR="00553430" w14:paraId="64B02A3D" w14:textId="77777777">
        <w:trPr>
          <w:trHeight w:val="51"/>
        </w:trPr>
        <w:tc>
          <w:tcPr>
            <w:tcW w:w="1096" w:type="dxa"/>
            <w:shd w:val="clear" w:color="auto" w:fill="C6EFCE"/>
            <w:vAlign w:val="center"/>
          </w:tcPr>
          <w:p w14:paraId="7DD1A668" w14:textId="77777777" w:rsidR="00553430" w:rsidRDefault="00212577">
            <w:pPr>
              <w:pStyle w:val="P68B1DB1-Normal102"/>
              <w:spacing w:after="0" w:line="240" w:lineRule="auto"/>
              <w:jc w:val="center"/>
              <w:textAlignment w:val="baseline"/>
              <w:rPr>
                <w:noProof/>
              </w:rPr>
            </w:pPr>
            <w:r>
              <w:rPr>
                <w:noProof/>
              </w:rPr>
              <w:t>226</w:t>
            </w:r>
          </w:p>
        </w:tc>
        <w:tc>
          <w:tcPr>
            <w:tcW w:w="1639" w:type="dxa"/>
            <w:shd w:val="clear" w:color="auto" w:fill="C6EFCE"/>
            <w:vAlign w:val="center"/>
          </w:tcPr>
          <w:p w14:paraId="6EE9D299" w14:textId="77777777" w:rsidR="00553430" w:rsidRDefault="00212577">
            <w:pPr>
              <w:pStyle w:val="P68B1DB1-Normal102"/>
              <w:spacing w:after="0" w:line="240" w:lineRule="auto"/>
              <w:jc w:val="center"/>
              <w:textAlignment w:val="baseline"/>
              <w:rPr>
                <w:noProof/>
              </w:rPr>
            </w:pPr>
            <w:r>
              <w:rPr>
                <w:noProof/>
              </w:rPr>
              <w:t>C2.5. R1-I3</w:t>
            </w:r>
          </w:p>
        </w:tc>
        <w:tc>
          <w:tcPr>
            <w:tcW w:w="1274" w:type="dxa"/>
            <w:shd w:val="clear" w:color="auto" w:fill="C6EFCE"/>
            <w:vAlign w:val="center"/>
          </w:tcPr>
          <w:p w14:paraId="1B412A4D"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2E00830C" w14:textId="3BA354AA" w:rsidR="00553430" w:rsidRDefault="00212577">
            <w:pPr>
              <w:pStyle w:val="P68B1DB1-Normal102"/>
              <w:spacing w:after="0" w:line="240" w:lineRule="auto"/>
              <w:textAlignment w:val="baseline"/>
              <w:rPr>
                <w:noProof/>
              </w:rPr>
            </w:pPr>
            <w:r>
              <w:rPr>
                <w:noProof/>
              </w:rPr>
              <w:t>Mise à niveau du système eSpis avec de nouvelles fonctionnalités et une nouvelle architecture intégrée au Centre de services partagés (CDU)</w:t>
            </w:r>
          </w:p>
        </w:tc>
      </w:tr>
      <w:tr w:rsidR="00553430" w14:paraId="000FF1E5" w14:textId="77777777">
        <w:trPr>
          <w:trHeight w:val="51"/>
        </w:trPr>
        <w:tc>
          <w:tcPr>
            <w:tcW w:w="1096" w:type="dxa"/>
            <w:shd w:val="clear" w:color="auto" w:fill="C6EFCE"/>
            <w:vAlign w:val="center"/>
          </w:tcPr>
          <w:p w14:paraId="55515FEB" w14:textId="77777777" w:rsidR="00553430" w:rsidRDefault="00212577">
            <w:pPr>
              <w:pStyle w:val="P68B1DB1-Normal102"/>
              <w:spacing w:after="0" w:line="240" w:lineRule="auto"/>
              <w:jc w:val="center"/>
              <w:rPr>
                <w:noProof/>
                <w:color w:val="000000" w:themeColor="text1"/>
              </w:rPr>
            </w:pPr>
            <w:r>
              <w:rPr>
                <w:noProof/>
              </w:rPr>
              <w:t>238</w:t>
            </w:r>
          </w:p>
        </w:tc>
        <w:tc>
          <w:tcPr>
            <w:tcW w:w="1639" w:type="dxa"/>
            <w:shd w:val="clear" w:color="auto" w:fill="C6EFCE"/>
            <w:vAlign w:val="center"/>
          </w:tcPr>
          <w:p w14:paraId="2DD99A95" w14:textId="77777777" w:rsidR="00553430" w:rsidRDefault="00212577">
            <w:pPr>
              <w:pStyle w:val="P68B1DB1-Normal102"/>
              <w:spacing w:after="0" w:line="240" w:lineRule="auto"/>
              <w:jc w:val="center"/>
              <w:rPr>
                <w:noProof/>
                <w:color w:val="000000" w:themeColor="text1"/>
              </w:rPr>
            </w:pPr>
            <w:r>
              <w:rPr>
                <w:noProof/>
              </w:rPr>
              <w:t>C2.6. R1</w:t>
            </w:r>
          </w:p>
        </w:tc>
        <w:tc>
          <w:tcPr>
            <w:tcW w:w="1274" w:type="dxa"/>
            <w:shd w:val="clear" w:color="auto" w:fill="C6EFCE"/>
            <w:vAlign w:val="center"/>
          </w:tcPr>
          <w:p w14:paraId="100C024D" w14:textId="77777777" w:rsidR="00553430" w:rsidRDefault="00212577">
            <w:pPr>
              <w:pStyle w:val="P68B1DB1-Normal102"/>
              <w:spacing w:after="0" w:line="240" w:lineRule="auto"/>
              <w:jc w:val="center"/>
              <w:rPr>
                <w:noProof/>
                <w:color w:val="000000" w:themeColor="text1"/>
              </w:rPr>
            </w:pPr>
            <w:r>
              <w:rPr>
                <w:noProof/>
              </w:rPr>
              <w:t>T</w:t>
            </w:r>
          </w:p>
        </w:tc>
        <w:tc>
          <w:tcPr>
            <w:tcW w:w="5347" w:type="dxa"/>
            <w:shd w:val="clear" w:color="auto" w:fill="C6EFCE"/>
            <w:vAlign w:val="center"/>
          </w:tcPr>
          <w:p w14:paraId="37C0F1FB" w14:textId="77777777" w:rsidR="00553430" w:rsidRDefault="00212577">
            <w:pPr>
              <w:pStyle w:val="P68B1DB1-Normal102"/>
              <w:spacing w:after="0" w:line="240" w:lineRule="auto"/>
              <w:rPr>
                <w:noProof/>
                <w:color w:val="000000" w:themeColor="text1"/>
              </w:rPr>
            </w:pPr>
            <w:r>
              <w:rPr>
                <w:noProof/>
              </w:rPr>
              <w:t xml:space="preserve">Réduire la durée moyenne des procédures judiciaires pour les infractions de </w:t>
            </w:r>
            <w:r>
              <w:rPr>
                <w:noProof/>
              </w:rPr>
              <w:t>corruption et de criminalité organisée</w:t>
            </w:r>
          </w:p>
        </w:tc>
      </w:tr>
      <w:tr w:rsidR="00553430" w14:paraId="54E28931" w14:textId="77777777">
        <w:trPr>
          <w:trHeight w:val="51"/>
        </w:trPr>
        <w:tc>
          <w:tcPr>
            <w:tcW w:w="1096" w:type="dxa"/>
            <w:shd w:val="clear" w:color="auto" w:fill="C6EFCE"/>
            <w:vAlign w:val="center"/>
          </w:tcPr>
          <w:p w14:paraId="7EBF8B25" w14:textId="77777777" w:rsidR="00553430" w:rsidRDefault="00212577">
            <w:pPr>
              <w:pStyle w:val="P68B1DB1-Normal102"/>
              <w:spacing w:after="0" w:line="240" w:lineRule="auto"/>
              <w:jc w:val="center"/>
              <w:rPr>
                <w:noProof/>
                <w:color w:val="000000" w:themeColor="text1"/>
              </w:rPr>
            </w:pPr>
            <w:r>
              <w:rPr>
                <w:noProof/>
              </w:rPr>
              <w:t>240</w:t>
            </w:r>
          </w:p>
        </w:tc>
        <w:tc>
          <w:tcPr>
            <w:tcW w:w="1639" w:type="dxa"/>
            <w:shd w:val="clear" w:color="auto" w:fill="C6EFCE"/>
            <w:vAlign w:val="center"/>
          </w:tcPr>
          <w:p w14:paraId="154A0A0C" w14:textId="77777777" w:rsidR="00553430" w:rsidRDefault="00212577">
            <w:pPr>
              <w:pStyle w:val="P68B1DB1-Normal102"/>
              <w:spacing w:after="0" w:line="240" w:lineRule="auto"/>
              <w:jc w:val="center"/>
              <w:rPr>
                <w:noProof/>
                <w:color w:val="000000" w:themeColor="text1"/>
              </w:rPr>
            </w:pPr>
            <w:r>
              <w:rPr>
                <w:noProof/>
              </w:rPr>
              <w:t>C2.6. R1-I2</w:t>
            </w:r>
          </w:p>
        </w:tc>
        <w:tc>
          <w:tcPr>
            <w:tcW w:w="1274" w:type="dxa"/>
            <w:shd w:val="clear" w:color="auto" w:fill="C6EFCE"/>
            <w:vAlign w:val="center"/>
          </w:tcPr>
          <w:p w14:paraId="54703C5C" w14:textId="77777777" w:rsidR="00553430" w:rsidRDefault="00212577">
            <w:pPr>
              <w:pStyle w:val="P68B1DB1-Normal102"/>
              <w:spacing w:after="0" w:line="240" w:lineRule="auto"/>
              <w:jc w:val="center"/>
              <w:rPr>
                <w:noProof/>
                <w:color w:val="000000" w:themeColor="text1"/>
              </w:rPr>
            </w:pPr>
            <w:r>
              <w:rPr>
                <w:noProof/>
              </w:rPr>
              <w:t>M</w:t>
            </w:r>
          </w:p>
        </w:tc>
        <w:tc>
          <w:tcPr>
            <w:tcW w:w="5347" w:type="dxa"/>
            <w:shd w:val="clear" w:color="auto" w:fill="C6EFCE"/>
            <w:vAlign w:val="center"/>
          </w:tcPr>
          <w:p w14:paraId="70C872A1" w14:textId="77777777" w:rsidR="00553430" w:rsidRDefault="00212577">
            <w:pPr>
              <w:pStyle w:val="P68B1DB1-Normal102"/>
              <w:spacing w:after="0" w:line="240" w:lineRule="auto"/>
              <w:rPr>
                <w:noProof/>
                <w:color w:val="000000" w:themeColor="text1"/>
              </w:rPr>
            </w:pPr>
            <w:r>
              <w:rPr>
                <w:noProof/>
              </w:rPr>
              <w:t>Mise en place d'un système d'information pour la gestion de l'infrastructure éthique des fonctionnaires</w:t>
            </w:r>
          </w:p>
        </w:tc>
      </w:tr>
      <w:tr w:rsidR="00553430" w14:paraId="64E1F41B" w14:textId="77777777">
        <w:trPr>
          <w:trHeight w:val="51"/>
        </w:trPr>
        <w:tc>
          <w:tcPr>
            <w:tcW w:w="1096" w:type="dxa"/>
            <w:shd w:val="clear" w:color="auto" w:fill="C6EFCE"/>
            <w:vAlign w:val="center"/>
          </w:tcPr>
          <w:p w14:paraId="11B5FCA3" w14:textId="77777777" w:rsidR="00553430" w:rsidRDefault="00212577">
            <w:pPr>
              <w:pStyle w:val="P68B1DB1-Normal102"/>
              <w:spacing w:after="0" w:line="240" w:lineRule="auto"/>
              <w:jc w:val="center"/>
              <w:textAlignment w:val="baseline"/>
              <w:rPr>
                <w:noProof/>
              </w:rPr>
            </w:pPr>
            <w:r>
              <w:rPr>
                <w:noProof/>
              </w:rPr>
              <w:t>252</w:t>
            </w:r>
          </w:p>
        </w:tc>
        <w:tc>
          <w:tcPr>
            <w:tcW w:w="1639" w:type="dxa"/>
            <w:shd w:val="clear" w:color="auto" w:fill="C6EFCE"/>
            <w:vAlign w:val="center"/>
          </w:tcPr>
          <w:p w14:paraId="0DA9B8E8" w14:textId="77777777" w:rsidR="00553430" w:rsidRDefault="00212577">
            <w:pPr>
              <w:pStyle w:val="P68B1DB1-Normal102"/>
              <w:spacing w:after="0" w:line="240" w:lineRule="auto"/>
              <w:jc w:val="center"/>
              <w:textAlignment w:val="baseline"/>
              <w:rPr>
                <w:noProof/>
              </w:rPr>
            </w:pPr>
            <w:r>
              <w:rPr>
                <w:noProof/>
              </w:rPr>
              <w:t>C2.8. R2</w:t>
            </w:r>
          </w:p>
        </w:tc>
        <w:tc>
          <w:tcPr>
            <w:tcW w:w="1274" w:type="dxa"/>
            <w:shd w:val="clear" w:color="auto" w:fill="C6EFCE"/>
            <w:vAlign w:val="center"/>
          </w:tcPr>
          <w:p w14:paraId="43275EE5"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8703D06" w14:textId="77777777" w:rsidR="00553430" w:rsidRDefault="00212577">
            <w:pPr>
              <w:pStyle w:val="P68B1DB1-Normal102"/>
              <w:spacing w:after="0" w:line="240" w:lineRule="auto"/>
              <w:textAlignment w:val="baseline"/>
              <w:rPr>
                <w:noProof/>
              </w:rPr>
            </w:pPr>
            <w:r>
              <w:rPr>
                <w:noProof/>
              </w:rPr>
              <w:t xml:space="preserve">Renforcer la surveillance par des réunions régulières du groupe de travail interinstitutionnel sur la surveillance </w:t>
            </w:r>
          </w:p>
        </w:tc>
      </w:tr>
      <w:tr w:rsidR="00553430" w14:paraId="2B2508DD" w14:textId="77777777">
        <w:trPr>
          <w:trHeight w:val="51"/>
        </w:trPr>
        <w:tc>
          <w:tcPr>
            <w:tcW w:w="1096" w:type="dxa"/>
            <w:shd w:val="clear" w:color="auto" w:fill="C6EFCE"/>
            <w:vAlign w:val="center"/>
          </w:tcPr>
          <w:p w14:paraId="4B5EA359" w14:textId="77777777" w:rsidR="00553430" w:rsidRDefault="00212577">
            <w:pPr>
              <w:pStyle w:val="P68B1DB1-Normal102"/>
              <w:spacing w:after="0" w:line="240" w:lineRule="auto"/>
              <w:jc w:val="center"/>
              <w:textAlignment w:val="baseline"/>
              <w:rPr>
                <w:noProof/>
              </w:rPr>
            </w:pPr>
            <w:r>
              <w:rPr>
                <w:noProof/>
              </w:rPr>
              <w:t>261</w:t>
            </w:r>
          </w:p>
        </w:tc>
        <w:tc>
          <w:tcPr>
            <w:tcW w:w="1639" w:type="dxa"/>
            <w:shd w:val="clear" w:color="auto" w:fill="C6EFCE"/>
            <w:vAlign w:val="center"/>
          </w:tcPr>
          <w:p w14:paraId="08AD6A9F" w14:textId="77777777" w:rsidR="00553430" w:rsidRDefault="00212577">
            <w:pPr>
              <w:pStyle w:val="P68B1DB1-Normal102"/>
              <w:spacing w:after="0" w:line="240" w:lineRule="auto"/>
              <w:jc w:val="center"/>
              <w:textAlignment w:val="baseline"/>
              <w:rPr>
                <w:noProof/>
              </w:rPr>
            </w:pPr>
            <w:r>
              <w:rPr>
                <w:noProof/>
              </w:rPr>
              <w:t>C2.9. R2</w:t>
            </w:r>
          </w:p>
        </w:tc>
        <w:tc>
          <w:tcPr>
            <w:tcW w:w="1274" w:type="dxa"/>
            <w:shd w:val="clear" w:color="auto" w:fill="C6EFCE"/>
            <w:vAlign w:val="center"/>
          </w:tcPr>
          <w:p w14:paraId="7FE00EB4"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1A11164" w14:textId="77777777" w:rsidR="00553430" w:rsidRDefault="00212577">
            <w:pPr>
              <w:pStyle w:val="P68B1DB1-Normal102"/>
              <w:spacing w:after="0" w:line="240" w:lineRule="auto"/>
              <w:textAlignment w:val="baseline"/>
              <w:rPr>
                <w:noProof/>
              </w:rPr>
            </w:pPr>
            <w:r>
              <w:rPr>
                <w:noProof/>
              </w:rPr>
              <w:t xml:space="preserve">Réduction du délai moyen de traitement des appels et des décisions </w:t>
            </w:r>
          </w:p>
        </w:tc>
      </w:tr>
      <w:tr w:rsidR="00553430" w14:paraId="0D8954B5" w14:textId="77777777">
        <w:trPr>
          <w:trHeight w:val="51"/>
        </w:trPr>
        <w:tc>
          <w:tcPr>
            <w:tcW w:w="1096" w:type="dxa"/>
            <w:shd w:val="clear" w:color="auto" w:fill="C6EFCE"/>
            <w:vAlign w:val="center"/>
          </w:tcPr>
          <w:p w14:paraId="46D1D077" w14:textId="77777777" w:rsidR="00553430" w:rsidRDefault="00212577">
            <w:pPr>
              <w:pStyle w:val="P68B1DB1-Normal102"/>
              <w:spacing w:after="0" w:line="240" w:lineRule="auto"/>
              <w:jc w:val="center"/>
              <w:textAlignment w:val="baseline"/>
              <w:rPr>
                <w:noProof/>
              </w:rPr>
            </w:pPr>
            <w:r>
              <w:rPr>
                <w:noProof/>
              </w:rPr>
              <w:t>277</w:t>
            </w:r>
          </w:p>
        </w:tc>
        <w:tc>
          <w:tcPr>
            <w:tcW w:w="1639" w:type="dxa"/>
            <w:shd w:val="clear" w:color="auto" w:fill="C6EFCE"/>
            <w:vAlign w:val="center"/>
          </w:tcPr>
          <w:p w14:paraId="7A373853" w14:textId="77777777" w:rsidR="00553430" w:rsidRDefault="00212577">
            <w:pPr>
              <w:pStyle w:val="P68B1DB1-Normal102"/>
              <w:spacing w:after="0" w:line="240" w:lineRule="auto"/>
              <w:jc w:val="center"/>
              <w:textAlignment w:val="baseline"/>
              <w:rPr>
                <w:noProof/>
              </w:rPr>
            </w:pPr>
            <w:r>
              <w:rPr>
                <w:noProof/>
              </w:rPr>
              <w:t>C3.2. R1-I1</w:t>
            </w:r>
          </w:p>
        </w:tc>
        <w:tc>
          <w:tcPr>
            <w:tcW w:w="1274" w:type="dxa"/>
            <w:shd w:val="clear" w:color="auto" w:fill="C6EFCE"/>
            <w:vAlign w:val="center"/>
          </w:tcPr>
          <w:p w14:paraId="3378B2DA"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87221D9" w14:textId="77777777" w:rsidR="00553430" w:rsidRDefault="00212577">
            <w:pPr>
              <w:pStyle w:val="P68B1DB1-Normal102"/>
              <w:spacing w:after="0" w:line="240" w:lineRule="auto"/>
              <w:textAlignment w:val="baseline"/>
              <w:rPr>
                <w:noProof/>
              </w:rPr>
            </w:pPr>
            <w:r>
              <w:rPr>
                <w:noProof/>
              </w:rPr>
              <w:t xml:space="preserve">Proportion d'universités ou </w:t>
            </w:r>
            <w:r>
              <w:rPr>
                <w:noProof/>
              </w:rPr>
              <w:t>d'instituts de recherche ayant signé des accords de programme</w:t>
            </w:r>
          </w:p>
        </w:tc>
      </w:tr>
      <w:tr w:rsidR="00553430" w14:paraId="7299D4F0" w14:textId="77777777">
        <w:trPr>
          <w:trHeight w:val="51"/>
        </w:trPr>
        <w:tc>
          <w:tcPr>
            <w:tcW w:w="1096" w:type="dxa"/>
            <w:shd w:val="clear" w:color="auto" w:fill="C6EFCE"/>
          </w:tcPr>
          <w:p w14:paraId="6883532E" w14:textId="77777777" w:rsidR="00553430" w:rsidRDefault="00212577">
            <w:pPr>
              <w:pStyle w:val="P68B1DB1-Normal66"/>
              <w:spacing w:after="0" w:line="240" w:lineRule="auto"/>
              <w:jc w:val="center"/>
              <w:textAlignment w:val="baseline"/>
              <w:rPr>
                <w:noProof/>
              </w:rPr>
            </w:pPr>
            <w:r>
              <w:rPr>
                <w:noProof/>
              </w:rPr>
              <w:t>288</w:t>
            </w:r>
          </w:p>
        </w:tc>
        <w:tc>
          <w:tcPr>
            <w:tcW w:w="1639" w:type="dxa"/>
            <w:shd w:val="clear" w:color="auto" w:fill="C6EFCE"/>
          </w:tcPr>
          <w:p w14:paraId="111B0B18" w14:textId="77777777" w:rsidR="00553430" w:rsidRDefault="00212577">
            <w:pPr>
              <w:pStyle w:val="P68B1DB1-Normal66"/>
              <w:spacing w:after="0" w:line="240" w:lineRule="auto"/>
              <w:jc w:val="center"/>
              <w:textAlignment w:val="baseline"/>
              <w:rPr>
                <w:noProof/>
              </w:rPr>
            </w:pPr>
            <w:r>
              <w:rPr>
                <w:noProof/>
              </w:rPr>
              <w:t>C4.1. R2</w:t>
            </w:r>
          </w:p>
        </w:tc>
        <w:tc>
          <w:tcPr>
            <w:tcW w:w="1274" w:type="dxa"/>
            <w:shd w:val="clear" w:color="auto" w:fill="C6EFCE"/>
          </w:tcPr>
          <w:p w14:paraId="5585431A" w14:textId="77777777" w:rsidR="00553430" w:rsidRDefault="00212577">
            <w:pPr>
              <w:pStyle w:val="P68B1DB1-Normal66"/>
              <w:spacing w:after="0" w:line="240" w:lineRule="auto"/>
              <w:jc w:val="center"/>
              <w:textAlignment w:val="baseline"/>
              <w:rPr>
                <w:noProof/>
              </w:rPr>
            </w:pPr>
            <w:r>
              <w:rPr>
                <w:noProof/>
              </w:rPr>
              <w:t>M</w:t>
            </w:r>
          </w:p>
        </w:tc>
        <w:tc>
          <w:tcPr>
            <w:tcW w:w="5347" w:type="dxa"/>
            <w:shd w:val="clear" w:color="auto" w:fill="C6EFCE"/>
          </w:tcPr>
          <w:p w14:paraId="746C1CCD" w14:textId="77777777" w:rsidR="00553430" w:rsidRDefault="00212577">
            <w:pPr>
              <w:pStyle w:val="P68B1DB1-Normal66"/>
              <w:spacing w:after="0" w:line="240" w:lineRule="auto"/>
              <w:textAlignment w:val="baseline"/>
              <w:rPr>
                <w:noProof/>
              </w:rPr>
            </w:pPr>
            <w:r>
              <w:rPr>
                <w:noProof/>
              </w:rPr>
              <w:t>Entrée en vigueur des modifications de la loi sur le marché du travail</w:t>
            </w:r>
          </w:p>
        </w:tc>
      </w:tr>
      <w:tr w:rsidR="00553430" w14:paraId="7A63FA61" w14:textId="77777777">
        <w:trPr>
          <w:trHeight w:val="51"/>
        </w:trPr>
        <w:tc>
          <w:tcPr>
            <w:tcW w:w="1096" w:type="dxa"/>
            <w:shd w:val="clear" w:color="auto" w:fill="C6EFCE"/>
            <w:vAlign w:val="center"/>
          </w:tcPr>
          <w:p w14:paraId="128AEDC2" w14:textId="77777777" w:rsidR="00553430" w:rsidRDefault="00212577">
            <w:pPr>
              <w:pStyle w:val="P68B1DB1-Normal102"/>
              <w:spacing w:after="0" w:line="240" w:lineRule="auto"/>
              <w:jc w:val="center"/>
              <w:textAlignment w:val="baseline"/>
              <w:rPr>
                <w:noProof/>
              </w:rPr>
            </w:pPr>
            <w:r>
              <w:rPr>
                <w:noProof/>
              </w:rPr>
              <w:t>289</w:t>
            </w:r>
          </w:p>
        </w:tc>
        <w:tc>
          <w:tcPr>
            <w:tcW w:w="1639" w:type="dxa"/>
            <w:shd w:val="clear" w:color="auto" w:fill="C6EFCE"/>
            <w:vAlign w:val="center"/>
          </w:tcPr>
          <w:p w14:paraId="76CFD49C" w14:textId="77777777" w:rsidR="00553430" w:rsidRDefault="00212577">
            <w:pPr>
              <w:pStyle w:val="P68B1DB1-Normal102"/>
              <w:spacing w:after="0" w:line="240" w:lineRule="auto"/>
              <w:jc w:val="center"/>
              <w:textAlignment w:val="baseline"/>
              <w:rPr>
                <w:noProof/>
              </w:rPr>
            </w:pPr>
            <w:r>
              <w:rPr>
                <w:noProof/>
              </w:rPr>
              <w:t>C4.1. R2</w:t>
            </w:r>
          </w:p>
        </w:tc>
        <w:tc>
          <w:tcPr>
            <w:tcW w:w="1274" w:type="dxa"/>
            <w:shd w:val="clear" w:color="auto" w:fill="C6EFCE"/>
            <w:vAlign w:val="center"/>
          </w:tcPr>
          <w:p w14:paraId="1E1C5A29"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40BBA98A" w14:textId="77777777" w:rsidR="00553430" w:rsidRDefault="00212577">
            <w:pPr>
              <w:pStyle w:val="P68B1DB1-Normal102"/>
              <w:spacing w:after="0" w:line="240" w:lineRule="auto"/>
              <w:textAlignment w:val="baseline"/>
              <w:rPr>
                <w:noProof/>
              </w:rPr>
            </w:pPr>
            <w:r>
              <w:rPr>
                <w:noProof/>
              </w:rPr>
              <w:t xml:space="preserve">Amélioration de la qualité du soutien aux groupes vulnérables </w:t>
            </w:r>
          </w:p>
        </w:tc>
      </w:tr>
      <w:tr w:rsidR="00553430" w14:paraId="7AF04BFA" w14:textId="77777777">
        <w:trPr>
          <w:trHeight w:val="51"/>
        </w:trPr>
        <w:tc>
          <w:tcPr>
            <w:tcW w:w="1096" w:type="dxa"/>
            <w:shd w:val="clear" w:color="auto" w:fill="C6EFCE"/>
            <w:vAlign w:val="center"/>
          </w:tcPr>
          <w:p w14:paraId="688966FA" w14:textId="77777777" w:rsidR="00553430" w:rsidRDefault="00212577">
            <w:pPr>
              <w:pStyle w:val="P68B1DB1-Normal102"/>
              <w:spacing w:after="0" w:line="240" w:lineRule="auto"/>
              <w:jc w:val="center"/>
              <w:textAlignment w:val="baseline"/>
              <w:rPr>
                <w:noProof/>
              </w:rPr>
            </w:pPr>
            <w:r>
              <w:rPr>
                <w:noProof/>
              </w:rPr>
              <w:t>295</w:t>
            </w:r>
          </w:p>
        </w:tc>
        <w:tc>
          <w:tcPr>
            <w:tcW w:w="1639" w:type="dxa"/>
            <w:shd w:val="clear" w:color="auto" w:fill="C6EFCE"/>
            <w:vAlign w:val="center"/>
          </w:tcPr>
          <w:p w14:paraId="7A407BE1" w14:textId="77777777" w:rsidR="00553430" w:rsidRDefault="00212577">
            <w:pPr>
              <w:pStyle w:val="P68B1DB1-Normal102"/>
              <w:spacing w:after="0" w:line="240" w:lineRule="auto"/>
              <w:jc w:val="center"/>
              <w:textAlignment w:val="baseline"/>
              <w:rPr>
                <w:noProof/>
              </w:rPr>
            </w:pPr>
            <w:r>
              <w:rPr>
                <w:noProof/>
              </w:rPr>
              <w:t>C4.1. R4</w:t>
            </w:r>
          </w:p>
        </w:tc>
        <w:tc>
          <w:tcPr>
            <w:tcW w:w="1274" w:type="dxa"/>
            <w:shd w:val="clear" w:color="auto" w:fill="C6EFCE"/>
            <w:vAlign w:val="center"/>
          </w:tcPr>
          <w:p w14:paraId="16DD58A2"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49DF5ED" w14:textId="77777777" w:rsidR="00553430" w:rsidRDefault="00212577">
            <w:pPr>
              <w:pStyle w:val="P68B1DB1-Normal102"/>
              <w:spacing w:after="0" w:line="240" w:lineRule="auto"/>
              <w:textAlignment w:val="baseline"/>
              <w:rPr>
                <w:noProof/>
              </w:rPr>
            </w:pPr>
            <w:r>
              <w:rPr>
                <w:noProof/>
              </w:rPr>
              <w:t xml:space="preserve">Augmenter à 50 % le rapport entre le salaire minimum et le salaire brut moyen en 2024. </w:t>
            </w:r>
          </w:p>
        </w:tc>
      </w:tr>
      <w:tr w:rsidR="00553430" w14:paraId="0F3EB3F6" w14:textId="77777777">
        <w:trPr>
          <w:trHeight w:val="51"/>
        </w:trPr>
        <w:tc>
          <w:tcPr>
            <w:tcW w:w="1096" w:type="dxa"/>
            <w:shd w:val="clear" w:color="auto" w:fill="C6EFCE"/>
            <w:vAlign w:val="center"/>
          </w:tcPr>
          <w:p w14:paraId="6F9FAF94" w14:textId="77777777" w:rsidR="00553430" w:rsidRDefault="00212577">
            <w:pPr>
              <w:pStyle w:val="P68B1DB1-Normal102"/>
              <w:spacing w:after="0" w:line="240" w:lineRule="auto"/>
              <w:jc w:val="center"/>
              <w:textAlignment w:val="baseline"/>
              <w:rPr>
                <w:noProof/>
              </w:rPr>
            </w:pPr>
            <w:r>
              <w:rPr>
                <w:noProof/>
              </w:rPr>
              <w:t>296</w:t>
            </w:r>
          </w:p>
        </w:tc>
        <w:tc>
          <w:tcPr>
            <w:tcW w:w="1639" w:type="dxa"/>
            <w:shd w:val="clear" w:color="auto" w:fill="C6EFCE"/>
            <w:vAlign w:val="center"/>
          </w:tcPr>
          <w:p w14:paraId="5C1FA10C" w14:textId="77777777" w:rsidR="00553430" w:rsidRDefault="00212577">
            <w:pPr>
              <w:pStyle w:val="P68B1DB1-Normal102"/>
              <w:spacing w:after="0" w:line="240" w:lineRule="auto"/>
              <w:jc w:val="center"/>
              <w:textAlignment w:val="baseline"/>
              <w:rPr>
                <w:noProof/>
              </w:rPr>
            </w:pPr>
            <w:r>
              <w:rPr>
                <w:noProof/>
              </w:rPr>
              <w:t>C4.1. R4</w:t>
            </w:r>
          </w:p>
        </w:tc>
        <w:tc>
          <w:tcPr>
            <w:tcW w:w="1274" w:type="dxa"/>
            <w:shd w:val="clear" w:color="auto" w:fill="C6EFCE"/>
            <w:vAlign w:val="center"/>
          </w:tcPr>
          <w:p w14:paraId="447232EF"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C18D20A" w14:textId="77777777" w:rsidR="00553430" w:rsidRDefault="00212577">
            <w:pPr>
              <w:pStyle w:val="P68B1DB1-Normal102"/>
              <w:spacing w:after="0" w:line="240" w:lineRule="auto"/>
              <w:textAlignment w:val="baseline"/>
              <w:rPr>
                <w:noProof/>
              </w:rPr>
            </w:pPr>
            <w:r>
              <w:rPr>
                <w:noProof/>
              </w:rPr>
              <w:t>Réduire la part des contrats temporaires à 17 %</w:t>
            </w:r>
          </w:p>
        </w:tc>
      </w:tr>
      <w:tr w:rsidR="00553430" w14:paraId="6AB35297" w14:textId="77777777">
        <w:trPr>
          <w:trHeight w:val="51"/>
        </w:trPr>
        <w:tc>
          <w:tcPr>
            <w:tcW w:w="1096" w:type="dxa"/>
            <w:shd w:val="clear" w:color="auto" w:fill="C6EFCE"/>
            <w:vAlign w:val="center"/>
          </w:tcPr>
          <w:p w14:paraId="738A8E40" w14:textId="77777777" w:rsidR="00553430" w:rsidRDefault="00212577">
            <w:pPr>
              <w:pStyle w:val="P68B1DB1-Normal102"/>
              <w:spacing w:after="0" w:line="240" w:lineRule="auto"/>
              <w:jc w:val="center"/>
              <w:textAlignment w:val="baseline"/>
              <w:rPr>
                <w:noProof/>
              </w:rPr>
            </w:pPr>
            <w:r>
              <w:rPr>
                <w:noProof/>
              </w:rPr>
              <w:t>299</w:t>
            </w:r>
          </w:p>
        </w:tc>
        <w:tc>
          <w:tcPr>
            <w:tcW w:w="1639" w:type="dxa"/>
            <w:shd w:val="clear" w:color="auto" w:fill="C6EFCE"/>
            <w:vAlign w:val="center"/>
          </w:tcPr>
          <w:p w14:paraId="25801BB2" w14:textId="77777777" w:rsidR="00553430" w:rsidRDefault="00212577">
            <w:pPr>
              <w:pStyle w:val="P68B1DB1-Normal102"/>
              <w:spacing w:after="0" w:line="240" w:lineRule="auto"/>
              <w:jc w:val="center"/>
              <w:textAlignment w:val="baseline"/>
              <w:rPr>
                <w:noProof/>
              </w:rPr>
            </w:pPr>
            <w:r>
              <w:rPr>
                <w:noProof/>
              </w:rPr>
              <w:t>C4.2. R1</w:t>
            </w:r>
          </w:p>
        </w:tc>
        <w:tc>
          <w:tcPr>
            <w:tcW w:w="1274" w:type="dxa"/>
            <w:shd w:val="clear" w:color="auto" w:fill="C6EFCE"/>
            <w:vAlign w:val="center"/>
          </w:tcPr>
          <w:p w14:paraId="3EB34B9D"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F68989A" w14:textId="77777777" w:rsidR="00553430" w:rsidRDefault="00212577">
            <w:pPr>
              <w:pStyle w:val="P68B1DB1-Normal102"/>
              <w:spacing w:after="0" w:line="240" w:lineRule="auto"/>
              <w:textAlignment w:val="baseline"/>
              <w:rPr>
                <w:noProof/>
              </w:rPr>
            </w:pPr>
            <w:r>
              <w:rPr>
                <w:noProof/>
              </w:rPr>
              <w:t xml:space="preserve">une augmentation d’au moins 10 % du revenu total de pension pour les bénéficiaires de la forme redéfinie de pension de survie; </w:t>
            </w:r>
          </w:p>
        </w:tc>
      </w:tr>
      <w:tr w:rsidR="00553430" w14:paraId="1214AD83" w14:textId="77777777">
        <w:trPr>
          <w:trHeight w:val="51"/>
        </w:trPr>
        <w:tc>
          <w:tcPr>
            <w:tcW w:w="1096" w:type="dxa"/>
            <w:shd w:val="clear" w:color="auto" w:fill="C6EFCE"/>
            <w:vAlign w:val="center"/>
          </w:tcPr>
          <w:p w14:paraId="7C74546D" w14:textId="77777777" w:rsidR="00553430" w:rsidRDefault="00212577">
            <w:pPr>
              <w:pStyle w:val="P68B1DB1-Normal102"/>
              <w:spacing w:after="0" w:line="240" w:lineRule="auto"/>
              <w:jc w:val="center"/>
              <w:textAlignment w:val="baseline"/>
              <w:rPr>
                <w:noProof/>
              </w:rPr>
            </w:pPr>
            <w:r>
              <w:rPr>
                <w:noProof/>
              </w:rPr>
              <w:t>301</w:t>
            </w:r>
          </w:p>
        </w:tc>
        <w:tc>
          <w:tcPr>
            <w:tcW w:w="1639" w:type="dxa"/>
            <w:shd w:val="clear" w:color="auto" w:fill="C6EFCE"/>
            <w:vAlign w:val="center"/>
          </w:tcPr>
          <w:p w14:paraId="15D7D72E" w14:textId="77777777" w:rsidR="00553430" w:rsidRDefault="00212577">
            <w:pPr>
              <w:pStyle w:val="P68B1DB1-Normal102"/>
              <w:spacing w:after="0" w:line="240" w:lineRule="auto"/>
              <w:jc w:val="center"/>
              <w:textAlignment w:val="baseline"/>
              <w:rPr>
                <w:noProof/>
              </w:rPr>
            </w:pPr>
            <w:r>
              <w:rPr>
                <w:noProof/>
              </w:rPr>
              <w:t>C4.2. R1</w:t>
            </w:r>
          </w:p>
        </w:tc>
        <w:tc>
          <w:tcPr>
            <w:tcW w:w="1274" w:type="dxa"/>
            <w:shd w:val="clear" w:color="auto" w:fill="C6EFCE"/>
            <w:vAlign w:val="center"/>
          </w:tcPr>
          <w:p w14:paraId="1466C3AD"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56D6DA8" w14:textId="77777777" w:rsidR="00553430" w:rsidRDefault="00212577">
            <w:pPr>
              <w:pStyle w:val="P68B1DB1-Normal102"/>
              <w:spacing w:after="0" w:line="240" w:lineRule="auto"/>
              <w:textAlignment w:val="baseline"/>
              <w:rPr>
                <w:noProof/>
              </w:rPr>
            </w:pPr>
            <w:r>
              <w:rPr>
                <w:noProof/>
              </w:rPr>
              <w:t>Augmentation de 3 % de la pension minimale</w:t>
            </w:r>
          </w:p>
        </w:tc>
      </w:tr>
      <w:tr w:rsidR="00553430" w14:paraId="01214B6E" w14:textId="77777777">
        <w:trPr>
          <w:trHeight w:val="51"/>
        </w:trPr>
        <w:tc>
          <w:tcPr>
            <w:tcW w:w="1096" w:type="dxa"/>
            <w:shd w:val="clear" w:color="auto" w:fill="C6EFCE"/>
            <w:vAlign w:val="center"/>
          </w:tcPr>
          <w:p w14:paraId="3E512826" w14:textId="77777777" w:rsidR="00553430" w:rsidRDefault="00212577">
            <w:pPr>
              <w:pStyle w:val="P68B1DB1-Normal102"/>
              <w:spacing w:after="0" w:line="240" w:lineRule="auto"/>
              <w:jc w:val="center"/>
              <w:textAlignment w:val="baseline"/>
              <w:rPr>
                <w:noProof/>
              </w:rPr>
            </w:pPr>
            <w:r>
              <w:rPr>
                <w:noProof/>
              </w:rPr>
              <w:t>305</w:t>
            </w:r>
          </w:p>
        </w:tc>
        <w:tc>
          <w:tcPr>
            <w:tcW w:w="1639" w:type="dxa"/>
            <w:shd w:val="clear" w:color="auto" w:fill="C6EFCE"/>
            <w:vAlign w:val="center"/>
          </w:tcPr>
          <w:p w14:paraId="4A7DFE10" w14:textId="77777777" w:rsidR="00553430" w:rsidRDefault="00212577">
            <w:pPr>
              <w:pStyle w:val="P68B1DB1-Normal102"/>
              <w:spacing w:after="0" w:line="240" w:lineRule="auto"/>
              <w:jc w:val="center"/>
              <w:textAlignment w:val="baseline"/>
              <w:rPr>
                <w:noProof/>
              </w:rPr>
            </w:pPr>
            <w:r>
              <w:rPr>
                <w:noProof/>
              </w:rPr>
              <w:t>C4.3. R1</w:t>
            </w:r>
          </w:p>
        </w:tc>
        <w:tc>
          <w:tcPr>
            <w:tcW w:w="1274" w:type="dxa"/>
            <w:shd w:val="clear" w:color="auto" w:fill="C6EFCE"/>
            <w:vAlign w:val="center"/>
          </w:tcPr>
          <w:p w14:paraId="5E8897DC"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936A9EA" w14:textId="77777777" w:rsidR="00553430" w:rsidRDefault="00212577">
            <w:pPr>
              <w:pStyle w:val="P68B1DB1-Normal102"/>
              <w:spacing w:after="0" w:line="240" w:lineRule="auto"/>
              <w:textAlignment w:val="baseline"/>
              <w:rPr>
                <w:noProof/>
              </w:rPr>
            </w:pPr>
            <w:r>
              <w:rPr>
                <w:noProof/>
              </w:rPr>
              <w:t xml:space="preserve">Adoption d'une règle normative sur les prestations sociales fonctionnellement intégrées </w:t>
            </w:r>
          </w:p>
        </w:tc>
      </w:tr>
      <w:tr w:rsidR="00553430" w14:paraId="651E8494" w14:textId="77777777">
        <w:trPr>
          <w:trHeight w:val="51"/>
        </w:trPr>
        <w:tc>
          <w:tcPr>
            <w:tcW w:w="1096" w:type="dxa"/>
            <w:shd w:val="clear" w:color="auto" w:fill="C6EFCE"/>
            <w:vAlign w:val="center"/>
          </w:tcPr>
          <w:p w14:paraId="75577122" w14:textId="77777777" w:rsidR="00553430" w:rsidRDefault="00212577">
            <w:pPr>
              <w:pStyle w:val="P68B1DB1-Normal102"/>
              <w:spacing w:after="0" w:line="240" w:lineRule="auto"/>
              <w:jc w:val="center"/>
              <w:textAlignment w:val="baseline"/>
              <w:rPr>
                <w:noProof/>
              </w:rPr>
            </w:pPr>
            <w:r>
              <w:rPr>
                <w:noProof/>
              </w:rPr>
              <w:t>308</w:t>
            </w:r>
          </w:p>
        </w:tc>
        <w:tc>
          <w:tcPr>
            <w:tcW w:w="1639" w:type="dxa"/>
            <w:shd w:val="clear" w:color="auto" w:fill="C6EFCE"/>
            <w:vAlign w:val="center"/>
          </w:tcPr>
          <w:p w14:paraId="369C0BB5" w14:textId="77777777" w:rsidR="00553430" w:rsidRDefault="00212577">
            <w:pPr>
              <w:pStyle w:val="P68B1DB1-Normal102"/>
              <w:spacing w:after="0" w:line="240" w:lineRule="auto"/>
              <w:jc w:val="center"/>
              <w:textAlignment w:val="baseline"/>
              <w:rPr>
                <w:noProof/>
              </w:rPr>
            </w:pPr>
            <w:r>
              <w:rPr>
                <w:noProof/>
              </w:rPr>
              <w:t>C4.3. R1-I2</w:t>
            </w:r>
          </w:p>
        </w:tc>
        <w:tc>
          <w:tcPr>
            <w:tcW w:w="1274" w:type="dxa"/>
            <w:shd w:val="clear" w:color="auto" w:fill="C6EFCE"/>
            <w:vAlign w:val="center"/>
          </w:tcPr>
          <w:p w14:paraId="1B79E26B"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2DEFD72C" w14:textId="77777777" w:rsidR="00553430" w:rsidRDefault="00212577">
            <w:pPr>
              <w:pStyle w:val="P68B1DB1-Normal102"/>
              <w:spacing w:after="0" w:line="240" w:lineRule="auto"/>
              <w:textAlignment w:val="baseline"/>
              <w:rPr>
                <w:noProof/>
              </w:rPr>
            </w:pPr>
            <w:r>
              <w:rPr>
                <w:noProof/>
              </w:rPr>
              <w:t>Disponibilité numérique des informations sur les prestations de protection sociale au niveau national</w:t>
            </w:r>
          </w:p>
        </w:tc>
      </w:tr>
      <w:tr w:rsidR="00553430" w14:paraId="188888A4" w14:textId="77777777">
        <w:trPr>
          <w:trHeight w:val="51"/>
        </w:trPr>
        <w:tc>
          <w:tcPr>
            <w:tcW w:w="1096" w:type="dxa"/>
            <w:shd w:val="clear" w:color="auto" w:fill="C6EFCE"/>
            <w:vAlign w:val="center"/>
          </w:tcPr>
          <w:p w14:paraId="5ED11A8C" w14:textId="77777777" w:rsidR="00553430" w:rsidRDefault="00212577">
            <w:pPr>
              <w:pStyle w:val="P68B1DB1-Normal102"/>
              <w:spacing w:after="0" w:line="240" w:lineRule="auto"/>
              <w:jc w:val="center"/>
              <w:textAlignment w:val="baseline"/>
              <w:rPr>
                <w:noProof/>
              </w:rPr>
            </w:pPr>
            <w:r>
              <w:rPr>
                <w:noProof/>
              </w:rPr>
              <w:t>314</w:t>
            </w:r>
          </w:p>
        </w:tc>
        <w:tc>
          <w:tcPr>
            <w:tcW w:w="1639" w:type="dxa"/>
            <w:shd w:val="clear" w:color="auto" w:fill="C6EFCE"/>
            <w:vAlign w:val="center"/>
          </w:tcPr>
          <w:p w14:paraId="16F46592" w14:textId="77777777" w:rsidR="00553430" w:rsidRDefault="00212577">
            <w:pPr>
              <w:pStyle w:val="P68B1DB1-Normal102"/>
              <w:spacing w:after="0" w:line="240" w:lineRule="auto"/>
              <w:jc w:val="center"/>
              <w:textAlignment w:val="baseline"/>
              <w:rPr>
                <w:noProof/>
              </w:rPr>
            </w:pPr>
            <w:r>
              <w:rPr>
                <w:noProof/>
              </w:rPr>
              <w:t>C4.3. R3-I1</w:t>
            </w:r>
          </w:p>
        </w:tc>
        <w:tc>
          <w:tcPr>
            <w:tcW w:w="1274" w:type="dxa"/>
            <w:shd w:val="clear" w:color="auto" w:fill="C6EFCE"/>
            <w:vAlign w:val="center"/>
          </w:tcPr>
          <w:p w14:paraId="38E95D6B"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BB1A15E" w14:textId="77777777" w:rsidR="00553430" w:rsidRDefault="00212577">
            <w:pPr>
              <w:pStyle w:val="P68B1DB1-Normal102"/>
              <w:spacing w:after="0" w:line="240" w:lineRule="auto"/>
              <w:textAlignment w:val="baseline"/>
              <w:rPr>
                <w:noProof/>
              </w:rPr>
            </w:pPr>
            <w:r>
              <w:rPr>
                <w:noProof/>
              </w:rPr>
              <w:t xml:space="preserve">Renforcement des capacités </w:t>
            </w:r>
            <w:r>
              <w:rPr>
                <w:noProof/>
              </w:rPr>
              <w:t>humaines en matière de prestation de services communautaires</w:t>
            </w:r>
          </w:p>
        </w:tc>
      </w:tr>
      <w:tr w:rsidR="00553430" w14:paraId="700F17B4" w14:textId="77777777">
        <w:trPr>
          <w:trHeight w:val="51"/>
        </w:trPr>
        <w:tc>
          <w:tcPr>
            <w:tcW w:w="1096" w:type="dxa"/>
            <w:shd w:val="clear" w:color="auto" w:fill="C6EFCE"/>
            <w:vAlign w:val="center"/>
          </w:tcPr>
          <w:p w14:paraId="48EEA7DC" w14:textId="77777777" w:rsidR="00553430" w:rsidRDefault="00212577">
            <w:pPr>
              <w:pStyle w:val="P68B1DB1-Normal102"/>
              <w:spacing w:after="0" w:line="240" w:lineRule="auto"/>
              <w:jc w:val="center"/>
              <w:textAlignment w:val="baseline"/>
              <w:rPr>
                <w:noProof/>
              </w:rPr>
            </w:pPr>
            <w:r>
              <w:rPr>
                <w:noProof/>
              </w:rPr>
              <w:t>378</w:t>
            </w:r>
          </w:p>
        </w:tc>
        <w:tc>
          <w:tcPr>
            <w:tcW w:w="1639" w:type="dxa"/>
            <w:shd w:val="clear" w:color="auto" w:fill="C6EFCE"/>
            <w:vAlign w:val="center"/>
          </w:tcPr>
          <w:p w14:paraId="06AA8A2D" w14:textId="77777777" w:rsidR="00553430" w:rsidRDefault="00212577">
            <w:pPr>
              <w:pStyle w:val="P68B1DB1-Normal102"/>
              <w:spacing w:after="0" w:line="240" w:lineRule="auto"/>
              <w:jc w:val="center"/>
              <w:textAlignment w:val="baseline"/>
              <w:rPr>
                <w:noProof/>
              </w:rPr>
            </w:pPr>
            <w:r>
              <w:rPr>
                <w:noProof/>
              </w:rPr>
              <w:t>C1.3. R2-I1</w:t>
            </w:r>
          </w:p>
        </w:tc>
        <w:tc>
          <w:tcPr>
            <w:tcW w:w="1274" w:type="dxa"/>
            <w:shd w:val="clear" w:color="auto" w:fill="C6EFCE"/>
            <w:vAlign w:val="center"/>
          </w:tcPr>
          <w:p w14:paraId="57839F5C"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6F858368" w14:textId="77777777" w:rsidR="00553430" w:rsidRDefault="00212577">
            <w:pPr>
              <w:pStyle w:val="P68B1DB1-Normal102"/>
              <w:spacing w:after="0" w:line="240" w:lineRule="auto"/>
              <w:textAlignment w:val="baseline"/>
              <w:rPr>
                <w:noProof/>
              </w:rPr>
            </w:pPr>
            <w:r>
              <w:rPr>
                <w:noProof/>
              </w:rPr>
              <w:t>Entrée en vigueur du règlement relatif à la taxe sur la mise en décharge</w:t>
            </w:r>
          </w:p>
        </w:tc>
      </w:tr>
      <w:tr w:rsidR="00553430" w14:paraId="08349873" w14:textId="77777777">
        <w:trPr>
          <w:trHeight w:val="51"/>
        </w:trPr>
        <w:tc>
          <w:tcPr>
            <w:tcW w:w="1096" w:type="dxa"/>
            <w:shd w:val="clear" w:color="auto" w:fill="C6EFCE"/>
          </w:tcPr>
          <w:p w14:paraId="0E0D3607" w14:textId="77777777" w:rsidR="00553430" w:rsidRDefault="00212577">
            <w:pPr>
              <w:pStyle w:val="P68B1DB1-Normal89"/>
              <w:spacing w:after="0" w:line="240" w:lineRule="auto"/>
              <w:jc w:val="center"/>
              <w:textAlignment w:val="baseline"/>
              <w:rPr>
                <w:noProof/>
                <w:color w:val="000000"/>
              </w:rPr>
            </w:pPr>
            <w:r>
              <w:rPr>
                <w:noProof/>
              </w:rPr>
              <w:t>408</w:t>
            </w:r>
          </w:p>
        </w:tc>
        <w:tc>
          <w:tcPr>
            <w:tcW w:w="1639" w:type="dxa"/>
            <w:shd w:val="clear" w:color="auto" w:fill="C6EFCE"/>
          </w:tcPr>
          <w:p w14:paraId="2BDE51BB" w14:textId="77777777" w:rsidR="00553430" w:rsidRDefault="00212577">
            <w:pPr>
              <w:pStyle w:val="P68B1DB1-Normal89"/>
              <w:spacing w:after="0" w:line="240" w:lineRule="auto"/>
              <w:jc w:val="center"/>
              <w:textAlignment w:val="baseline"/>
              <w:rPr>
                <w:noProof/>
                <w:color w:val="000000"/>
              </w:rPr>
            </w:pPr>
            <w:r>
              <w:rPr>
                <w:noProof/>
              </w:rPr>
              <w:t>C7.1 R1-I2</w:t>
            </w:r>
          </w:p>
        </w:tc>
        <w:tc>
          <w:tcPr>
            <w:tcW w:w="1274" w:type="dxa"/>
            <w:shd w:val="clear" w:color="auto" w:fill="C6EFCE"/>
          </w:tcPr>
          <w:p w14:paraId="0AF24CB4" w14:textId="77777777" w:rsidR="00553430" w:rsidRDefault="00212577">
            <w:pPr>
              <w:pStyle w:val="P68B1DB1-Normal89"/>
              <w:spacing w:after="0" w:line="240" w:lineRule="auto"/>
              <w:jc w:val="center"/>
              <w:textAlignment w:val="baseline"/>
              <w:rPr>
                <w:noProof/>
                <w:color w:val="000000"/>
              </w:rPr>
            </w:pPr>
            <w:r>
              <w:rPr>
                <w:noProof/>
              </w:rPr>
              <w:t>M</w:t>
            </w:r>
          </w:p>
        </w:tc>
        <w:tc>
          <w:tcPr>
            <w:tcW w:w="5347" w:type="dxa"/>
            <w:shd w:val="clear" w:color="auto" w:fill="C6EFCE"/>
          </w:tcPr>
          <w:p w14:paraId="0C7539BC" w14:textId="77777777" w:rsidR="00553430" w:rsidRDefault="00212577">
            <w:pPr>
              <w:pStyle w:val="P68B1DB1-Normal89"/>
              <w:spacing w:after="0" w:line="240" w:lineRule="auto"/>
              <w:textAlignment w:val="baseline"/>
              <w:rPr>
                <w:noProof/>
                <w:color w:val="000000"/>
              </w:rPr>
            </w:pPr>
            <w:r>
              <w:rPr>
                <w:noProof/>
              </w:rPr>
              <w:t xml:space="preserve"> Étude du plan pour l’élaboration et la mise en œuvre de la stratégie croate de l’hydrogène jusqu’en 2050</w:t>
            </w:r>
          </w:p>
        </w:tc>
      </w:tr>
      <w:tr w:rsidR="00553430" w14:paraId="5371E6B9" w14:textId="77777777">
        <w:trPr>
          <w:trHeight w:val="51"/>
        </w:trPr>
        <w:tc>
          <w:tcPr>
            <w:tcW w:w="1096" w:type="dxa"/>
            <w:shd w:val="clear" w:color="auto" w:fill="C6EFCE"/>
          </w:tcPr>
          <w:p w14:paraId="64C91B43" w14:textId="77777777" w:rsidR="00553430" w:rsidRDefault="00553430">
            <w:pPr>
              <w:spacing w:after="0" w:line="240" w:lineRule="auto"/>
              <w:jc w:val="center"/>
              <w:textAlignment w:val="baseline"/>
              <w:rPr>
                <w:rFonts w:ascii="Times New Roman" w:hAnsi="Times New Roman" w:cs="Times New Roman"/>
                <w:noProof/>
                <w:color w:val="000000"/>
                <w:sz w:val="20"/>
                <w:szCs w:val="20"/>
              </w:rPr>
            </w:pPr>
          </w:p>
        </w:tc>
        <w:tc>
          <w:tcPr>
            <w:tcW w:w="1639" w:type="dxa"/>
            <w:shd w:val="clear" w:color="auto" w:fill="C6EFCE"/>
          </w:tcPr>
          <w:p w14:paraId="1227CEFB" w14:textId="77777777" w:rsidR="00553430" w:rsidRDefault="00553430">
            <w:pPr>
              <w:spacing w:after="0" w:line="240" w:lineRule="auto"/>
              <w:jc w:val="both"/>
              <w:textAlignment w:val="baseline"/>
              <w:rPr>
                <w:rFonts w:ascii="Times New Roman" w:hAnsi="Times New Roman" w:cs="Times New Roman"/>
                <w:noProof/>
                <w:color w:val="000000"/>
                <w:sz w:val="20"/>
                <w:szCs w:val="20"/>
              </w:rPr>
            </w:pPr>
          </w:p>
        </w:tc>
        <w:tc>
          <w:tcPr>
            <w:tcW w:w="1274" w:type="dxa"/>
            <w:shd w:val="clear" w:color="auto" w:fill="C6EFCE"/>
          </w:tcPr>
          <w:p w14:paraId="1C3C2D68" w14:textId="77777777" w:rsidR="00553430" w:rsidRDefault="00212577">
            <w:pPr>
              <w:pStyle w:val="P68B1DB1-Normal102"/>
              <w:spacing w:after="0" w:line="240" w:lineRule="auto"/>
              <w:jc w:val="both"/>
              <w:textAlignment w:val="baseline"/>
              <w:rPr>
                <w:noProof/>
              </w:rPr>
            </w:pPr>
            <w:r>
              <w:rPr>
                <w:noProof/>
              </w:rPr>
              <w:t>Montant des acomptes provisionnels</w:t>
            </w:r>
          </w:p>
        </w:tc>
        <w:tc>
          <w:tcPr>
            <w:tcW w:w="5347" w:type="dxa"/>
            <w:shd w:val="clear" w:color="auto" w:fill="C6EFCE"/>
            <w:vAlign w:val="center"/>
          </w:tcPr>
          <w:p w14:paraId="4BA6A76D" w14:textId="130CA8E8" w:rsidR="00553430" w:rsidRDefault="00212577">
            <w:pPr>
              <w:pStyle w:val="P68B1DB1-Normal102"/>
              <w:spacing w:after="0" w:line="240" w:lineRule="auto"/>
              <w:textAlignment w:val="baseline"/>
              <w:rPr>
                <w:noProof/>
              </w:rPr>
            </w:pPr>
            <w:r>
              <w:rPr>
                <w:noProof/>
              </w:rPr>
              <w:t>699 096 086 EUR</w:t>
            </w:r>
          </w:p>
        </w:tc>
      </w:tr>
    </w:tbl>
    <w:p w14:paraId="53AD3726" w14:textId="77777777" w:rsidR="00553430" w:rsidRDefault="00553430">
      <w:pPr>
        <w:spacing w:after="0" w:line="240" w:lineRule="auto"/>
        <w:jc w:val="both"/>
        <w:textAlignment w:val="baseline"/>
        <w:rPr>
          <w:rFonts w:eastAsia="Times New Roman"/>
          <w:noProof/>
          <w:szCs w:val="24"/>
        </w:rPr>
      </w:pPr>
    </w:p>
    <w:p w14:paraId="012EED47" w14:textId="77777777" w:rsidR="00553430" w:rsidRDefault="00553430">
      <w:pPr>
        <w:spacing w:after="0" w:line="240" w:lineRule="auto"/>
        <w:jc w:val="both"/>
        <w:textAlignment w:val="baseline"/>
        <w:rPr>
          <w:rFonts w:eastAsia="Times New Roman"/>
          <w:noProof/>
          <w:szCs w:val="24"/>
        </w:rPr>
      </w:pPr>
    </w:p>
    <w:p w14:paraId="372994E2" w14:textId="77777777" w:rsidR="00553430" w:rsidRDefault="00212577">
      <w:pPr>
        <w:pStyle w:val="P68B1DB1-Normal83"/>
        <w:numPr>
          <w:ilvl w:val="0"/>
          <w:numId w:val="80"/>
        </w:numPr>
        <w:spacing w:line="240" w:lineRule="auto"/>
        <w:contextualSpacing/>
        <w:jc w:val="both"/>
        <w:textAlignment w:val="baseline"/>
        <w:rPr>
          <w:noProof/>
        </w:rPr>
      </w:pPr>
      <w:r>
        <w:rPr>
          <w:noProof/>
        </w:rPr>
        <w:t xml:space="preserve">Huitième tranche (soutien non remboursable): </w:t>
      </w:r>
    </w:p>
    <w:p w14:paraId="5141610A" w14:textId="77777777" w:rsidR="00553430" w:rsidRDefault="00553430">
      <w:pPr>
        <w:spacing w:line="240" w:lineRule="auto"/>
        <w:ind w:left="720"/>
        <w:contextualSpacing/>
        <w:jc w:val="both"/>
        <w:textAlignment w:val="baseline"/>
        <w:rPr>
          <w:rFonts w:ascii="Times New Roman" w:eastAsia="Times New Roman" w:hAnsi="Times New Roman" w:cs="Times New Roman"/>
          <w:noProof/>
          <w:sz w:val="24"/>
          <w:szCs w:val="24"/>
        </w:rPr>
      </w:pPr>
    </w:p>
    <w:tbl>
      <w:tblPr>
        <w:tblW w:w="935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6"/>
        <w:gridCol w:w="1639"/>
        <w:gridCol w:w="1274"/>
        <w:gridCol w:w="5347"/>
      </w:tblGrid>
      <w:tr w:rsidR="00553430" w14:paraId="1566DBB5" w14:textId="77777777">
        <w:trPr>
          <w:trHeight w:val="517"/>
          <w:tblHeader/>
        </w:trPr>
        <w:tc>
          <w:tcPr>
            <w:tcW w:w="1096" w:type="dxa"/>
            <w:shd w:val="clear" w:color="auto" w:fill="BDD7EE"/>
            <w:vAlign w:val="center"/>
            <w:hideMark/>
          </w:tcPr>
          <w:p w14:paraId="5434ACA6" w14:textId="77777777" w:rsidR="00553430" w:rsidRDefault="00212577">
            <w:pPr>
              <w:pStyle w:val="P68B1DB1-Normal76"/>
              <w:spacing w:after="0" w:line="240" w:lineRule="auto"/>
              <w:jc w:val="center"/>
              <w:textAlignment w:val="baseline"/>
              <w:rPr>
                <w:noProof/>
              </w:rPr>
            </w:pPr>
            <w:r>
              <w:rPr>
                <w:b/>
                <w:noProof/>
              </w:rPr>
              <w:t>Numéro séquentiel</w:t>
            </w:r>
            <w:r>
              <w:rPr>
                <w:noProof/>
              </w:rPr>
              <w:t> </w:t>
            </w:r>
          </w:p>
        </w:tc>
        <w:tc>
          <w:tcPr>
            <w:tcW w:w="1639" w:type="dxa"/>
            <w:shd w:val="clear" w:color="auto" w:fill="BDD7EE"/>
            <w:vAlign w:val="center"/>
            <w:hideMark/>
          </w:tcPr>
          <w:p w14:paraId="03D04B5A" w14:textId="77777777" w:rsidR="00553430" w:rsidRDefault="00212577">
            <w:pPr>
              <w:pStyle w:val="P68B1DB1-Normal76"/>
              <w:spacing w:after="0" w:line="240" w:lineRule="auto"/>
              <w:jc w:val="center"/>
              <w:textAlignment w:val="baseline"/>
              <w:rPr>
                <w:noProof/>
              </w:rPr>
            </w:pPr>
            <w:r>
              <w:rPr>
                <w:b/>
                <w:noProof/>
              </w:rPr>
              <w:t xml:space="preserve">Mesure connexe (réforme ou </w:t>
            </w:r>
            <w:r>
              <w:rPr>
                <w:b/>
                <w:noProof/>
              </w:rPr>
              <w:t>investissement)</w:t>
            </w:r>
            <w:r>
              <w:rPr>
                <w:noProof/>
              </w:rPr>
              <w:t> </w:t>
            </w:r>
          </w:p>
        </w:tc>
        <w:tc>
          <w:tcPr>
            <w:tcW w:w="1274" w:type="dxa"/>
            <w:shd w:val="clear" w:color="auto" w:fill="BDD7EE"/>
            <w:vAlign w:val="center"/>
            <w:hideMark/>
          </w:tcPr>
          <w:p w14:paraId="68E77683" w14:textId="77777777" w:rsidR="00553430" w:rsidRDefault="00212577">
            <w:pPr>
              <w:pStyle w:val="P68B1DB1-Normal76"/>
              <w:spacing w:after="0" w:line="240" w:lineRule="auto"/>
              <w:jc w:val="center"/>
              <w:textAlignment w:val="baseline"/>
              <w:rPr>
                <w:noProof/>
              </w:rPr>
            </w:pPr>
            <w:r>
              <w:rPr>
                <w:b/>
                <w:noProof/>
              </w:rPr>
              <w:t>Étape/cible</w:t>
            </w:r>
            <w:r>
              <w:rPr>
                <w:noProof/>
              </w:rPr>
              <w:t> </w:t>
            </w:r>
          </w:p>
        </w:tc>
        <w:tc>
          <w:tcPr>
            <w:tcW w:w="5347" w:type="dxa"/>
            <w:shd w:val="clear" w:color="auto" w:fill="BDD7EE"/>
            <w:vAlign w:val="center"/>
            <w:hideMark/>
          </w:tcPr>
          <w:p w14:paraId="12BA6FFC" w14:textId="77777777" w:rsidR="00553430" w:rsidRDefault="00212577">
            <w:pPr>
              <w:pStyle w:val="P68B1DB1-Normal76"/>
              <w:spacing w:after="0" w:line="240" w:lineRule="auto"/>
              <w:jc w:val="center"/>
              <w:textAlignment w:val="baseline"/>
              <w:rPr>
                <w:noProof/>
              </w:rPr>
            </w:pPr>
            <w:r>
              <w:rPr>
                <w:b/>
                <w:noProof/>
              </w:rPr>
              <w:t>Nom</w:t>
            </w:r>
            <w:r>
              <w:rPr>
                <w:noProof/>
              </w:rPr>
              <w:t> </w:t>
            </w:r>
          </w:p>
        </w:tc>
      </w:tr>
      <w:tr w:rsidR="00553430" w14:paraId="3E3B127B" w14:textId="77777777">
        <w:trPr>
          <w:trHeight w:val="51"/>
        </w:trPr>
        <w:tc>
          <w:tcPr>
            <w:tcW w:w="1096" w:type="dxa"/>
            <w:shd w:val="clear" w:color="auto" w:fill="C6EFCE"/>
          </w:tcPr>
          <w:p w14:paraId="26077B55" w14:textId="77777777" w:rsidR="00553430" w:rsidRDefault="00212577">
            <w:pPr>
              <w:pStyle w:val="P68B1DB1-Normal102"/>
              <w:spacing w:after="0" w:line="240" w:lineRule="auto"/>
              <w:jc w:val="center"/>
              <w:textAlignment w:val="baseline"/>
              <w:rPr>
                <w:noProof/>
              </w:rPr>
            </w:pPr>
            <w:r>
              <w:rPr>
                <w:noProof/>
              </w:rPr>
              <w:t>78</w:t>
            </w:r>
          </w:p>
        </w:tc>
        <w:tc>
          <w:tcPr>
            <w:tcW w:w="1639" w:type="dxa"/>
            <w:shd w:val="clear" w:color="auto" w:fill="C6EFCE"/>
          </w:tcPr>
          <w:p w14:paraId="081337C9" w14:textId="77777777" w:rsidR="00553430" w:rsidRDefault="00212577">
            <w:pPr>
              <w:pStyle w:val="P68B1DB1-Normal102"/>
              <w:spacing w:after="0" w:line="240" w:lineRule="auto"/>
              <w:jc w:val="center"/>
              <w:textAlignment w:val="baseline"/>
              <w:rPr>
                <w:noProof/>
              </w:rPr>
            </w:pPr>
            <w:r>
              <w:rPr>
                <w:noProof/>
              </w:rPr>
              <w:t>C1.3. R1-I3</w:t>
            </w:r>
          </w:p>
        </w:tc>
        <w:tc>
          <w:tcPr>
            <w:tcW w:w="1274" w:type="dxa"/>
            <w:shd w:val="clear" w:color="auto" w:fill="C6EFCE"/>
          </w:tcPr>
          <w:p w14:paraId="644FCD91"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tcPr>
          <w:p w14:paraId="648E32AD" w14:textId="77777777" w:rsidR="00553430" w:rsidRDefault="00212577">
            <w:pPr>
              <w:pStyle w:val="P68B1DB1-Normal102"/>
              <w:spacing w:after="0" w:line="240" w:lineRule="auto"/>
              <w:textAlignment w:val="baseline"/>
              <w:rPr>
                <w:noProof/>
              </w:rPr>
            </w:pPr>
            <w:r>
              <w:rPr>
                <w:noProof/>
              </w:rPr>
              <w:t xml:space="preserve">Des cours d'eau revitalisés </w:t>
            </w:r>
          </w:p>
        </w:tc>
      </w:tr>
      <w:tr w:rsidR="00553430" w14:paraId="1678C69F" w14:textId="77777777">
        <w:trPr>
          <w:trHeight w:val="51"/>
        </w:trPr>
        <w:tc>
          <w:tcPr>
            <w:tcW w:w="1096" w:type="dxa"/>
            <w:shd w:val="clear" w:color="auto" w:fill="C6EFCE"/>
            <w:vAlign w:val="center"/>
          </w:tcPr>
          <w:p w14:paraId="7B40C748" w14:textId="77777777" w:rsidR="00553430" w:rsidRDefault="00212577">
            <w:pPr>
              <w:pStyle w:val="P68B1DB1-Normal102"/>
              <w:spacing w:after="0" w:line="240" w:lineRule="auto"/>
              <w:jc w:val="center"/>
              <w:textAlignment w:val="baseline"/>
              <w:rPr>
                <w:noProof/>
              </w:rPr>
            </w:pPr>
            <w:r>
              <w:rPr>
                <w:noProof/>
              </w:rPr>
              <w:t>119</w:t>
            </w:r>
          </w:p>
        </w:tc>
        <w:tc>
          <w:tcPr>
            <w:tcW w:w="1639" w:type="dxa"/>
            <w:shd w:val="clear" w:color="auto" w:fill="C6EFCE"/>
            <w:vAlign w:val="center"/>
          </w:tcPr>
          <w:p w14:paraId="7F2A03BF" w14:textId="77777777" w:rsidR="00553430" w:rsidRDefault="00212577">
            <w:pPr>
              <w:pStyle w:val="P68B1DB1-Normal102"/>
              <w:spacing w:after="0" w:line="240" w:lineRule="auto"/>
              <w:jc w:val="center"/>
              <w:textAlignment w:val="baseline"/>
              <w:rPr>
                <w:noProof/>
              </w:rPr>
            </w:pPr>
            <w:r>
              <w:rPr>
                <w:noProof/>
              </w:rPr>
              <w:t>C1.4. R5-I2</w:t>
            </w:r>
          </w:p>
        </w:tc>
        <w:tc>
          <w:tcPr>
            <w:tcW w:w="1274" w:type="dxa"/>
            <w:shd w:val="clear" w:color="auto" w:fill="C6EFCE"/>
            <w:vAlign w:val="center"/>
          </w:tcPr>
          <w:p w14:paraId="09DEBA7D"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0A509E1" w14:textId="77777777" w:rsidR="00553430" w:rsidRDefault="00212577">
            <w:pPr>
              <w:pStyle w:val="P68B1DB1-Normal102"/>
              <w:spacing w:after="0" w:line="240" w:lineRule="auto"/>
              <w:textAlignment w:val="baseline"/>
              <w:rPr>
                <w:noProof/>
              </w:rPr>
            </w:pPr>
            <w:r>
              <w:rPr>
                <w:noProof/>
              </w:rPr>
              <w:t>Prototypes de vérification de véhicules entièrement autonomes et électriques et essais pertinents</w:t>
            </w:r>
          </w:p>
        </w:tc>
      </w:tr>
      <w:tr w:rsidR="00553430" w14:paraId="185480D2" w14:textId="77777777">
        <w:trPr>
          <w:trHeight w:val="51"/>
        </w:trPr>
        <w:tc>
          <w:tcPr>
            <w:tcW w:w="1096" w:type="dxa"/>
            <w:shd w:val="clear" w:color="auto" w:fill="C6EFCE"/>
            <w:vAlign w:val="center"/>
            <w:hideMark/>
          </w:tcPr>
          <w:p w14:paraId="326878FC" w14:textId="77777777" w:rsidR="00553430" w:rsidRDefault="00212577">
            <w:pPr>
              <w:pStyle w:val="P68B1DB1-Normal102"/>
              <w:spacing w:after="0" w:line="240" w:lineRule="auto"/>
              <w:jc w:val="center"/>
              <w:textAlignment w:val="baseline"/>
              <w:rPr>
                <w:rFonts w:eastAsia="Times New Roman"/>
                <w:noProof/>
              </w:rPr>
            </w:pPr>
            <w:r>
              <w:rPr>
                <w:noProof/>
              </w:rPr>
              <w:t>133</w:t>
            </w:r>
          </w:p>
        </w:tc>
        <w:tc>
          <w:tcPr>
            <w:tcW w:w="1639" w:type="dxa"/>
            <w:shd w:val="clear" w:color="auto" w:fill="C6EFCE"/>
            <w:vAlign w:val="center"/>
            <w:hideMark/>
          </w:tcPr>
          <w:p w14:paraId="6CF6305D" w14:textId="77777777" w:rsidR="00553430" w:rsidRDefault="00212577">
            <w:pPr>
              <w:pStyle w:val="P68B1DB1-Normal102"/>
              <w:spacing w:after="0" w:line="240" w:lineRule="auto"/>
              <w:jc w:val="center"/>
              <w:textAlignment w:val="baseline"/>
              <w:rPr>
                <w:rFonts w:eastAsia="Times New Roman"/>
                <w:noProof/>
              </w:rPr>
            </w:pPr>
            <w:r>
              <w:rPr>
                <w:noProof/>
              </w:rPr>
              <w:t>C1.5. R2-I2</w:t>
            </w:r>
          </w:p>
        </w:tc>
        <w:tc>
          <w:tcPr>
            <w:tcW w:w="1274" w:type="dxa"/>
            <w:shd w:val="clear" w:color="auto" w:fill="C6EFCE"/>
            <w:vAlign w:val="center"/>
            <w:hideMark/>
          </w:tcPr>
          <w:p w14:paraId="3BAA514D" w14:textId="77777777" w:rsidR="00553430" w:rsidRDefault="00212577">
            <w:pPr>
              <w:pStyle w:val="P68B1DB1-Normal102"/>
              <w:spacing w:after="0" w:line="240" w:lineRule="auto"/>
              <w:jc w:val="center"/>
              <w:textAlignment w:val="baseline"/>
              <w:rPr>
                <w:rFonts w:eastAsia="Times New Roman"/>
                <w:noProof/>
              </w:rPr>
            </w:pPr>
            <w:r>
              <w:rPr>
                <w:noProof/>
              </w:rPr>
              <w:t>T</w:t>
            </w:r>
          </w:p>
        </w:tc>
        <w:tc>
          <w:tcPr>
            <w:tcW w:w="5347" w:type="dxa"/>
            <w:shd w:val="clear" w:color="auto" w:fill="C6EFCE"/>
            <w:vAlign w:val="center"/>
            <w:hideMark/>
          </w:tcPr>
          <w:p w14:paraId="0FFDD802" w14:textId="77777777" w:rsidR="00553430" w:rsidRDefault="00212577">
            <w:pPr>
              <w:pStyle w:val="P68B1DB1-Normal102"/>
              <w:spacing w:after="0" w:line="240" w:lineRule="auto"/>
              <w:textAlignment w:val="baseline"/>
              <w:rPr>
                <w:rFonts w:eastAsia="Times New Roman"/>
                <w:noProof/>
              </w:rPr>
            </w:pPr>
            <w:r>
              <w:rPr>
                <w:noProof/>
              </w:rPr>
              <w:t>Mise à niveau du système d'information</w:t>
            </w:r>
            <w:r>
              <w:rPr>
                <w:noProof/>
              </w:rPr>
              <w:t xml:space="preserve"> opérationnel pour le suivi des terres agricoles et création de 90 stations permanentes pour le suivi de l'état des terres agricoles</w:t>
            </w:r>
          </w:p>
        </w:tc>
      </w:tr>
      <w:tr w:rsidR="00553430" w14:paraId="591D7B62" w14:textId="77777777">
        <w:trPr>
          <w:trHeight w:val="51"/>
        </w:trPr>
        <w:tc>
          <w:tcPr>
            <w:tcW w:w="1096" w:type="dxa"/>
            <w:shd w:val="clear" w:color="auto" w:fill="C6EFCE"/>
            <w:vAlign w:val="center"/>
          </w:tcPr>
          <w:p w14:paraId="7CDEC5B0" w14:textId="77777777" w:rsidR="00553430" w:rsidRDefault="00212577">
            <w:pPr>
              <w:pStyle w:val="P68B1DB1-Normal102"/>
              <w:spacing w:after="0" w:line="240" w:lineRule="auto"/>
              <w:jc w:val="center"/>
              <w:textAlignment w:val="baseline"/>
              <w:rPr>
                <w:noProof/>
              </w:rPr>
            </w:pPr>
            <w:r>
              <w:rPr>
                <w:noProof/>
              </w:rPr>
              <w:t>175</w:t>
            </w:r>
          </w:p>
        </w:tc>
        <w:tc>
          <w:tcPr>
            <w:tcW w:w="1639" w:type="dxa"/>
            <w:shd w:val="clear" w:color="auto" w:fill="C6EFCE"/>
            <w:vAlign w:val="center"/>
          </w:tcPr>
          <w:p w14:paraId="0952E322" w14:textId="77777777" w:rsidR="00553430" w:rsidRDefault="00212577">
            <w:pPr>
              <w:pStyle w:val="P68B1DB1-Normal102"/>
              <w:spacing w:after="0" w:line="240" w:lineRule="auto"/>
              <w:jc w:val="center"/>
              <w:textAlignment w:val="baseline"/>
              <w:rPr>
                <w:noProof/>
              </w:rPr>
            </w:pPr>
            <w:r>
              <w:rPr>
                <w:noProof/>
              </w:rPr>
              <w:t>C2.2. R4-I1</w:t>
            </w:r>
          </w:p>
        </w:tc>
        <w:tc>
          <w:tcPr>
            <w:tcW w:w="1274" w:type="dxa"/>
            <w:shd w:val="clear" w:color="auto" w:fill="C6EFCE"/>
            <w:vAlign w:val="center"/>
          </w:tcPr>
          <w:p w14:paraId="4BE03BEF"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74681C95" w14:textId="77777777" w:rsidR="00553430" w:rsidRDefault="00212577">
            <w:pPr>
              <w:pStyle w:val="P68B1DB1-Normal102"/>
              <w:spacing w:after="0" w:line="240" w:lineRule="auto"/>
              <w:textAlignment w:val="baseline"/>
              <w:rPr>
                <w:noProof/>
              </w:rPr>
            </w:pPr>
            <w:r>
              <w:rPr>
                <w:noProof/>
              </w:rPr>
              <w:t xml:space="preserve">Mécanisme de soutien pour les connexions fonctionnelles et réelles volontaires et mise en place d'un </w:t>
            </w:r>
            <w:r>
              <w:rPr>
                <w:noProof/>
              </w:rPr>
              <w:t>système de soutien complet pour le couplage fonctionnel et efficace des unités</w:t>
            </w:r>
          </w:p>
        </w:tc>
      </w:tr>
      <w:tr w:rsidR="00553430" w14:paraId="32F3C764" w14:textId="77777777">
        <w:trPr>
          <w:trHeight w:val="51"/>
        </w:trPr>
        <w:tc>
          <w:tcPr>
            <w:tcW w:w="1096" w:type="dxa"/>
            <w:shd w:val="clear" w:color="auto" w:fill="C6EFCE"/>
            <w:vAlign w:val="center"/>
          </w:tcPr>
          <w:p w14:paraId="5B135729" w14:textId="77777777" w:rsidR="00553430" w:rsidRDefault="00212577">
            <w:pPr>
              <w:pStyle w:val="P68B1DB1-Normal102"/>
              <w:spacing w:after="0" w:line="240" w:lineRule="auto"/>
              <w:jc w:val="center"/>
              <w:textAlignment w:val="baseline"/>
              <w:rPr>
                <w:noProof/>
              </w:rPr>
            </w:pPr>
            <w:r>
              <w:rPr>
                <w:noProof/>
              </w:rPr>
              <w:t>239</w:t>
            </w:r>
          </w:p>
        </w:tc>
        <w:tc>
          <w:tcPr>
            <w:tcW w:w="1639" w:type="dxa"/>
            <w:shd w:val="clear" w:color="auto" w:fill="C6EFCE"/>
            <w:vAlign w:val="center"/>
          </w:tcPr>
          <w:p w14:paraId="1003A3B4" w14:textId="77777777" w:rsidR="00553430" w:rsidRDefault="00212577">
            <w:pPr>
              <w:pStyle w:val="P68B1DB1-Normal102"/>
              <w:spacing w:after="0" w:line="240" w:lineRule="auto"/>
              <w:jc w:val="center"/>
              <w:textAlignment w:val="baseline"/>
              <w:rPr>
                <w:noProof/>
              </w:rPr>
            </w:pPr>
            <w:r>
              <w:rPr>
                <w:noProof/>
              </w:rPr>
              <w:t>C2.6. R1-I1</w:t>
            </w:r>
          </w:p>
        </w:tc>
        <w:tc>
          <w:tcPr>
            <w:tcW w:w="1274" w:type="dxa"/>
            <w:shd w:val="clear" w:color="auto" w:fill="C6EFCE"/>
            <w:vAlign w:val="center"/>
          </w:tcPr>
          <w:p w14:paraId="76ABE1C4"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B0110F1" w14:textId="77777777" w:rsidR="00553430" w:rsidRDefault="00212577">
            <w:pPr>
              <w:pStyle w:val="P68B1DB1-Normal102"/>
              <w:spacing w:after="0" w:line="240" w:lineRule="auto"/>
              <w:textAlignment w:val="baseline"/>
              <w:rPr>
                <w:noProof/>
              </w:rPr>
            </w:pPr>
            <w:r>
              <w:rPr>
                <w:noProof/>
              </w:rPr>
              <w:t>Évaluation des effets de la campagne nationale d'information contre la corruption</w:t>
            </w:r>
          </w:p>
        </w:tc>
      </w:tr>
      <w:tr w:rsidR="00553430" w14:paraId="7970FC94" w14:textId="77777777">
        <w:trPr>
          <w:trHeight w:val="51"/>
        </w:trPr>
        <w:tc>
          <w:tcPr>
            <w:tcW w:w="1096" w:type="dxa"/>
            <w:shd w:val="clear" w:color="auto" w:fill="C6EFCE"/>
            <w:vAlign w:val="center"/>
          </w:tcPr>
          <w:p w14:paraId="4D351900" w14:textId="77777777" w:rsidR="00553430" w:rsidRDefault="00212577">
            <w:pPr>
              <w:pStyle w:val="P68B1DB1-Normal102"/>
              <w:spacing w:after="0" w:line="240" w:lineRule="auto"/>
              <w:jc w:val="center"/>
              <w:textAlignment w:val="baseline"/>
              <w:rPr>
                <w:noProof/>
              </w:rPr>
            </w:pPr>
            <w:r>
              <w:rPr>
                <w:noProof/>
              </w:rPr>
              <w:t>242</w:t>
            </w:r>
          </w:p>
        </w:tc>
        <w:tc>
          <w:tcPr>
            <w:tcW w:w="1639" w:type="dxa"/>
            <w:shd w:val="clear" w:color="auto" w:fill="C6EFCE"/>
            <w:vAlign w:val="center"/>
          </w:tcPr>
          <w:p w14:paraId="090CEE65" w14:textId="77777777" w:rsidR="00553430" w:rsidRDefault="00212577">
            <w:pPr>
              <w:pStyle w:val="P68B1DB1-Normal102"/>
              <w:spacing w:after="0" w:line="240" w:lineRule="auto"/>
              <w:jc w:val="center"/>
              <w:textAlignment w:val="baseline"/>
              <w:rPr>
                <w:noProof/>
              </w:rPr>
            </w:pPr>
            <w:r>
              <w:rPr>
                <w:noProof/>
              </w:rPr>
              <w:t>C2.6. R1-I4</w:t>
            </w:r>
          </w:p>
        </w:tc>
        <w:tc>
          <w:tcPr>
            <w:tcW w:w="1274" w:type="dxa"/>
            <w:shd w:val="clear" w:color="auto" w:fill="C6EFCE"/>
            <w:vAlign w:val="center"/>
          </w:tcPr>
          <w:p w14:paraId="5022408D"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D135357" w14:textId="77777777" w:rsidR="00553430" w:rsidRDefault="00212577">
            <w:pPr>
              <w:pStyle w:val="P68B1DB1-Normal102"/>
              <w:spacing w:after="0" w:line="240" w:lineRule="auto"/>
              <w:textAlignment w:val="baseline"/>
              <w:rPr>
                <w:noProof/>
              </w:rPr>
            </w:pPr>
            <w:r>
              <w:rPr>
                <w:noProof/>
              </w:rPr>
              <w:t>Mise à niveau de 4 centres régionaux de l'Office national</w:t>
            </w:r>
            <w:r>
              <w:rPr>
                <w:noProof/>
              </w:rPr>
              <w:t xml:space="preserve"> de la police pour la lutte contre la corruption et la criminalité organisée (PN USKOK)</w:t>
            </w:r>
          </w:p>
        </w:tc>
      </w:tr>
      <w:tr w:rsidR="00553430" w14:paraId="79D998D0" w14:textId="77777777">
        <w:trPr>
          <w:trHeight w:val="51"/>
        </w:trPr>
        <w:tc>
          <w:tcPr>
            <w:tcW w:w="1096" w:type="dxa"/>
            <w:shd w:val="clear" w:color="auto" w:fill="C6EFCE"/>
            <w:vAlign w:val="center"/>
          </w:tcPr>
          <w:p w14:paraId="7E96C102" w14:textId="77777777" w:rsidR="00553430" w:rsidRDefault="00212577">
            <w:pPr>
              <w:pStyle w:val="P68B1DB1-Normal102"/>
              <w:spacing w:after="0" w:line="240" w:lineRule="auto"/>
              <w:jc w:val="center"/>
              <w:textAlignment w:val="baseline"/>
              <w:rPr>
                <w:noProof/>
              </w:rPr>
            </w:pPr>
            <w:r>
              <w:rPr>
                <w:noProof/>
              </w:rPr>
              <w:t>282</w:t>
            </w:r>
          </w:p>
        </w:tc>
        <w:tc>
          <w:tcPr>
            <w:tcW w:w="1639" w:type="dxa"/>
            <w:shd w:val="clear" w:color="auto" w:fill="C6EFCE"/>
            <w:vAlign w:val="center"/>
          </w:tcPr>
          <w:p w14:paraId="787764AE" w14:textId="77777777" w:rsidR="00553430" w:rsidRDefault="00212577">
            <w:pPr>
              <w:pStyle w:val="P68B1DB1-Normal102"/>
              <w:spacing w:after="0" w:line="240" w:lineRule="auto"/>
              <w:jc w:val="center"/>
              <w:textAlignment w:val="baseline"/>
              <w:rPr>
                <w:noProof/>
              </w:rPr>
            </w:pPr>
            <w:r>
              <w:rPr>
                <w:noProof/>
              </w:rPr>
              <w:t>C3.2. R2-I1</w:t>
            </w:r>
          </w:p>
        </w:tc>
        <w:tc>
          <w:tcPr>
            <w:tcW w:w="1274" w:type="dxa"/>
            <w:shd w:val="clear" w:color="auto" w:fill="C6EFCE"/>
            <w:vAlign w:val="center"/>
          </w:tcPr>
          <w:p w14:paraId="175E6A43"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C1F5A58" w14:textId="77777777" w:rsidR="00553430" w:rsidRDefault="00212577">
            <w:pPr>
              <w:pStyle w:val="P68B1DB1-Normal102"/>
              <w:spacing w:after="0" w:line="240" w:lineRule="auto"/>
              <w:textAlignment w:val="baseline"/>
              <w:rPr>
                <w:noProof/>
              </w:rPr>
            </w:pPr>
            <w:r>
              <w:rPr>
                <w:noProof/>
              </w:rPr>
              <w:t xml:space="preserve">Subventions octroyées au titre du cadre de programmation pour accroître la disponibilité et l’employabilité des diplômés dans les domaines des </w:t>
            </w:r>
            <w:r>
              <w:rPr>
                <w:noProof/>
              </w:rPr>
              <w:t>STIM/TIC et améliorer leur mobilité aux fins de la coopération nationale et internationale</w:t>
            </w:r>
          </w:p>
        </w:tc>
      </w:tr>
      <w:tr w:rsidR="00553430" w14:paraId="384D1A89" w14:textId="77777777">
        <w:trPr>
          <w:trHeight w:val="51"/>
        </w:trPr>
        <w:tc>
          <w:tcPr>
            <w:tcW w:w="1096" w:type="dxa"/>
            <w:shd w:val="clear" w:color="auto" w:fill="C6EFCE"/>
            <w:vAlign w:val="center"/>
          </w:tcPr>
          <w:p w14:paraId="2BC86245" w14:textId="77777777" w:rsidR="00553430" w:rsidRDefault="00212577">
            <w:pPr>
              <w:pStyle w:val="P68B1DB1-Normal102"/>
              <w:spacing w:after="0" w:line="240" w:lineRule="auto"/>
              <w:jc w:val="center"/>
              <w:textAlignment w:val="baseline"/>
              <w:rPr>
                <w:noProof/>
              </w:rPr>
            </w:pPr>
            <w:r>
              <w:rPr>
                <w:noProof/>
              </w:rPr>
              <w:t>290</w:t>
            </w:r>
          </w:p>
        </w:tc>
        <w:tc>
          <w:tcPr>
            <w:tcW w:w="1639" w:type="dxa"/>
            <w:shd w:val="clear" w:color="auto" w:fill="C6EFCE"/>
            <w:vAlign w:val="center"/>
          </w:tcPr>
          <w:p w14:paraId="416EAA89" w14:textId="77777777" w:rsidR="00553430" w:rsidRDefault="00212577">
            <w:pPr>
              <w:pStyle w:val="P68B1DB1-Normal102"/>
              <w:spacing w:after="0" w:line="240" w:lineRule="auto"/>
              <w:jc w:val="center"/>
              <w:textAlignment w:val="baseline"/>
              <w:rPr>
                <w:noProof/>
              </w:rPr>
            </w:pPr>
            <w:r>
              <w:rPr>
                <w:noProof/>
              </w:rPr>
              <w:t>C4.1. R2</w:t>
            </w:r>
          </w:p>
        </w:tc>
        <w:tc>
          <w:tcPr>
            <w:tcW w:w="1274" w:type="dxa"/>
            <w:shd w:val="clear" w:color="auto" w:fill="C6EFCE"/>
            <w:vAlign w:val="center"/>
          </w:tcPr>
          <w:p w14:paraId="4D912FD2"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5E47443" w14:textId="77777777" w:rsidR="00553430" w:rsidRDefault="00212577">
            <w:pPr>
              <w:pStyle w:val="P68B1DB1-Normal102"/>
              <w:spacing w:after="0" w:line="240" w:lineRule="auto"/>
              <w:textAlignment w:val="baseline"/>
              <w:rPr>
                <w:noProof/>
              </w:rPr>
            </w:pPr>
            <w:r>
              <w:rPr>
                <w:noProof/>
              </w:rPr>
              <w:t>Amélioration de la qualité du soutien apporté à au moins 5 000 personnes appartenant à des groupes vulnérables</w:t>
            </w:r>
          </w:p>
        </w:tc>
      </w:tr>
      <w:tr w:rsidR="00553430" w14:paraId="178DE3A0" w14:textId="77777777">
        <w:trPr>
          <w:trHeight w:val="51"/>
        </w:trPr>
        <w:tc>
          <w:tcPr>
            <w:tcW w:w="1096" w:type="dxa"/>
            <w:shd w:val="clear" w:color="auto" w:fill="C6EFCE"/>
            <w:vAlign w:val="center"/>
          </w:tcPr>
          <w:p w14:paraId="00FFDEB4" w14:textId="77777777" w:rsidR="00553430" w:rsidRDefault="00212577">
            <w:pPr>
              <w:pStyle w:val="P68B1DB1-Normal102"/>
              <w:spacing w:after="0" w:line="240" w:lineRule="auto"/>
              <w:jc w:val="center"/>
              <w:textAlignment w:val="baseline"/>
              <w:rPr>
                <w:noProof/>
              </w:rPr>
            </w:pPr>
            <w:r>
              <w:rPr>
                <w:noProof/>
              </w:rPr>
              <w:t>298</w:t>
            </w:r>
          </w:p>
        </w:tc>
        <w:tc>
          <w:tcPr>
            <w:tcW w:w="1639" w:type="dxa"/>
            <w:shd w:val="clear" w:color="auto" w:fill="C6EFCE"/>
            <w:vAlign w:val="center"/>
          </w:tcPr>
          <w:p w14:paraId="730F4633" w14:textId="77777777" w:rsidR="00553430" w:rsidRDefault="00212577">
            <w:pPr>
              <w:pStyle w:val="P68B1DB1-Normal102"/>
              <w:spacing w:after="0" w:line="240" w:lineRule="auto"/>
              <w:jc w:val="center"/>
              <w:textAlignment w:val="baseline"/>
              <w:rPr>
                <w:noProof/>
              </w:rPr>
            </w:pPr>
            <w:r>
              <w:rPr>
                <w:noProof/>
              </w:rPr>
              <w:t>C4.2. R1</w:t>
            </w:r>
          </w:p>
        </w:tc>
        <w:tc>
          <w:tcPr>
            <w:tcW w:w="1274" w:type="dxa"/>
            <w:shd w:val="clear" w:color="auto" w:fill="C6EFCE"/>
            <w:vAlign w:val="center"/>
          </w:tcPr>
          <w:p w14:paraId="2C05162E"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tcPr>
          <w:p w14:paraId="5A30A745" w14:textId="77777777" w:rsidR="00553430" w:rsidRDefault="00212577">
            <w:pPr>
              <w:pStyle w:val="P68B1DB1-Normal102"/>
              <w:spacing w:after="0" w:line="240" w:lineRule="auto"/>
              <w:textAlignment w:val="baseline"/>
              <w:rPr>
                <w:noProof/>
              </w:rPr>
            </w:pPr>
            <w:r>
              <w:rPr>
                <w:noProof/>
              </w:rPr>
              <w:t xml:space="preserve">Adoption de la loi modifiant la loi sur les fonds de pension obligatoires. </w:t>
            </w:r>
          </w:p>
        </w:tc>
      </w:tr>
      <w:tr w:rsidR="00553430" w14:paraId="5A03D626" w14:textId="77777777">
        <w:trPr>
          <w:trHeight w:val="51"/>
        </w:trPr>
        <w:tc>
          <w:tcPr>
            <w:tcW w:w="1096" w:type="dxa"/>
            <w:shd w:val="clear" w:color="auto" w:fill="C6EFCE"/>
            <w:vAlign w:val="center"/>
          </w:tcPr>
          <w:p w14:paraId="396237A2" w14:textId="77777777" w:rsidR="00553430" w:rsidRDefault="00212577">
            <w:pPr>
              <w:pStyle w:val="P68B1DB1-Normal102"/>
              <w:spacing w:after="0" w:line="240" w:lineRule="auto"/>
              <w:jc w:val="center"/>
              <w:textAlignment w:val="baseline"/>
              <w:rPr>
                <w:noProof/>
              </w:rPr>
            </w:pPr>
            <w:r>
              <w:rPr>
                <w:noProof/>
              </w:rPr>
              <w:t>339</w:t>
            </w:r>
          </w:p>
        </w:tc>
        <w:tc>
          <w:tcPr>
            <w:tcW w:w="1639" w:type="dxa"/>
            <w:shd w:val="clear" w:color="auto" w:fill="C6EFCE"/>
            <w:vAlign w:val="center"/>
          </w:tcPr>
          <w:p w14:paraId="07FD18C6" w14:textId="77777777" w:rsidR="00553430" w:rsidRDefault="00212577">
            <w:pPr>
              <w:pStyle w:val="P68B1DB1-Normal102"/>
              <w:spacing w:after="0" w:line="240" w:lineRule="auto"/>
              <w:jc w:val="center"/>
              <w:textAlignment w:val="baseline"/>
              <w:rPr>
                <w:noProof/>
              </w:rPr>
            </w:pPr>
            <w:r>
              <w:rPr>
                <w:noProof/>
              </w:rPr>
              <w:t>C5.1. R4-I1</w:t>
            </w:r>
          </w:p>
        </w:tc>
        <w:tc>
          <w:tcPr>
            <w:tcW w:w="1274" w:type="dxa"/>
            <w:shd w:val="clear" w:color="auto" w:fill="C6EFCE"/>
            <w:vAlign w:val="center"/>
          </w:tcPr>
          <w:p w14:paraId="13AC0C05"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A55D61C" w14:textId="77777777" w:rsidR="00553430" w:rsidRDefault="00212577">
            <w:pPr>
              <w:pStyle w:val="P68B1DB1-Normal102"/>
              <w:spacing w:after="0" w:line="240" w:lineRule="auto"/>
              <w:textAlignment w:val="baseline"/>
              <w:rPr>
                <w:noProof/>
              </w:rPr>
            </w:pPr>
            <w:r>
              <w:rPr>
                <w:noProof/>
              </w:rPr>
              <w:t xml:space="preserve">Gestion centrale des préparations parentérales dans 8 hôpitaux </w:t>
            </w:r>
          </w:p>
        </w:tc>
      </w:tr>
      <w:tr w:rsidR="00553430" w14:paraId="5CF884A0" w14:textId="77777777">
        <w:trPr>
          <w:trHeight w:val="51"/>
        </w:trPr>
        <w:tc>
          <w:tcPr>
            <w:tcW w:w="1096" w:type="dxa"/>
            <w:shd w:val="clear" w:color="auto" w:fill="C6EFCE"/>
            <w:vAlign w:val="center"/>
          </w:tcPr>
          <w:p w14:paraId="603B51CF" w14:textId="77777777" w:rsidR="00553430" w:rsidRDefault="00212577">
            <w:pPr>
              <w:pStyle w:val="P68B1DB1-Normal89"/>
              <w:spacing w:after="0" w:line="240" w:lineRule="auto"/>
              <w:jc w:val="center"/>
              <w:textAlignment w:val="baseline"/>
              <w:rPr>
                <w:noProof/>
              </w:rPr>
            </w:pPr>
            <w:r>
              <w:rPr>
                <w:noProof/>
              </w:rPr>
              <w:t>342</w:t>
            </w:r>
          </w:p>
        </w:tc>
        <w:tc>
          <w:tcPr>
            <w:tcW w:w="1639" w:type="dxa"/>
            <w:shd w:val="clear" w:color="auto" w:fill="C6EFCE"/>
            <w:vAlign w:val="center"/>
          </w:tcPr>
          <w:p w14:paraId="5EBE6284" w14:textId="77777777" w:rsidR="00553430" w:rsidRDefault="00212577">
            <w:pPr>
              <w:pStyle w:val="P68B1DB1-Normal89"/>
              <w:spacing w:after="0" w:line="240" w:lineRule="auto"/>
              <w:jc w:val="center"/>
              <w:textAlignment w:val="baseline"/>
              <w:rPr>
                <w:noProof/>
              </w:rPr>
            </w:pPr>
            <w:r>
              <w:rPr>
                <w:noProof/>
              </w:rPr>
              <w:t>C5.1. R4-I4</w:t>
            </w:r>
          </w:p>
        </w:tc>
        <w:tc>
          <w:tcPr>
            <w:tcW w:w="1274" w:type="dxa"/>
            <w:shd w:val="clear" w:color="auto" w:fill="C6EFCE"/>
            <w:vAlign w:val="center"/>
          </w:tcPr>
          <w:p w14:paraId="48D64682" w14:textId="77777777" w:rsidR="00553430" w:rsidRDefault="00212577">
            <w:pPr>
              <w:pStyle w:val="P68B1DB1-Normal89"/>
              <w:spacing w:after="0" w:line="240" w:lineRule="auto"/>
              <w:jc w:val="center"/>
              <w:textAlignment w:val="baseline"/>
              <w:rPr>
                <w:noProof/>
              </w:rPr>
            </w:pPr>
            <w:r>
              <w:rPr>
                <w:noProof/>
              </w:rPr>
              <w:t>T</w:t>
            </w:r>
          </w:p>
        </w:tc>
        <w:tc>
          <w:tcPr>
            <w:tcW w:w="5347" w:type="dxa"/>
            <w:shd w:val="clear" w:color="auto" w:fill="C6EFCE"/>
            <w:vAlign w:val="center"/>
          </w:tcPr>
          <w:p w14:paraId="5F5BB9EC" w14:textId="77777777" w:rsidR="00553430" w:rsidRDefault="00212577">
            <w:pPr>
              <w:pStyle w:val="P68B1DB1-Normal89"/>
              <w:spacing w:after="0" w:line="240" w:lineRule="auto"/>
              <w:textAlignment w:val="baseline"/>
              <w:rPr>
                <w:noProof/>
              </w:rPr>
            </w:pPr>
            <w:r>
              <w:rPr>
                <w:noProof/>
              </w:rPr>
              <w:t xml:space="preserve">Système de surveillance des pénuries de médicaments fondé sur la technologie </w:t>
            </w:r>
            <w:r>
              <w:rPr>
                <w:noProof/>
              </w:rPr>
              <w:t>de la «chaîne de blocs»</w:t>
            </w:r>
          </w:p>
        </w:tc>
      </w:tr>
      <w:tr w:rsidR="00553430" w14:paraId="46385210" w14:textId="77777777">
        <w:trPr>
          <w:trHeight w:val="51"/>
        </w:trPr>
        <w:tc>
          <w:tcPr>
            <w:tcW w:w="1096" w:type="dxa"/>
            <w:shd w:val="clear" w:color="auto" w:fill="C6EFCE"/>
            <w:vAlign w:val="center"/>
          </w:tcPr>
          <w:p w14:paraId="4504CB90" w14:textId="77777777" w:rsidR="00553430" w:rsidRDefault="00212577">
            <w:pPr>
              <w:pStyle w:val="P68B1DB1-Normal89"/>
              <w:spacing w:after="0" w:line="240" w:lineRule="auto"/>
              <w:jc w:val="center"/>
              <w:textAlignment w:val="baseline"/>
              <w:rPr>
                <w:noProof/>
              </w:rPr>
            </w:pPr>
            <w:r>
              <w:rPr>
                <w:noProof/>
              </w:rPr>
              <w:t>365</w:t>
            </w:r>
          </w:p>
        </w:tc>
        <w:tc>
          <w:tcPr>
            <w:tcW w:w="1639" w:type="dxa"/>
            <w:shd w:val="clear" w:color="auto" w:fill="C6EFCE"/>
            <w:vAlign w:val="center"/>
          </w:tcPr>
          <w:p w14:paraId="64021A31" w14:textId="77777777" w:rsidR="00553430" w:rsidRDefault="00212577">
            <w:pPr>
              <w:pStyle w:val="P68B1DB1-Normal89"/>
              <w:spacing w:after="0" w:line="240" w:lineRule="auto"/>
              <w:jc w:val="center"/>
              <w:textAlignment w:val="baseline"/>
              <w:rPr>
                <w:noProof/>
              </w:rPr>
            </w:pPr>
            <w:r>
              <w:rPr>
                <w:noProof/>
              </w:rPr>
              <w:t>C6.1. R4</w:t>
            </w:r>
          </w:p>
        </w:tc>
        <w:tc>
          <w:tcPr>
            <w:tcW w:w="1274" w:type="dxa"/>
            <w:shd w:val="clear" w:color="auto" w:fill="C6EFCE"/>
            <w:vAlign w:val="center"/>
          </w:tcPr>
          <w:p w14:paraId="3FB3C38F" w14:textId="77777777" w:rsidR="00553430" w:rsidRDefault="00212577">
            <w:pPr>
              <w:pStyle w:val="P68B1DB1-Normal89"/>
              <w:spacing w:after="0" w:line="240" w:lineRule="auto"/>
              <w:jc w:val="center"/>
              <w:textAlignment w:val="baseline"/>
              <w:rPr>
                <w:noProof/>
              </w:rPr>
            </w:pPr>
            <w:r>
              <w:rPr>
                <w:noProof/>
              </w:rPr>
              <w:t>M</w:t>
            </w:r>
          </w:p>
        </w:tc>
        <w:tc>
          <w:tcPr>
            <w:tcW w:w="5347" w:type="dxa"/>
            <w:shd w:val="clear" w:color="auto" w:fill="C6EFCE"/>
            <w:vAlign w:val="center"/>
          </w:tcPr>
          <w:p w14:paraId="6E622528" w14:textId="77777777" w:rsidR="00553430" w:rsidRDefault="00212577">
            <w:pPr>
              <w:pStyle w:val="P68B1DB1-Normal89"/>
              <w:spacing w:after="0" w:line="240" w:lineRule="auto"/>
              <w:textAlignment w:val="baseline"/>
              <w:rPr>
                <w:noProof/>
              </w:rPr>
            </w:pPr>
            <w:r>
              <w:rPr>
                <w:noProof/>
              </w:rPr>
              <w:t>Intégration des données sismiques</w:t>
            </w:r>
          </w:p>
        </w:tc>
      </w:tr>
      <w:tr w:rsidR="00553430" w14:paraId="646FA240" w14:textId="77777777">
        <w:trPr>
          <w:trHeight w:val="51"/>
        </w:trPr>
        <w:tc>
          <w:tcPr>
            <w:tcW w:w="1096" w:type="dxa"/>
            <w:shd w:val="clear" w:color="auto" w:fill="C6EFCE"/>
          </w:tcPr>
          <w:p w14:paraId="79B10441" w14:textId="77777777" w:rsidR="00553430" w:rsidRDefault="00212577">
            <w:pPr>
              <w:pStyle w:val="P68B1DB1-Normal89"/>
              <w:spacing w:after="0" w:line="240" w:lineRule="auto"/>
              <w:jc w:val="center"/>
              <w:textAlignment w:val="baseline"/>
              <w:rPr>
                <w:noProof/>
              </w:rPr>
            </w:pPr>
            <w:r>
              <w:rPr>
                <w:noProof/>
              </w:rPr>
              <w:t>406</w:t>
            </w:r>
          </w:p>
        </w:tc>
        <w:tc>
          <w:tcPr>
            <w:tcW w:w="1639" w:type="dxa"/>
            <w:shd w:val="clear" w:color="auto" w:fill="C6EFCE"/>
          </w:tcPr>
          <w:p w14:paraId="16FD26A7" w14:textId="77777777" w:rsidR="00553430" w:rsidRDefault="00212577">
            <w:pPr>
              <w:pStyle w:val="P68B1DB1-Normal89"/>
              <w:spacing w:after="0" w:line="240" w:lineRule="auto"/>
              <w:jc w:val="center"/>
              <w:textAlignment w:val="baseline"/>
              <w:rPr>
                <w:noProof/>
              </w:rPr>
            </w:pPr>
            <w:r>
              <w:rPr>
                <w:noProof/>
              </w:rPr>
              <w:t>C7.1 R1</w:t>
            </w:r>
          </w:p>
        </w:tc>
        <w:tc>
          <w:tcPr>
            <w:tcW w:w="1274" w:type="dxa"/>
            <w:shd w:val="clear" w:color="auto" w:fill="C6EFCE"/>
          </w:tcPr>
          <w:p w14:paraId="08C0A405" w14:textId="77777777" w:rsidR="00553430" w:rsidRDefault="00212577">
            <w:pPr>
              <w:pStyle w:val="P68B1DB1-Normal89"/>
              <w:spacing w:after="0" w:line="240" w:lineRule="auto"/>
              <w:jc w:val="center"/>
              <w:textAlignment w:val="baseline"/>
              <w:rPr>
                <w:noProof/>
              </w:rPr>
            </w:pPr>
            <w:r>
              <w:rPr>
                <w:noProof/>
              </w:rPr>
              <w:t>M</w:t>
            </w:r>
          </w:p>
        </w:tc>
        <w:tc>
          <w:tcPr>
            <w:tcW w:w="5347" w:type="dxa"/>
            <w:shd w:val="clear" w:color="auto" w:fill="C6EFCE"/>
          </w:tcPr>
          <w:p w14:paraId="61611501" w14:textId="77777777" w:rsidR="00553430" w:rsidRDefault="00212577">
            <w:pPr>
              <w:pStyle w:val="P68B1DB1-Normal89"/>
              <w:spacing w:after="0" w:line="240" w:lineRule="auto"/>
              <w:textAlignment w:val="baseline"/>
              <w:rPr>
                <w:noProof/>
              </w:rPr>
            </w:pPr>
            <w:r>
              <w:rPr>
                <w:noProof/>
              </w:rPr>
              <w:t>Entrée en vigueur de la législation établissant le nouveau système d'autoconsommation</w:t>
            </w:r>
          </w:p>
        </w:tc>
      </w:tr>
      <w:tr w:rsidR="00553430" w14:paraId="0E0BCAA8" w14:textId="77777777">
        <w:trPr>
          <w:trHeight w:val="51"/>
        </w:trPr>
        <w:tc>
          <w:tcPr>
            <w:tcW w:w="1096" w:type="dxa"/>
            <w:shd w:val="clear" w:color="auto" w:fill="C6EFCE"/>
          </w:tcPr>
          <w:p w14:paraId="29B057C1" w14:textId="77777777" w:rsidR="00553430" w:rsidRDefault="00553430">
            <w:pPr>
              <w:spacing w:after="0" w:line="240" w:lineRule="auto"/>
              <w:jc w:val="center"/>
              <w:textAlignment w:val="baseline"/>
              <w:rPr>
                <w:rFonts w:ascii="Times New Roman" w:hAnsi="Times New Roman" w:cs="Times New Roman"/>
                <w:noProof/>
                <w:color w:val="000000"/>
                <w:sz w:val="20"/>
                <w:szCs w:val="20"/>
              </w:rPr>
            </w:pPr>
          </w:p>
        </w:tc>
        <w:tc>
          <w:tcPr>
            <w:tcW w:w="1639" w:type="dxa"/>
            <w:shd w:val="clear" w:color="auto" w:fill="C6EFCE"/>
          </w:tcPr>
          <w:p w14:paraId="6D234D2B" w14:textId="77777777" w:rsidR="00553430" w:rsidRDefault="00553430">
            <w:pPr>
              <w:spacing w:after="0" w:line="240" w:lineRule="auto"/>
              <w:jc w:val="both"/>
              <w:textAlignment w:val="baseline"/>
              <w:rPr>
                <w:rFonts w:ascii="Times New Roman" w:hAnsi="Times New Roman" w:cs="Times New Roman"/>
                <w:noProof/>
                <w:color w:val="000000"/>
                <w:sz w:val="20"/>
                <w:szCs w:val="20"/>
              </w:rPr>
            </w:pPr>
          </w:p>
        </w:tc>
        <w:tc>
          <w:tcPr>
            <w:tcW w:w="1274" w:type="dxa"/>
            <w:shd w:val="clear" w:color="auto" w:fill="C6EFCE"/>
          </w:tcPr>
          <w:p w14:paraId="7E546473" w14:textId="77777777" w:rsidR="00553430" w:rsidRDefault="00212577">
            <w:pPr>
              <w:pStyle w:val="P68B1DB1-Normal102"/>
              <w:spacing w:after="0" w:line="240" w:lineRule="auto"/>
              <w:jc w:val="both"/>
              <w:textAlignment w:val="baseline"/>
              <w:rPr>
                <w:noProof/>
              </w:rPr>
            </w:pPr>
            <w:r>
              <w:rPr>
                <w:noProof/>
              </w:rPr>
              <w:t>Montant des acomptes provisionnels</w:t>
            </w:r>
          </w:p>
        </w:tc>
        <w:tc>
          <w:tcPr>
            <w:tcW w:w="5347" w:type="dxa"/>
            <w:shd w:val="clear" w:color="auto" w:fill="C6EFCE"/>
            <w:vAlign w:val="center"/>
          </w:tcPr>
          <w:p w14:paraId="069E9D78" w14:textId="6B9F1635" w:rsidR="00553430" w:rsidRDefault="00212577">
            <w:pPr>
              <w:pStyle w:val="P68B1DB1-Normal102"/>
              <w:spacing w:after="0" w:line="240" w:lineRule="auto"/>
              <w:jc w:val="both"/>
              <w:textAlignment w:val="baseline"/>
              <w:rPr>
                <w:noProof/>
              </w:rPr>
            </w:pPr>
            <w:r>
              <w:rPr>
                <w:noProof/>
              </w:rPr>
              <w:t>20 095 476 EUR</w:t>
            </w:r>
          </w:p>
        </w:tc>
      </w:tr>
    </w:tbl>
    <w:p w14:paraId="4939AAE3" w14:textId="77777777" w:rsidR="00553430" w:rsidRDefault="00553430">
      <w:pPr>
        <w:spacing w:line="240" w:lineRule="auto"/>
        <w:contextualSpacing/>
        <w:jc w:val="both"/>
        <w:textAlignment w:val="baseline"/>
        <w:rPr>
          <w:rFonts w:ascii="Times New Roman" w:eastAsia="Times New Roman" w:hAnsi="Times New Roman" w:cs="Times New Roman"/>
          <w:noProof/>
          <w:sz w:val="24"/>
          <w:szCs w:val="24"/>
        </w:rPr>
      </w:pPr>
    </w:p>
    <w:p w14:paraId="445DAD7E" w14:textId="77777777" w:rsidR="00553430" w:rsidRDefault="00553430">
      <w:pPr>
        <w:spacing w:after="0" w:line="240" w:lineRule="auto"/>
        <w:jc w:val="both"/>
        <w:textAlignment w:val="baseline"/>
        <w:rPr>
          <w:rFonts w:eastAsia="Times New Roman"/>
          <w:noProof/>
          <w:szCs w:val="24"/>
        </w:rPr>
      </w:pPr>
    </w:p>
    <w:p w14:paraId="58D58B3F" w14:textId="761F91F8" w:rsidR="00553430" w:rsidRDefault="00212577">
      <w:pPr>
        <w:pStyle w:val="P68B1DB1-Normal83"/>
        <w:numPr>
          <w:ilvl w:val="0"/>
          <w:numId w:val="80"/>
        </w:numPr>
        <w:spacing w:line="240" w:lineRule="auto"/>
        <w:contextualSpacing/>
        <w:jc w:val="both"/>
        <w:textAlignment w:val="baseline"/>
        <w:rPr>
          <w:noProof/>
        </w:rPr>
      </w:pPr>
      <w:r>
        <w:rPr>
          <w:noProof/>
        </w:rPr>
        <w:t>Neuvième tranche (soutien</w:t>
      </w:r>
      <w:r>
        <w:rPr>
          <w:noProof/>
        </w:rPr>
        <w:t xml:space="preserve"> non remboursable):</w:t>
      </w:r>
    </w:p>
    <w:p w14:paraId="5DFF70CF" w14:textId="77777777" w:rsidR="00553430" w:rsidRDefault="00553430">
      <w:pPr>
        <w:spacing w:after="0" w:line="240" w:lineRule="auto"/>
        <w:jc w:val="both"/>
        <w:textAlignment w:val="baseline"/>
        <w:rPr>
          <w:rFonts w:eastAsia="Times New Roman"/>
          <w:noProof/>
          <w:szCs w:val="24"/>
        </w:rPr>
      </w:pPr>
    </w:p>
    <w:tbl>
      <w:tblPr>
        <w:tblW w:w="935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6"/>
        <w:gridCol w:w="1639"/>
        <w:gridCol w:w="1274"/>
        <w:gridCol w:w="5347"/>
      </w:tblGrid>
      <w:tr w:rsidR="00553430" w14:paraId="592D41D7" w14:textId="77777777">
        <w:trPr>
          <w:trHeight w:val="517"/>
          <w:tblHeader/>
        </w:trPr>
        <w:tc>
          <w:tcPr>
            <w:tcW w:w="1096" w:type="dxa"/>
            <w:vMerge w:val="restart"/>
            <w:shd w:val="clear" w:color="auto" w:fill="BDD7EE"/>
            <w:vAlign w:val="center"/>
            <w:hideMark/>
          </w:tcPr>
          <w:p w14:paraId="2B97A153" w14:textId="77777777" w:rsidR="00553430" w:rsidRDefault="00212577">
            <w:pPr>
              <w:pStyle w:val="P68B1DB1-Normal76"/>
              <w:spacing w:after="0" w:line="240" w:lineRule="auto"/>
              <w:jc w:val="center"/>
              <w:textAlignment w:val="baseline"/>
              <w:rPr>
                <w:noProof/>
              </w:rPr>
            </w:pPr>
            <w:r>
              <w:rPr>
                <w:b/>
                <w:noProof/>
              </w:rPr>
              <w:t>Numéro séquentiel</w:t>
            </w:r>
            <w:r>
              <w:rPr>
                <w:noProof/>
              </w:rPr>
              <w:t> </w:t>
            </w:r>
          </w:p>
        </w:tc>
        <w:tc>
          <w:tcPr>
            <w:tcW w:w="1639" w:type="dxa"/>
            <w:vMerge w:val="restart"/>
            <w:shd w:val="clear" w:color="auto" w:fill="BDD7EE"/>
            <w:vAlign w:val="center"/>
            <w:hideMark/>
          </w:tcPr>
          <w:p w14:paraId="7314A4BF" w14:textId="77777777" w:rsidR="00553430" w:rsidRDefault="00212577">
            <w:pPr>
              <w:pStyle w:val="P68B1DB1-Normal76"/>
              <w:spacing w:after="0" w:line="240" w:lineRule="auto"/>
              <w:jc w:val="center"/>
              <w:textAlignment w:val="baseline"/>
              <w:rPr>
                <w:noProof/>
              </w:rPr>
            </w:pPr>
            <w:r>
              <w:rPr>
                <w:b/>
                <w:noProof/>
              </w:rPr>
              <w:t>Mesure connexe (réforme ou investissement)</w:t>
            </w:r>
            <w:r>
              <w:rPr>
                <w:noProof/>
              </w:rPr>
              <w:t> </w:t>
            </w:r>
          </w:p>
        </w:tc>
        <w:tc>
          <w:tcPr>
            <w:tcW w:w="1274" w:type="dxa"/>
            <w:vMerge w:val="restart"/>
            <w:shd w:val="clear" w:color="auto" w:fill="BDD7EE"/>
            <w:vAlign w:val="center"/>
            <w:hideMark/>
          </w:tcPr>
          <w:p w14:paraId="7A012B0B" w14:textId="77777777" w:rsidR="00553430" w:rsidRDefault="00212577">
            <w:pPr>
              <w:pStyle w:val="P68B1DB1-Normal76"/>
              <w:spacing w:after="0" w:line="240" w:lineRule="auto"/>
              <w:jc w:val="center"/>
              <w:textAlignment w:val="baseline"/>
              <w:rPr>
                <w:noProof/>
              </w:rPr>
            </w:pPr>
            <w:r>
              <w:rPr>
                <w:b/>
                <w:noProof/>
              </w:rPr>
              <w:t>Étape/cible</w:t>
            </w:r>
            <w:r>
              <w:rPr>
                <w:noProof/>
              </w:rPr>
              <w:t> </w:t>
            </w:r>
          </w:p>
        </w:tc>
        <w:tc>
          <w:tcPr>
            <w:tcW w:w="5347" w:type="dxa"/>
            <w:vMerge w:val="restart"/>
            <w:shd w:val="clear" w:color="auto" w:fill="BDD7EE"/>
            <w:vAlign w:val="center"/>
            <w:hideMark/>
          </w:tcPr>
          <w:p w14:paraId="19DD4859" w14:textId="77777777" w:rsidR="00553430" w:rsidRDefault="00212577">
            <w:pPr>
              <w:pStyle w:val="P68B1DB1-Normal76"/>
              <w:spacing w:after="0" w:line="240" w:lineRule="auto"/>
              <w:jc w:val="center"/>
              <w:textAlignment w:val="baseline"/>
              <w:rPr>
                <w:noProof/>
              </w:rPr>
            </w:pPr>
            <w:r>
              <w:rPr>
                <w:b/>
                <w:noProof/>
              </w:rPr>
              <w:t>Nom</w:t>
            </w:r>
            <w:r>
              <w:rPr>
                <w:noProof/>
              </w:rPr>
              <w:t> </w:t>
            </w:r>
          </w:p>
        </w:tc>
      </w:tr>
      <w:tr w:rsidR="00553430" w14:paraId="0BF503A0" w14:textId="77777777">
        <w:trPr>
          <w:trHeight w:val="524"/>
        </w:trPr>
        <w:tc>
          <w:tcPr>
            <w:tcW w:w="1096" w:type="dxa"/>
            <w:vMerge/>
            <w:vAlign w:val="center"/>
            <w:hideMark/>
          </w:tcPr>
          <w:p w14:paraId="3843C832" w14:textId="77777777" w:rsidR="00553430" w:rsidRDefault="00553430">
            <w:pPr>
              <w:spacing w:after="0" w:line="240" w:lineRule="auto"/>
              <w:rPr>
                <w:rFonts w:ascii="Times New Roman" w:eastAsia="Times New Roman" w:hAnsi="Times New Roman" w:cs="Times New Roman"/>
                <w:noProof/>
                <w:sz w:val="20"/>
                <w:szCs w:val="20"/>
              </w:rPr>
            </w:pPr>
          </w:p>
        </w:tc>
        <w:tc>
          <w:tcPr>
            <w:tcW w:w="1639" w:type="dxa"/>
            <w:vMerge/>
            <w:vAlign w:val="center"/>
            <w:hideMark/>
          </w:tcPr>
          <w:p w14:paraId="1B640001" w14:textId="77777777" w:rsidR="00553430" w:rsidRDefault="00553430">
            <w:pPr>
              <w:spacing w:after="0" w:line="240" w:lineRule="auto"/>
              <w:rPr>
                <w:rFonts w:ascii="Times New Roman" w:eastAsia="Times New Roman" w:hAnsi="Times New Roman" w:cs="Times New Roman"/>
                <w:noProof/>
                <w:sz w:val="20"/>
                <w:szCs w:val="20"/>
              </w:rPr>
            </w:pPr>
          </w:p>
        </w:tc>
        <w:tc>
          <w:tcPr>
            <w:tcW w:w="1274" w:type="dxa"/>
            <w:vMerge/>
            <w:vAlign w:val="center"/>
            <w:hideMark/>
          </w:tcPr>
          <w:p w14:paraId="6660F808" w14:textId="77777777" w:rsidR="00553430" w:rsidRDefault="00553430">
            <w:pPr>
              <w:spacing w:after="0" w:line="240" w:lineRule="auto"/>
              <w:rPr>
                <w:rFonts w:ascii="Times New Roman" w:eastAsia="Times New Roman" w:hAnsi="Times New Roman" w:cs="Times New Roman"/>
                <w:noProof/>
                <w:sz w:val="20"/>
                <w:szCs w:val="20"/>
              </w:rPr>
            </w:pPr>
          </w:p>
        </w:tc>
        <w:tc>
          <w:tcPr>
            <w:tcW w:w="5347" w:type="dxa"/>
            <w:vMerge/>
            <w:vAlign w:val="center"/>
            <w:hideMark/>
          </w:tcPr>
          <w:p w14:paraId="31184AA9" w14:textId="77777777" w:rsidR="00553430" w:rsidRDefault="00553430">
            <w:pPr>
              <w:spacing w:after="0" w:line="240" w:lineRule="auto"/>
              <w:rPr>
                <w:rFonts w:ascii="Times New Roman" w:eastAsia="Times New Roman" w:hAnsi="Times New Roman" w:cs="Times New Roman"/>
                <w:noProof/>
                <w:sz w:val="20"/>
                <w:szCs w:val="20"/>
              </w:rPr>
            </w:pPr>
          </w:p>
        </w:tc>
      </w:tr>
      <w:tr w:rsidR="00553430" w14:paraId="27489D0E" w14:textId="77777777">
        <w:trPr>
          <w:trHeight w:val="51"/>
        </w:trPr>
        <w:tc>
          <w:tcPr>
            <w:tcW w:w="1096" w:type="dxa"/>
            <w:shd w:val="clear" w:color="auto" w:fill="C6EFCE"/>
            <w:vAlign w:val="center"/>
          </w:tcPr>
          <w:p w14:paraId="5198B683" w14:textId="77777777" w:rsidR="00553430" w:rsidRDefault="00212577">
            <w:pPr>
              <w:pStyle w:val="P68B1DB1-Normal102"/>
              <w:spacing w:after="0" w:line="240" w:lineRule="auto"/>
              <w:jc w:val="center"/>
              <w:textAlignment w:val="baseline"/>
              <w:rPr>
                <w:noProof/>
              </w:rPr>
            </w:pPr>
            <w:r>
              <w:rPr>
                <w:noProof/>
              </w:rPr>
              <w:t>11</w:t>
            </w:r>
          </w:p>
        </w:tc>
        <w:tc>
          <w:tcPr>
            <w:tcW w:w="1639" w:type="dxa"/>
            <w:shd w:val="clear" w:color="auto" w:fill="C6EFCE"/>
            <w:vAlign w:val="center"/>
          </w:tcPr>
          <w:p w14:paraId="6A9EB1EE" w14:textId="77777777" w:rsidR="00553430" w:rsidRDefault="00212577">
            <w:pPr>
              <w:pStyle w:val="P68B1DB1-Normal102"/>
              <w:spacing w:after="0" w:line="240" w:lineRule="auto"/>
              <w:jc w:val="center"/>
              <w:textAlignment w:val="baseline"/>
              <w:rPr>
                <w:noProof/>
              </w:rPr>
            </w:pPr>
            <w:r>
              <w:rPr>
                <w:noProof/>
              </w:rPr>
              <w:t>C1.1.1. R1-I2</w:t>
            </w:r>
          </w:p>
        </w:tc>
        <w:tc>
          <w:tcPr>
            <w:tcW w:w="1274" w:type="dxa"/>
            <w:shd w:val="clear" w:color="auto" w:fill="C6EFCE"/>
            <w:vAlign w:val="center"/>
          </w:tcPr>
          <w:p w14:paraId="651CD857"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EA47C7D" w14:textId="77777777" w:rsidR="00553430" w:rsidRDefault="00212577">
            <w:pPr>
              <w:pStyle w:val="P68B1DB1-Normal89"/>
              <w:spacing w:after="0" w:line="240" w:lineRule="auto"/>
              <w:textAlignment w:val="baseline"/>
              <w:rPr>
                <w:noProof/>
                <w:color w:val="000000"/>
              </w:rPr>
            </w:pPr>
            <w:r>
              <w:rPr>
                <w:noProof/>
              </w:rPr>
              <w:t xml:space="preserve">Mise en œuvre de la deuxième série de mesures énoncées dans le nouveau/cinquième plan d’action visant à réduire encore la charge </w:t>
            </w:r>
            <w:r>
              <w:rPr>
                <w:noProof/>
              </w:rPr>
              <w:t>administrative pesant sur les entrepreneurs</w:t>
            </w:r>
          </w:p>
        </w:tc>
      </w:tr>
      <w:tr w:rsidR="00553430" w14:paraId="15259A7F" w14:textId="77777777">
        <w:trPr>
          <w:trHeight w:val="51"/>
        </w:trPr>
        <w:tc>
          <w:tcPr>
            <w:tcW w:w="1096" w:type="dxa"/>
            <w:shd w:val="clear" w:color="auto" w:fill="C6EFCE"/>
            <w:vAlign w:val="center"/>
          </w:tcPr>
          <w:p w14:paraId="27BDED2A" w14:textId="77777777" w:rsidR="00553430" w:rsidRDefault="00212577">
            <w:pPr>
              <w:pStyle w:val="P68B1DB1-Normal102"/>
              <w:spacing w:after="0" w:line="240" w:lineRule="auto"/>
              <w:jc w:val="center"/>
              <w:textAlignment w:val="baseline"/>
              <w:rPr>
                <w:noProof/>
              </w:rPr>
            </w:pPr>
            <w:r>
              <w:rPr>
                <w:noProof/>
              </w:rPr>
              <w:t>15</w:t>
            </w:r>
          </w:p>
        </w:tc>
        <w:tc>
          <w:tcPr>
            <w:tcW w:w="1639" w:type="dxa"/>
            <w:shd w:val="clear" w:color="auto" w:fill="C6EFCE"/>
            <w:vAlign w:val="center"/>
          </w:tcPr>
          <w:p w14:paraId="3C403E3F" w14:textId="77777777" w:rsidR="00553430" w:rsidRDefault="00212577">
            <w:pPr>
              <w:pStyle w:val="P68B1DB1-Normal102"/>
              <w:spacing w:after="0" w:line="240" w:lineRule="auto"/>
              <w:jc w:val="center"/>
              <w:textAlignment w:val="baseline"/>
              <w:rPr>
                <w:noProof/>
              </w:rPr>
            </w:pPr>
            <w:r>
              <w:rPr>
                <w:noProof/>
              </w:rPr>
              <w:t>C1.1.1. R4-I1</w:t>
            </w:r>
          </w:p>
        </w:tc>
        <w:tc>
          <w:tcPr>
            <w:tcW w:w="1274" w:type="dxa"/>
            <w:shd w:val="clear" w:color="auto" w:fill="C6EFCE"/>
            <w:vAlign w:val="center"/>
          </w:tcPr>
          <w:p w14:paraId="07A0D680"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0519749" w14:textId="77777777" w:rsidR="00553430" w:rsidRDefault="00212577">
            <w:pPr>
              <w:pStyle w:val="P68B1DB1-Normal89"/>
              <w:spacing w:after="0" w:line="240" w:lineRule="auto"/>
              <w:textAlignment w:val="baseline"/>
              <w:rPr>
                <w:noProof/>
                <w:color w:val="000000"/>
              </w:rPr>
            </w:pPr>
            <w:r>
              <w:rPr>
                <w:noProof/>
              </w:rPr>
              <w:t>Octroi de fonds aux PME et aux entreprises à moyenne capitalisation pour des investissements ciblant des activités respectueuses de l’environnement</w:t>
            </w:r>
          </w:p>
        </w:tc>
      </w:tr>
      <w:tr w:rsidR="00553430" w14:paraId="5544959D" w14:textId="77777777">
        <w:trPr>
          <w:trHeight w:val="51"/>
        </w:trPr>
        <w:tc>
          <w:tcPr>
            <w:tcW w:w="1096" w:type="dxa"/>
            <w:shd w:val="clear" w:color="auto" w:fill="C6EFCE"/>
            <w:vAlign w:val="center"/>
            <w:hideMark/>
          </w:tcPr>
          <w:p w14:paraId="5EA4BED8" w14:textId="77777777" w:rsidR="00553430" w:rsidRDefault="00212577">
            <w:pPr>
              <w:pStyle w:val="P68B1DB1-Normal102"/>
              <w:spacing w:after="0" w:line="240" w:lineRule="auto"/>
              <w:jc w:val="center"/>
              <w:textAlignment w:val="baseline"/>
              <w:rPr>
                <w:rFonts w:eastAsia="Times New Roman"/>
                <w:noProof/>
              </w:rPr>
            </w:pPr>
            <w:r>
              <w:rPr>
                <w:noProof/>
              </w:rPr>
              <w:t>17</w:t>
            </w:r>
          </w:p>
        </w:tc>
        <w:tc>
          <w:tcPr>
            <w:tcW w:w="1639" w:type="dxa"/>
            <w:shd w:val="clear" w:color="auto" w:fill="C6EFCE"/>
            <w:vAlign w:val="center"/>
            <w:hideMark/>
          </w:tcPr>
          <w:p w14:paraId="713A53F6" w14:textId="77777777" w:rsidR="00553430" w:rsidRDefault="00212577">
            <w:pPr>
              <w:pStyle w:val="P68B1DB1-Normal102"/>
              <w:spacing w:after="0" w:line="240" w:lineRule="auto"/>
              <w:jc w:val="center"/>
              <w:textAlignment w:val="baseline"/>
              <w:rPr>
                <w:rFonts w:eastAsia="Times New Roman"/>
                <w:noProof/>
              </w:rPr>
            </w:pPr>
            <w:r>
              <w:rPr>
                <w:noProof/>
              </w:rPr>
              <w:t>C1.1.1. R4-I2</w:t>
            </w:r>
          </w:p>
        </w:tc>
        <w:tc>
          <w:tcPr>
            <w:tcW w:w="1274" w:type="dxa"/>
            <w:shd w:val="clear" w:color="auto" w:fill="C6EFCE"/>
            <w:vAlign w:val="center"/>
            <w:hideMark/>
          </w:tcPr>
          <w:p w14:paraId="65B3E8FE" w14:textId="77777777" w:rsidR="00553430" w:rsidRDefault="00212577">
            <w:pPr>
              <w:pStyle w:val="P68B1DB1-Normal102"/>
              <w:spacing w:after="0" w:line="240" w:lineRule="auto"/>
              <w:jc w:val="center"/>
              <w:textAlignment w:val="baseline"/>
              <w:rPr>
                <w:rFonts w:eastAsia="Times New Roman"/>
                <w:noProof/>
              </w:rPr>
            </w:pPr>
            <w:r>
              <w:rPr>
                <w:noProof/>
              </w:rPr>
              <w:t>T</w:t>
            </w:r>
          </w:p>
        </w:tc>
        <w:tc>
          <w:tcPr>
            <w:tcW w:w="5347" w:type="dxa"/>
            <w:shd w:val="clear" w:color="auto" w:fill="C6EFCE"/>
            <w:vAlign w:val="center"/>
            <w:hideMark/>
          </w:tcPr>
          <w:p w14:paraId="41FE5661" w14:textId="77777777" w:rsidR="00553430" w:rsidRDefault="00212577">
            <w:pPr>
              <w:pStyle w:val="P68B1DB1-Normal102"/>
              <w:spacing w:after="0" w:line="240" w:lineRule="auto"/>
              <w:textAlignment w:val="baseline"/>
              <w:rPr>
                <w:rFonts w:eastAsia="Times New Roman"/>
                <w:noProof/>
              </w:rPr>
            </w:pPr>
            <w:r>
              <w:rPr>
                <w:noProof/>
              </w:rPr>
              <w:t xml:space="preserve">Prêts/ bonifications </w:t>
            </w:r>
            <w:r>
              <w:rPr>
                <w:noProof/>
              </w:rPr>
              <w:t>d'intérêts accordés aux micro, petites et moyennes entreprises</w:t>
            </w:r>
          </w:p>
        </w:tc>
      </w:tr>
      <w:tr w:rsidR="00553430" w14:paraId="7EA9C7D5" w14:textId="77777777">
        <w:trPr>
          <w:trHeight w:val="51"/>
        </w:trPr>
        <w:tc>
          <w:tcPr>
            <w:tcW w:w="1096" w:type="dxa"/>
            <w:shd w:val="clear" w:color="auto" w:fill="C6EFCE"/>
            <w:vAlign w:val="center"/>
            <w:hideMark/>
          </w:tcPr>
          <w:p w14:paraId="432C81B9" w14:textId="77777777" w:rsidR="00553430" w:rsidRDefault="00212577">
            <w:pPr>
              <w:pStyle w:val="P68B1DB1-Normal102"/>
              <w:spacing w:after="0" w:line="240" w:lineRule="auto"/>
              <w:jc w:val="center"/>
              <w:textAlignment w:val="baseline"/>
              <w:rPr>
                <w:rFonts w:eastAsia="Times New Roman"/>
                <w:noProof/>
              </w:rPr>
            </w:pPr>
            <w:r>
              <w:rPr>
                <w:noProof/>
              </w:rPr>
              <w:t>18</w:t>
            </w:r>
          </w:p>
        </w:tc>
        <w:tc>
          <w:tcPr>
            <w:tcW w:w="1639" w:type="dxa"/>
            <w:shd w:val="clear" w:color="auto" w:fill="C6EFCE"/>
            <w:vAlign w:val="center"/>
            <w:hideMark/>
          </w:tcPr>
          <w:p w14:paraId="1D79804F" w14:textId="77777777" w:rsidR="00553430" w:rsidRDefault="00212577">
            <w:pPr>
              <w:pStyle w:val="P68B1DB1-Normal102"/>
              <w:spacing w:after="0" w:line="240" w:lineRule="auto"/>
              <w:jc w:val="center"/>
              <w:textAlignment w:val="baseline"/>
              <w:rPr>
                <w:rFonts w:eastAsia="Times New Roman"/>
                <w:noProof/>
              </w:rPr>
            </w:pPr>
            <w:r>
              <w:rPr>
                <w:noProof/>
              </w:rPr>
              <w:t>C1.1.1. R4-I2</w:t>
            </w:r>
          </w:p>
        </w:tc>
        <w:tc>
          <w:tcPr>
            <w:tcW w:w="1274" w:type="dxa"/>
            <w:shd w:val="clear" w:color="auto" w:fill="C6EFCE"/>
            <w:vAlign w:val="center"/>
            <w:hideMark/>
          </w:tcPr>
          <w:p w14:paraId="593C11F7" w14:textId="77777777" w:rsidR="00553430" w:rsidRDefault="00212577">
            <w:pPr>
              <w:pStyle w:val="P68B1DB1-Normal102"/>
              <w:spacing w:after="0" w:line="240" w:lineRule="auto"/>
              <w:jc w:val="center"/>
              <w:textAlignment w:val="baseline"/>
              <w:rPr>
                <w:rFonts w:eastAsia="Times New Roman"/>
                <w:noProof/>
              </w:rPr>
            </w:pPr>
            <w:r>
              <w:rPr>
                <w:noProof/>
              </w:rPr>
              <w:t>T</w:t>
            </w:r>
          </w:p>
        </w:tc>
        <w:tc>
          <w:tcPr>
            <w:tcW w:w="5347" w:type="dxa"/>
            <w:shd w:val="clear" w:color="auto" w:fill="C6EFCE"/>
            <w:vAlign w:val="center"/>
            <w:hideMark/>
          </w:tcPr>
          <w:p w14:paraId="708A2491" w14:textId="77777777" w:rsidR="00553430" w:rsidRDefault="00212577">
            <w:pPr>
              <w:pStyle w:val="P68B1DB1-Normal102"/>
              <w:spacing w:after="0" w:line="240" w:lineRule="auto"/>
              <w:textAlignment w:val="baseline"/>
              <w:rPr>
                <w:rFonts w:eastAsia="Times New Roman"/>
                <w:noProof/>
              </w:rPr>
            </w:pPr>
            <w:r>
              <w:rPr>
                <w:noProof/>
              </w:rPr>
              <w:t>Prêts/ bonifications d'intérêts accordés aux micro, petites et moyennes entreprises</w:t>
            </w:r>
          </w:p>
        </w:tc>
      </w:tr>
      <w:tr w:rsidR="00553430" w14:paraId="06CC4DAD" w14:textId="77777777">
        <w:trPr>
          <w:trHeight w:val="51"/>
        </w:trPr>
        <w:tc>
          <w:tcPr>
            <w:tcW w:w="1096" w:type="dxa"/>
            <w:shd w:val="clear" w:color="auto" w:fill="C6EFCE"/>
            <w:vAlign w:val="center"/>
          </w:tcPr>
          <w:p w14:paraId="52642BA4" w14:textId="77777777" w:rsidR="00553430" w:rsidRDefault="00212577">
            <w:pPr>
              <w:pStyle w:val="P68B1DB1-Normal102"/>
              <w:spacing w:after="0" w:line="240" w:lineRule="auto"/>
              <w:jc w:val="center"/>
              <w:textAlignment w:val="baseline"/>
              <w:rPr>
                <w:noProof/>
              </w:rPr>
            </w:pPr>
            <w:r>
              <w:rPr>
                <w:noProof/>
              </w:rPr>
              <w:t>20</w:t>
            </w:r>
          </w:p>
        </w:tc>
        <w:tc>
          <w:tcPr>
            <w:tcW w:w="1639" w:type="dxa"/>
            <w:shd w:val="clear" w:color="auto" w:fill="C6EFCE"/>
            <w:vAlign w:val="center"/>
          </w:tcPr>
          <w:p w14:paraId="67EB16C1" w14:textId="77777777" w:rsidR="00553430" w:rsidRDefault="00212577">
            <w:pPr>
              <w:pStyle w:val="P68B1DB1-Normal102"/>
              <w:spacing w:after="0" w:line="240" w:lineRule="auto"/>
              <w:jc w:val="center"/>
              <w:textAlignment w:val="baseline"/>
              <w:rPr>
                <w:noProof/>
              </w:rPr>
            </w:pPr>
            <w:r>
              <w:rPr>
                <w:noProof/>
              </w:rPr>
              <w:t>C1.1.1. R4-I3</w:t>
            </w:r>
          </w:p>
        </w:tc>
        <w:tc>
          <w:tcPr>
            <w:tcW w:w="1274" w:type="dxa"/>
            <w:shd w:val="clear" w:color="auto" w:fill="C6EFCE"/>
            <w:vAlign w:val="center"/>
          </w:tcPr>
          <w:p w14:paraId="40D4E4B2"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25660CC" w14:textId="77777777" w:rsidR="00553430" w:rsidRDefault="00212577">
            <w:pPr>
              <w:pStyle w:val="P68B1DB1-Normal102"/>
              <w:spacing w:after="0" w:line="240" w:lineRule="auto"/>
              <w:textAlignment w:val="baseline"/>
              <w:rPr>
                <w:noProof/>
              </w:rPr>
            </w:pPr>
            <w:r>
              <w:rPr>
                <w:noProof/>
              </w:rPr>
              <w:t xml:space="preserve">Nombre de projets octroyés pour les entreprises à moyenne </w:t>
            </w:r>
            <w:r>
              <w:rPr>
                <w:noProof/>
              </w:rPr>
              <w:t>capitalisation et les grandes entreprises</w:t>
            </w:r>
          </w:p>
        </w:tc>
      </w:tr>
      <w:tr w:rsidR="00553430" w14:paraId="039EBBD2" w14:textId="77777777">
        <w:trPr>
          <w:trHeight w:val="51"/>
        </w:trPr>
        <w:tc>
          <w:tcPr>
            <w:tcW w:w="1096" w:type="dxa"/>
            <w:shd w:val="clear" w:color="auto" w:fill="C6EFCE"/>
            <w:vAlign w:val="center"/>
          </w:tcPr>
          <w:p w14:paraId="66CC97F9" w14:textId="77777777" w:rsidR="00553430" w:rsidRDefault="00212577">
            <w:pPr>
              <w:pStyle w:val="P68B1DB1-Normal102"/>
              <w:spacing w:after="0" w:line="240" w:lineRule="auto"/>
              <w:jc w:val="center"/>
              <w:textAlignment w:val="baseline"/>
              <w:rPr>
                <w:noProof/>
              </w:rPr>
            </w:pPr>
            <w:r>
              <w:rPr>
                <w:noProof/>
              </w:rPr>
              <w:t>22</w:t>
            </w:r>
          </w:p>
        </w:tc>
        <w:tc>
          <w:tcPr>
            <w:tcW w:w="1639" w:type="dxa"/>
            <w:shd w:val="clear" w:color="auto" w:fill="C6EFCE"/>
            <w:vAlign w:val="center"/>
          </w:tcPr>
          <w:p w14:paraId="51EF1927" w14:textId="77777777" w:rsidR="00553430" w:rsidRDefault="00212577">
            <w:pPr>
              <w:pStyle w:val="P68B1DB1-Normal102"/>
              <w:spacing w:after="0" w:line="240" w:lineRule="auto"/>
              <w:jc w:val="center"/>
              <w:textAlignment w:val="baseline"/>
              <w:rPr>
                <w:noProof/>
              </w:rPr>
            </w:pPr>
            <w:r>
              <w:rPr>
                <w:noProof/>
              </w:rPr>
              <w:t>C1.1.1. R4-I4</w:t>
            </w:r>
          </w:p>
        </w:tc>
        <w:tc>
          <w:tcPr>
            <w:tcW w:w="1274" w:type="dxa"/>
            <w:shd w:val="clear" w:color="auto" w:fill="C6EFCE"/>
            <w:vAlign w:val="center"/>
          </w:tcPr>
          <w:p w14:paraId="5CA4C402"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8006E92" w14:textId="77777777" w:rsidR="00553430" w:rsidRDefault="00212577">
            <w:pPr>
              <w:pStyle w:val="P68B1DB1-Normal102"/>
              <w:spacing w:after="0" w:line="240" w:lineRule="auto"/>
              <w:textAlignment w:val="baseline"/>
              <w:rPr>
                <w:noProof/>
              </w:rPr>
            </w:pPr>
            <w:r>
              <w:rPr>
                <w:noProof/>
              </w:rPr>
              <w:t>Crédits accordés pour des projets du secteur public</w:t>
            </w:r>
          </w:p>
        </w:tc>
      </w:tr>
      <w:tr w:rsidR="00553430" w14:paraId="53B18389" w14:textId="77777777">
        <w:trPr>
          <w:trHeight w:val="51"/>
        </w:trPr>
        <w:tc>
          <w:tcPr>
            <w:tcW w:w="1096" w:type="dxa"/>
            <w:shd w:val="clear" w:color="auto" w:fill="C6EFCE"/>
            <w:vAlign w:val="center"/>
          </w:tcPr>
          <w:p w14:paraId="7B982686" w14:textId="77777777" w:rsidR="00553430" w:rsidRDefault="00212577">
            <w:pPr>
              <w:pStyle w:val="P68B1DB1-Normal102"/>
              <w:spacing w:after="0" w:line="240" w:lineRule="auto"/>
              <w:jc w:val="center"/>
              <w:textAlignment w:val="baseline"/>
              <w:rPr>
                <w:noProof/>
              </w:rPr>
            </w:pPr>
            <w:r>
              <w:rPr>
                <w:noProof/>
              </w:rPr>
              <w:t>24</w:t>
            </w:r>
          </w:p>
        </w:tc>
        <w:tc>
          <w:tcPr>
            <w:tcW w:w="1639" w:type="dxa"/>
            <w:shd w:val="clear" w:color="auto" w:fill="C6EFCE"/>
            <w:vAlign w:val="center"/>
          </w:tcPr>
          <w:p w14:paraId="170AEE93" w14:textId="77777777" w:rsidR="00553430" w:rsidRDefault="00212577">
            <w:pPr>
              <w:pStyle w:val="P68B1DB1-Normal102"/>
              <w:spacing w:after="0" w:line="240" w:lineRule="auto"/>
              <w:jc w:val="center"/>
              <w:textAlignment w:val="baseline"/>
              <w:rPr>
                <w:noProof/>
              </w:rPr>
            </w:pPr>
            <w:r>
              <w:rPr>
                <w:noProof/>
              </w:rPr>
              <w:t>C1.1.1. R5-I1</w:t>
            </w:r>
          </w:p>
        </w:tc>
        <w:tc>
          <w:tcPr>
            <w:tcW w:w="1274" w:type="dxa"/>
            <w:shd w:val="clear" w:color="auto" w:fill="C6EFCE"/>
            <w:vAlign w:val="center"/>
          </w:tcPr>
          <w:p w14:paraId="196F35AD"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A6AF122" w14:textId="77777777" w:rsidR="00553430" w:rsidRDefault="00212577">
            <w:pPr>
              <w:pStyle w:val="P68B1DB1-Normal102"/>
              <w:spacing w:after="0" w:line="240" w:lineRule="auto"/>
              <w:textAlignment w:val="baseline"/>
              <w:rPr>
                <w:noProof/>
              </w:rPr>
            </w:pPr>
            <w:r>
              <w:rPr>
                <w:noProof/>
              </w:rPr>
              <w:t>Investissements dans des instruments de capitaux propres et de quasi-fonds propres</w:t>
            </w:r>
          </w:p>
        </w:tc>
      </w:tr>
      <w:tr w:rsidR="00553430" w14:paraId="7D9599AE" w14:textId="77777777">
        <w:trPr>
          <w:trHeight w:val="51"/>
        </w:trPr>
        <w:tc>
          <w:tcPr>
            <w:tcW w:w="1096" w:type="dxa"/>
            <w:shd w:val="clear" w:color="auto" w:fill="C6EFCE"/>
            <w:vAlign w:val="center"/>
          </w:tcPr>
          <w:p w14:paraId="5C1004F8" w14:textId="77777777" w:rsidR="00553430" w:rsidRDefault="00212577">
            <w:pPr>
              <w:pStyle w:val="P68B1DB1-Normal102"/>
              <w:spacing w:after="0" w:line="240" w:lineRule="auto"/>
              <w:jc w:val="center"/>
              <w:textAlignment w:val="baseline"/>
              <w:rPr>
                <w:noProof/>
              </w:rPr>
            </w:pPr>
            <w:r>
              <w:rPr>
                <w:noProof/>
              </w:rPr>
              <w:t>26</w:t>
            </w:r>
          </w:p>
        </w:tc>
        <w:tc>
          <w:tcPr>
            <w:tcW w:w="1639" w:type="dxa"/>
            <w:shd w:val="clear" w:color="auto" w:fill="C6EFCE"/>
            <w:vAlign w:val="center"/>
          </w:tcPr>
          <w:p w14:paraId="6D9B9501" w14:textId="77777777" w:rsidR="00553430" w:rsidRDefault="00212577">
            <w:pPr>
              <w:pStyle w:val="P68B1DB1-Normal102"/>
              <w:spacing w:after="0" w:line="240" w:lineRule="auto"/>
              <w:jc w:val="center"/>
              <w:textAlignment w:val="baseline"/>
              <w:rPr>
                <w:noProof/>
              </w:rPr>
            </w:pPr>
            <w:r>
              <w:rPr>
                <w:noProof/>
              </w:rPr>
              <w:t>C1.1.1. R6-I1</w:t>
            </w:r>
          </w:p>
        </w:tc>
        <w:tc>
          <w:tcPr>
            <w:tcW w:w="1274" w:type="dxa"/>
            <w:shd w:val="clear" w:color="auto" w:fill="C6EFCE"/>
            <w:vAlign w:val="center"/>
          </w:tcPr>
          <w:p w14:paraId="04B02B52"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57AA840" w14:textId="77777777" w:rsidR="00553430" w:rsidRDefault="00212577">
            <w:pPr>
              <w:pStyle w:val="P68B1DB1-Normal102"/>
              <w:spacing w:after="0" w:line="240" w:lineRule="auto"/>
              <w:textAlignment w:val="baseline"/>
              <w:rPr>
                <w:noProof/>
              </w:rPr>
            </w:pPr>
            <w:r>
              <w:rPr>
                <w:noProof/>
              </w:rPr>
              <w:t xml:space="preserve">Investissements </w:t>
            </w:r>
            <w:r>
              <w:rPr>
                <w:noProof/>
              </w:rPr>
              <w:t>dans la transformation et la compétitivité des industries culturelles et créatives</w:t>
            </w:r>
          </w:p>
        </w:tc>
      </w:tr>
      <w:tr w:rsidR="00553430" w14:paraId="0EE6EC4E" w14:textId="77777777">
        <w:trPr>
          <w:trHeight w:val="51"/>
        </w:trPr>
        <w:tc>
          <w:tcPr>
            <w:tcW w:w="1096" w:type="dxa"/>
            <w:shd w:val="clear" w:color="auto" w:fill="C6EFCE"/>
            <w:vAlign w:val="center"/>
          </w:tcPr>
          <w:p w14:paraId="6F35A0EB" w14:textId="77777777" w:rsidR="00553430" w:rsidRDefault="00212577">
            <w:pPr>
              <w:pStyle w:val="P68B1DB1-Normal102"/>
              <w:spacing w:after="0" w:line="240" w:lineRule="auto"/>
              <w:jc w:val="center"/>
              <w:textAlignment w:val="baseline"/>
              <w:rPr>
                <w:noProof/>
              </w:rPr>
            </w:pPr>
            <w:r>
              <w:rPr>
                <w:noProof/>
              </w:rPr>
              <w:t>27</w:t>
            </w:r>
          </w:p>
        </w:tc>
        <w:tc>
          <w:tcPr>
            <w:tcW w:w="1639" w:type="dxa"/>
            <w:shd w:val="clear" w:color="auto" w:fill="C6EFCE"/>
            <w:vAlign w:val="center"/>
          </w:tcPr>
          <w:p w14:paraId="776B492F" w14:textId="77777777" w:rsidR="00553430" w:rsidRDefault="00212577">
            <w:pPr>
              <w:pStyle w:val="P68B1DB1-Normal102"/>
              <w:spacing w:after="0" w:line="240" w:lineRule="auto"/>
              <w:jc w:val="center"/>
              <w:textAlignment w:val="baseline"/>
              <w:rPr>
                <w:noProof/>
              </w:rPr>
            </w:pPr>
            <w:r>
              <w:rPr>
                <w:noProof/>
              </w:rPr>
              <w:t>C1.1.1. R6-I2</w:t>
            </w:r>
          </w:p>
        </w:tc>
        <w:tc>
          <w:tcPr>
            <w:tcW w:w="1274" w:type="dxa"/>
            <w:shd w:val="clear" w:color="auto" w:fill="C6EFCE"/>
            <w:vAlign w:val="center"/>
          </w:tcPr>
          <w:p w14:paraId="69E38CFA"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9A44B3B" w14:textId="77777777" w:rsidR="00553430" w:rsidRDefault="00212577">
            <w:pPr>
              <w:pStyle w:val="P68B1DB1-Normal102"/>
              <w:spacing w:after="0" w:line="240" w:lineRule="auto"/>
              <w:textAlignment w:val="baseline"/>
              <w:rPr>
                <w:noProof/>
              </w:rPr>
            </w:pPr>
            <w:r>
              <w:rPr>
                <w:noProof/>
              </w:rPr>
              <w:t>Mise en place d'un système de vérification des faits</w:t>
            </w:r>
          </w:p>
        </w:tc>
      </w:tr>
      <w:tr w:rsidR="00553430" w14:paraId="5A03F3C4"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tcPr>
          <w:p w14:paraId="4C0425F5" w14:textId="77777777" w:rsidR="00553430" w:rsidRDefault="00212577">
            <w:pPr>
              <w:pStyle w:val="P68B1DB1-Normal102"/>
              <w:spacing w:after="0" w:line="240" w:lineRule="auto"/>
              <w:jc w:val="center"/>
              <w:textAlignment w:val="baseline"/>
              <w:rPr>
                <w:noProof/>
              </w:rPr>
            </w:pPr>
            <w:r>
              <w:rPr>
                <w:noProof/>
              </w:rPr>
              <w:t>29</w:t>
            </w:r>
          </w:p>
        </w:tc>
        <w:tc>
          <w:tcPr>
            <w:tcW w:w="1639" w:type="dxa"/>
            <w:tcBorders>
              <w:top w:val="single" w:sz="4" w:space="0" w:color="auto"/>
              <w:left w:val="single" w:sz="4" w:space="0" w:color="auto"/>
              <w:bottom w:val="single" w:sz="4" w:space="0" w:color="auto"/>
              <w:right w:val="single" w:sz="4" w:space="0" w:color="auto"/>
            </w:tcBorders>
            <w:shd w:val="clear" w:color="auto" w:fill="C6EFCE"/>
          </w:tcPr>
          <w:p w14:paraId="5630F5A1" w14:textId="77777777" w:rsidR="00553430" w:rsidRDefault="00212577">
            <w:pPr>
              <w:pStyle w:val="P68B1DB1-Normal102"/>
              <w:spacing w:after="0" w:line="240" w:lineRule="auto"/>
              <w:jc w:val="center"/>
              <w:textAlignment w:val="baseline"/>
              <w:rPr>
                <w:noProof/>
              </w:rPr>
            </w:pPr>
            <w:r>
              <w:rPr>
                <w:noProof/>
              </w:rPr>
              <w:t>C1.1.2. R2-I2</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2F4C0239" w14:textId="77777777" w:rsidR="00553430" w:rsidRDefault="00212577">
            <w:pPr>
              <w:pStyle w:val="P68B1DB1-Normal102"/>
              <w:spacing w:after="0" w:line="240" w:lineRule="auto"/>
              <w:jc w:val="center"/>
              <w:textAlignment w:val="baseline"/>
              <w:rPr>
                <w:noProof/>
              </w:rPr>
            </w:pPr>
            <w:r>
              <w:rPr>
                <w:noProof/>
              </w:rPr>
              <w:t>T</w:t>
            </w:r>
          </w:p>
        </w:tc>
        <w:tc>
          <w:tcPr>
            <w:tcW w:w="5347" w:type="dxa"/>
            <w:tcBorders>
              <w:top w:val="single" w:sz="4" w:space="0" w:color="auto"/>
              <w:left w:val="single" w:sz="4" w:space="0" w:color="auto"/>
              <w:bottom w:val="single" w:sz="4" w:space="0" w:color="auto"/>
              <w:right w:val="single" w:sz="4" w:space="0" w:color="auto"/>
            </w:tcBorders>
            <w:shd w:val="clear" w:color="auto" w:fill="C6EFCE"/>
          </w:tcPr>
          <w:p w14:paraId="11FE0B4B" w14:textId="77777777" w:rsidR="00553430" w:rsidRDefault="00212577">
            <w:pPr>
              <w:pStyle w:val="P68B1DB1-Normal89"/>
              <w:spacing w:after="0" w:line="240" w:lineRule="auto"/>
              <w:jc w:val="both"/>
              <w:textAlignment w:val="baseline"/>
              <w:rPr>
                <w:noProof/>
                <w:color w:val="000000"/>
              </w:rPr>
            </w:pPr>
            <w:r>
              <w:rPr>
                <w:noProof/>
              </w:rPr>
              <w:t xml:space="preserve">Aider les PME à améliorer leurs capacités de gestion </w:t>
            </w:r>
          </w:p>
        </w:tc>
      </w:tr>
      <w:tr w:rsidR="00553430" w14:paraId="455CDC39" w14:textId="77777777">
        <w:trPr>
          <w:trHeight w:val="51"/>
        </w:trPr>
        <w:tc>
          <w:tcPr>
            <w:tcW w:w="1096" w:type="dxa"/>
            <w:shd w:val="clear" w:color="auto" w:fill="C6EFCE"/>
            <w:vAlign w:val="center"/>
          </w:tcPr>
          <w:p w14:paraId="64AB96E5" w14:textId="77777777" w:rsidR="00553430" w:rsidRDefault="00212577">
            <w:pPr>
              <w:pStyle w:val="P68B1DB1-Normal102"/>
              <w:spacing w:after="0" w:line="240" w:lineRule="auto"/>
              <w:jc w:val="center"/>
              <w:textAlignment w:val="baseline"/>
              <w:rPr>
                <w:noProof/>
              </w:rPr>
            </w:pPr>
            <w:r>
              <w:rPr>
                <w:noProof/>
              </w:rPr>
              <w:t>31</w:t>
            </w:r>
          </w:p>
        </w:tc>
        <w:tc>
          <w:tcPr>
            <w:tcW w:w="1639" w:type="dxa"/>
            <w:shd w:val="clear" w:color="auto" w:fill="C6EFCE"/>
            <w:vAlign w:val="center"/>
          </w:tcPr>
          <w:p w14:paraId="25C8B03A" w14:textId="77777777" w:rsidR="00553430" w:rsidRDefault="00212577">
            <w:pPr>
              <w:pStyle w:val="P68B1DB1-Normal102"/>
              <w:spacing w:after="0" w:line="240" w:lineRule="auto"/>
              <w:jc w:val="center"/>
              <w:textAlignment w:val="baseline"/>
              <w:rPr>
                <w:noProof/>
              </w:rPr>
            </w:pPr>
            <w:r>
              <w:rPr>
                <w:noProof/>
              </w:rPr>
              <w:t>C1.1.2. R2-I4</w:t>
            </w:r>
          </w:p>
        </w:tc>
        <w:tc>
          <w:tcPr>
            <w:tcW w:w="1274" w:type="dxa"/>
            <w:shd w:val="clear" w:color="auto" w:fill="C6EFCE"/>
            <w:vAlign w:val="center"/>
          </w:tcPr>
          <w:p w14:paraId="1F1D5D2A"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48BE1A9" w14:textId="77777777" w:rsidR="00553430" w:rsidRDefault="00212577">
            <w:pPr>
              <w:pStyle w:val="P68B1DB1-Normal102"/>
              <w:spacing w:after="0" w:line="240" w:lineRule="auto"/>
              <w:jc w:val="both"/>
              <w:textAlignment w:val="baseline"/>
              <w:rPr>
                <w:noProof/>
              </w:rPr>
            </w:pPr>
            <w:r>
              <w:rPr>
                <w:noProof/>
              </w:rPr>
              <w:t>Soutenir la croissance des start-ups par la mise en place d'un programme d'accélérateurs.</w:t>
            </w:r>
          </w:p>
        </w:tc>
      </w:tr>
      <w:tr w:rsidR="00553430" w14:paraId="5E79FF0C" w14:textId="77777777">
        <w:trPr>
          <w:trHeight w:val="51"/>
        </w:trPr>
        <w:tc>
          <w:tcPr>
            <w:tcW w:w="1096" w:type="dxa"/>
            <w:shd w:val="clear" w:color="auto" w:fill="C6EFCE"/>
            <w:vAlign w:val="center"/>
          </w:tcPr>
          <w:p w14:paraId="167949A8" w14:textId="77777777" w:rsidR="00553430" w:rsidRDefault="00212577">
            <w:pPr>
              <w:pStyle w:val="P68B1DB1-Normal102"/>
              <w:spacing w:after="0" w:line="240" w:lineRule="auto"/>
              <w:jc w:val="center"/>
              <w:textAlignment w:val="baseline"/>
              <w:rPr>
                <w:noProof/>
              </w:rPr>
            </w:pPr>
            <w:r>
              <w:rPr>
                <w:noProof/>
              </w:rPr>
              <w:t>33</w:t>
            </w:r>
          </w:p>
        </w:tc>
        <w:tc>
          <w:tcPr>
            <w:tcW w:w="1639" w:type="dxa"/>
            <w:shd w:val="clear" w:color="auto" w:fill="C6EFCE"/>
            <w:vAlign w:val="center"/>
          </w:tcPr>
          <w:p w14:paraId="460B686E" w14:textId="77777777" w:rsidR="00553430" w:rsidRDefault="00212577">
            <w:pPr>
              <w:pStyle w:val="P68B1DB1-Normal102"/>
              <w:spacing w:after="0" w:line="240" w:lineRule="auto"/>
              <w:jc w:val="center"/>
              <w:textAlignment w:val="baseline"/>
              <w:rPr>
                <w:noProof/>
              </w:rPr>
            </w:pPr>
            <w:r>
              <w:rPr>
                <w:noProof/>
              </w:rPr>
              <w:t>C1.1.2. R3-I2</w:t>
            </w:r>
          </w:p>
        </w:tc>
        <w:tc>
          <w:tcPr>
            <w:tcW w:w="1274" w:type="dxa"/>
            <w:shd w:val="clear" w:color="auto" w:fill="C6EFCE"/>
            <w:vAlign w:val="center"/>
          </w:tcPr>
          <w:p w14:paraId="3EB218DB"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1705BAE" w14:textId="77777777" w:rsidR="00553430" w:rsidRDefault="00212577">
            <w:pPr>
              <w:pStyle w:val="P68B1DB1-Normal102"/>
              <w:spacing w:after="0" w:line="240" w:lineRule="auto"/>
              <w:jc w:val="both"/>
              <w:textAlignment w:val="baseline"/>
              <w:rPr>
                <w:noProof/>
              </w:rPr>
            </w:pPr>
            <w:r>
              <w:rPr>
                <w:noProof/>
              </w:rPr>
              <w:t xml:space="preserve">Subvention sous forme de bons </w:t>
            </w:r>
          </w:p>
        </w:tc>
      </w:tr>
      <w:tr w:rsidR="00553430" w14:paraId="57344D4C" w14:textId="77777777">
        <w:trPr>
          <w:trHeight w:val="51"/>
        </w:trPr>
        <w:tc>
          <w:tcPr>
            <w:tcW w:w="1096" w:type="dxa"/>
            <w:shd w:val="clear" w:color="auto" w:fill="C6EFCE"/>
            <w:vAlign w:val="center"/>
          </w:tcPr>
          <w:p w14:paraId="093A4B3A" w14:textId="77777777" w:rsidR="00553430" w:rsidRDefault="00212577">
            <w:pPr>
              <w:pStyle w:val="P68B1DB1-Normal102"/>
              <w:spacing w:after="0" w:line="240" w:lineRule="auto"/>
              <w:jc w:val="center"/>
              <w:textAlignment w:val="baseline"/>
              <w:rPr>
                <w:noProof/>
              </w:rPr>
            </w:pPr>
            <w:r>
              <w:rPr>
                <w:noProof/>
              </w:rPr>
              <w:t>34</w:t>
            </w:r>
          </w:p>
        </w:tc>
        <w:tc>
          <w:tcPr>
            <w:tcW w:w="1639" w:type="dxa"/>
            <w:shd w:val="clear" w:color="auto" w:fill="C6EFCE"/>
            <w:vAlign w:val="center"/>
          </w:tcPr>
          <w:p w14:paraId="1C6497B6" w14:textId="77777777" w:rsidR="00553430" w:rsidRDefault="00212577">
            <w:pPr>
              <w:pStyle w:val="P68B1DB1-Normal102"/>
              <w:spacing w:after="0" w:line="240" w:lineRule="auto"/>
              <w:jc w:val="center"/>
              <w:textAlignment w:val="baseline"/>
              <w:rPr>
                <w:noProof/>
              </w:rPr>
            </w:pPr>
            <w:r>
              <w:rPr>
                <w:noProof/>
              </w:rPr>
              <w:t>C1.1.2. R3-I3</w:t>
            </w:r>
          </w:p>
        </w:tc>
        <w:tc>
          <w:tcPr>
            <w:tcW w:w="1274" w:type="dxa"/>
            <w:shd w:val="clear" w:color="auto" w:fill="C6EFCE"/>
            <w:vAlign w:val="center"/>
          </w:tcPr>
          <w:p w14:paraId="5A1CD7F7"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F95F713" w14:textId="3E9CC37E" w:rsidR="00553430" w:rsidRDefault="00212577">
            <w:pPr>
              <w:pStyle w:val="P68B1DB1-Normal102"/>
              <w:spacing w:after="0" w:line="240" w:lineRule="auto"/>
              <w:jc w:val="both"/>
              <w:textAlignment w:val="baseline"/>
              <w:rPr>
                <w:noProof/>
              </w:rPr>
            </w:pPr>
            <w:r>
              <w:rPr>
                <w:noProof/>
              </w:rPr>
              <w:t xml:space="preserve">Aide sous forme de subventions en faveur de la transformation numérique des PME croates </w:t>
            </w:r>
          </w:p>
        </w:tc>
      </w:tr>
      <w:tr w:rsidR="00553430" w14:paraId="79A9EB69" w14:textId="77777777">
        <w:trPr>
          <w:trHeight w:val="51"/>
        </w:trPr>
        <w:tc>
          <w:tcPr>
            <w:tcW w:w="1096" w:type="dxa"/>
            <w:shd w:val="clear" w:color="auto" w:fill="C6EFCE"/>
            <w:vAlign w:val="center"/>
          </w:tcPr>
          <w:p w14:paraId="0C863BB2" w14:textId="77777777" w:rsidR="00553430" w:rsidRDefault="00212577">
            <w:pPr>
              <w:pStyle w:val="P68B1DB1-Normal102"/>
              <w:spacing w:after="0" w:line="240" w:lineRule="auto"/>
              <w:jc w:val="center"/>
              <w:textAlignment w:val="baseline"/>
              <w:rPr>
                <w:noProof/>
              </w:rPr>
            </w:pPr>
            <w:r>
              <w:rPr>
                <w:noProof/>
              </w:rPr>
              <w:t>44</w:t>
            </w:r>
          </w:p>
        </w:tc>
        <w:tc>
          <w:tcPr>
            <w:tcW w:w="1639" w:type="dxa"/>
            <w:shd w:val="clear" w:color="auto" w:fill="C6EFCE"/>
            <w:vAlign w:val="center"/>
          </w:tcPr>
          <w:p w14:paraId="14ACE266" w14:textId="77777777" w:rsidR="00553430" w:rsidRDefault="00212577">
            <w:pPr>
              <w:pStyle w:val="P68B1DB1-Normal102"/>
              <w:spacing w:after="0" w:line="240" w:lineRule="auto"/>
              <w:jc w:val="center"/>
              <w:textAlignment w:val="baseline"/>
              <w:rPr>
                <w:noProof/>
              </w:rPr>
            </w:pPr>
            <w:r>
              <w:rPr>
                <w:noProof/>
              </w:rPr>
              <w:t>C1.2. R1-I1</w:t>
            </w:r>
          </w:p>
        </w:tc>
        <w:tc>
          <w:tcPr>
            <w:tcW w:w="1274" w:type="dxa"/>
            <w:shd w:val="clear" w:color="auto" w:fill="C6EFCE"/>
            <w:vAlign w:val="center"/>
          </w:tcPr>
          <w:p w14:paraId="47762883"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AFD120B" w14:textId="2A4691A7" w:rsidR="00553430" w:rsidRDefault="00212577">
            <w:pPr>
              <w:pStyle w:val="P68B1DB1-Normal102"/>
              <w:spacing w:after="0" w:line="240" w:lineRule="auto"/>
              <w:jc w:val="both"/>
              <w:textAlignment w:val="baseline"/>
              <w:rPr>
                <w:noProof/>
              </w:rPr>
            </w:pPr>
            <w:r>
              <w:rPr>
                <w:noProof/>
              </w:rPr>
              <w:t>La mise à niveau du réseau haute tension (220/110 kV) et la pose des câbles sous-marins pour le réseau de distribution</w:t>
            </w:r>
          </w:p>
        </w:tc>
      </w:tr>
      <w:tr w:rsidR="00553430" w14:paraId="12461C2F"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06B91CED" w14:textId="77777777" w:rsidR="00553430" w:rsidRDefault="00212577">
            <w:pPr>
              <w:pStyle w:val="P68B1DB1-Normal102"/>
              <w:spacing w:after="0" w:line="240" w:lineRule="auto"/>
              <w:jc w:val="center"/>
              <w:textAlignment w:val="baseline"/>
              <w:rPr>
                <w:noProof/>
              </w:rPr>
            </w:pPr>
            <w:r>
              <w:rPr>
                <w:noProof/>
              </w:rPr>
              <w:t>48</w:t>
            </w:r>
          </w:p>
        </w:tc>
        <w:tc>
          <w:tcPr>
            <w:tcW w:w="1639" w:type="dxa"/>
            <w:tcBorders>
              <w:top w:val="single" w:sz="4" w:space="0" w:color="auto"/>
              <w:left w:val="single" w:sz="4" w:space="0" w:color="auto"/>
              <w:bottom w:val="single" w:sz="4" w:space="0" w:color="auto"/>
              <w:right w:val="single" w:sz="4" w:space="0" w:color="auto"/>
            </w:tcBorders>
            <w:shd w:val="clear" w:color="auto" w:fill="C6EFCE"/>
            <w:vAlign w:val="center"/>
          </w:tcPr>
          <w:p w14:paraId="0697544B" w14:textId="77777777" w:rsidR="00553430" w:rsidRDefault="00212577">
            <w:pPr>
              <w:pStyle w:val="P68B1DB1-Normal102"/>
              <w:spacing w:after="0" w:line="240" w:lineRule="auto"/>
              <w:jc w:val="center"/>
              <w:textAlignment w:val="baseline"/>
              <w:rPr>
                <w:noProof/>
              </w:rPr>
            </w:pPr>
            <w:r>
              <w:rPr>
                <w:noProof/>
              </w:rPr>
              <w:t>C1.2. R1-I2</w:t>
            </w:r>
          </w:p>
        </w:tc>
        <w:tc>
          <w:tcPr>
            <w:tcW w:w="1274" w:type="dxa"/>
            <w:tcBorders>
              <w:top w:val="single" w:sz="4" w:space="0" w:color="auto"/>
              <w:left w:val="single" w:sz="4" w:space="0" w:color="auto"/>
              <w:bottom w:val="single" w:sz="4" w:space="0" w:color="auto"/>
              <w:right w:val="single" w:sz="4" w:space="0" w:color="auto"/>
            </w:tcBorders>
            <w:shd w:val="clear" w:color="auto" w:fill="C6EFCE"/>
            <w:vAlign w:val="center"/>
          </w:tcPr>
          <w:p w14:paraId="76896A74" w14:textId="77777777" w:rsidR="00553430" w:rsidRDefault="00212577">
            <w:pPr>
              <w:pStyle w:val="P68B1DB1-Normal102"/>
              <w:spacing w:after="0" w:line="240" w:lineRule="auto"/>
              <w:jc w:val="center"/>
              <w:textAlignment w:val="baseline"/>
              <w:rPr>
                <w:noProof/>
              </w:rPr>
            </w:pPr>
            <w:r>
              <w:rPr>
                <w:noProof/>
              </w:rPr>
              <w:t>M</w:t>
            </w:r>
          </w:p>
        </w:tc>
        <w:tc>
          <w:tcPr>
            <w:tcW w:w="5347" w:type="dxa"/>
            <w:tcBorders>
              <w:top w:val="single" w:sz="4" w:space="0" w:color="auto"/>
              <w:left w:val="single" w:sz="4" w:space="0" w:color="auto"/>
              <w:bottom w:val="single" w:sz="4" w:space="0" w:color="auto"/>
              <w:right w:val="single" w:sz="4" w:space="0" w:color="auto"/>
            </w:tcBorders>
            <w:shd w:val="clear" w:color="auto" w:fill="C6EFCE"/>
            <w:vAlign w:val="center"/>
          </w:tcPr>
          <w:p w14:paraId="10C5E09A" w14:textId="77777777" w:rsidR="00553430" w:rsidRDefault="00212577">
            <w:pPr>
              <w:pStyle w:val="P68B1DB1-Normal89"/>
              <w:spacing w:after="0" w:line="240" w:lineRule="auto"/>
              <w:jc w:val="both"/>
              <w:textAlignment w:val="baseline"/>
              <w:rPr>
                <w:noProof/>
                <w:color w:val="000000"/>
              </w:rPr>
            </w:pPr>
            <w:r>
              <w:rPr>
                <w:noProof/>
              </w:rPr>
              <w:t>Résultats du potentiel géothermique pour le chauffage urbain rendus publics</w:t>
            </w:r>
          </w:p>
        </w:tc>
      </w:tr>
      <w:tr w:rsidR="00553430" w14:paraId="18BE9007"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tcPr>
          <w:p w14:paraId="26B3FF4F" w14:textId="77777777" w:rsidR="00553430" w:rsidRDefault="00212577">
            <w:pPr>
              <w:pStyle w:val="P68B1DB1-Normal66"/>
              <w:spacing w:after="0" w:line="240" w:lineRule="auto"/>
              <w:jc w:val="center"/>
              <w:textAlignment w:val="baseline"/>
              <w:rPr>
                <w:noProof/>
              </w:rPr>
            </w:pPr>
            <w:r>
              <w:rPr>
                <w:noProof/>
              </w:rPr>
              <w:t>51</w:t>
            </w:r>
          </w:p>
        </w:tc>
        <w:tc>
          <w:tcPr>
            <w:tcW w:w="1639" w:type="dxa"/>
            <w:tcBorders>
              <w:top w:val="single" w:sz="4" w:space="0" w:color="auto"/>
              <w:left w:val="single" w:sz="4" w:space="0" w:color="auto"/>
              <w:bottom w:val="single" w:sz="4" w:space="0" w:color="auto"/>
              <w:right w:val="single" w:sz="4" w:space="0" w:color="auto"/>
            </w:tcBorders>
            <w:shd w:val="clear" w:color="auto" w:fill="C6EFCE"/>
          </w:tcPr>
          <w:p w14:paraId="62563112" w14:textId="77777777" w:rsidR="00553430" w:rsidRDefault="00212577">
            <w:pPr>
              <w:pStyle w:val="P68B1DB1-Normal66"/>
              <w:spacing w:after="0" w:line="240" w:lineRule="auto"/>
              <w:jc w:val="center"/>
              <w:textAlignment w:val="baseline"/>
              <w:rPr>
                <w:noProof/>
              </w:rPr>
            </w:pPr>
            <w:r>
              <w:rPr>
                <w:noProof/>
              </w:rPr>
              <w:t>C7.1 R1-I1</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1FA5624C" w14:textId="77777777" w:rsidR="00553430" w:rsidRDefault="00212577">
            <w:pPr>
              <w:pStyle w:val="P68B1DB1-Normal66"/>
              <w:spacing w:after="0" w:line="240" w:lineRule="auto"/>
              <w:jc w:val="center"/>
              <w:textAlignment w:val="baseline"/>
              <w:rPr>
                <w:noProof/>
              </w:rPr>
            </w:pPr>
            <w:r>
              <w:rPr>
                <w:noProof/>
              </w:rPr>
              <w:t>M</w:t>
            </w:r>
          </w:p>
        </w:tc>
        <w:tc>
          <w:tcPr>
            <w:tcW w:w="5347" w:type="dxa"/>
            <w:tcBorders>
              <w:top w:val="single" w:sz="4" w:space="0" w:color="auto"/>
              <w:left w:val="single" w:sz="4" w:space="0" w:color="auto"/>
              <w:bottom w:val="single" w:sz="4" w:space="0" w:color="auto"/>
              <w:right w:val="single" w:sz="4" w:space="0" w:color="auto"/>
            </w:tcBorders>
            <w:shd w:val="clear" w:color="auto" w:fill="C6EFCE"/>
          </w:tcPr>
          <w:p w14:paraId="26B8C086" w14:textId="77777777" w:rsidR="00553430" w:rsidRDefault="00212577">
            <w:pPr>
              <w:pStyle w:val="P68B1DB1-Normal89"/>
              <w:spacing w:after="0" w:line="240" w:lineRule="auto"/>
              <w:jc w:val="both"/>
              <w:textAlignment w:val="baseline"/>
              <w:rPr>
                <w:noProof/>
                <w:color w:val="000000"/>
              </w:rPr>
            </w:pPr>
            <w:r>
              <w:rPr>
                <w:noProof/>
              </w:rPr>
              <w:t xml:space="preserve">Financement </w:t>
            </w:r>
            <w:r>
              <w:rPr>
                <w:noProof/>
              </w:rPr>
              <w:t>d’un projet relatif à l’hydrogène renouvelable</w:t>
            </w:r>
          </w:p>
        </w:tc>
      </w:tr>
      <w:tr w:rsidR="00553430" w14:paraId="16DED337" w14:textId="77777777">
        <w:trPr>
          <w:trHeight w:val="51"/>
        </w:trPr>
        <w:tc>
          <w:tcPr>
            <w:tcW w:w="1096" w:type="dxa"/>
            <w:shd w:val="clear" w:color="auto" w:fill="C6EFCE"/>
            <w:vAlign w:val="center"/>
          </w:tcPr>
          <w:p w14:paraId="61A80A9F" w14:textId="77777777" w:rsidR="00553430" w:rsidRDefault="00212577">
            <w:pPr>
              <w:pStyle w:val="P68B1DB1-Normal102"/>
              <w:spacing w:after="0" w:line="240" w:lineRule="auto"/>
              <w:jc w:val="center"/>
              <w:textAlignment w:val="baseline"/>
              <w:rPr>
                <w:noProof/>
              </w:rPr>
            </w:pPr>
            <w:r>
              <w:rPr>
                <w:noProof/>
              </w:rPr>
              <w:t>52</w:t>
            </w:r>
          </w:p>
        </w:tc>
        <w:tc>
          <w:tcPr>
            <w:tcW w:w="1639" w:type="dxa"/>
            <w:shd w:val="clear" w:color="auto" w:fill="C6EFCE"/>
            <w:vAlign w:val="center"/>
          </w:tcPr>
          <w:p w14:paraId="06AC6ACE" w14:textId="77777777" w:rsidR="00553430" w:rsidRDefault="00212577">
            <w:pPr>
              <w:pStyle w:val="P68B1DB1-Normal102"/>
              <w:spacing w:after="0" w:line="240" w:lineRule="auto"/>
              <w:jc w:val="center"/>
              <w:textAlignment w:val="baseline"/>
              <w:rPr>
                <w:noProof/>
              </w:rPr>
            </w:pPr>
            <w:r>
              <w:rPr>
                <w:noProof/>
              </w:rPr>
              <w:t>C7.1 R1-I1</w:t>
            </w:r>
          </w:p>
        </w:tc>
        <w:tc>
          <w:tcPr>
            <w:tcW w:w="1274" w:type="dxa"/>
            <w:shd w:val="clear" w:color="auto" w:fill="C6EFCE"/>
            <w:vAlign w:val="center"/>
          </w:tcPr>
          <w:p w14:paraId="1F8A09AD"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tcPr>
          <w:p w14:paraId="0DA1E51A" w14:textId="77777777" w:rsidR="00553430" w:rsidRDefault="00212577">
            <w:pPr>
              <w:pStyle w:val="P68B1DB1-Normal102"/>
              <w:spacing w:after="0" w:line="240" w:lineRule="auto"/>
              <w:jc w:val="both"/>
              <w:textAlignment w:val="baseline"/>
              <w:rPr>
                <w:noProof/>
              </w:rPr>
            </w:pPr>
            <w:r>
              <w:rPr>
                <w:noProof/>
              </w:rPr>
              <w:t xml:space="preserve">Appel d’offres public lancé pour une capacité d’hydrogène supplémentaire </w:t>
            </w:r>
          </w:p>
        </w:tc>
      </w:tr>
      <w:tr w:rsidR="00553430" w14:paraId="61D9C4BF" w14:textId="77777777">
        <w:trPr>
          <w:trHeight w:val="51"/>
        </w:trPr>
        <w:tc>
          <w:tcPr>
            <w:tcW w:w="1096" w:type="dxa"/>
            <w:shd w:val="clear" w:color="auto" w:fill="C6EFCE"/>
            <w:vAlign w:val="center"/>
          </w:tcPr>
          <w:p w14:paraId="72E32D7B" w14:textId="77777777" w:rsidR="00553430" w:rsidRDefault="00212577">
            <w:pPr>
              <w:pStyle w:val="P68B1DB1-Normal102"/>
              <w:spacing w:after="0" w:line="240" w:lineRule="auto"/>
              <w:jc w:val="center"/>
              <w:textAlignment w:val="baseline"/>
              <w:rPr>
                <w:noProof/>
              </w:rPr>
            </w:pPr>
            <w:r>
              <w:rPr>
                <w:noProof/>
              </w:rPr>
              <w:t>54</w:t>
            </w:r>
          </w:p>
        </w:tc>
        <w:tc>
          <w:tcPr>
            <w:tcW w:w="1639" w:type="dxa"/>
            <w:shd w:val="clear" w:color="auto" w:fill="C6EFCE"/>
            <w:vAlign w:val="center"/>
          </w:tcPr>
          <w:p w14:paraId="1054C591" w14:textId="77777777" w:rsidR="00553430" w:rsidRDefault="00212577">
            <w:pPr>
              <w:pStyle w:val="P68B1DB1-Normal102"/>
              <w:spacing w:after="0" w:line="240" w:lineRule="auto"/>
              <w:jc w:val="center"/>
              <w:textAlignment w:val="baseline"/>
              <w:rPr>
                <w:noProof/>
              </w:rPr>
            </w:pPr>
            <w:r>
              <w:rPr>
                <w:noProof/>
              </w:rPr>
              <w:t>C7.1 R1-I1</w:t>
            </w:r>
          </w:p>
        </w:tc>
        <w:tc>
          <w:tcPr>
            <w:tcW w:w="1274" w:type="dxa"/>
            <w:shd w:val="clear" w:color="auto" w:fill="C6EFCE"/>
            <w:vAlign w:val="center"/>
          </w:tcPr>
          <w:p w14:paraId="1F2C0526"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tcPr>
          <w:p w14:paraId="76CE427E" w14:textId="77777777" w:rsidR="00553430" w:rsidRDefault="00212577">
            <w:pPr>
              <w:pStyle w:val="P68B1DB1-Normal102"/>
              <w:spacing w:after="0" w:line="240" w:lineRule="auto"/>
              <w:jc w:val="both"/>
              <w:textAlignment w:val="baseline"/>
              <w:rPr>
                <w:noProof/>
              </w:rPr>
            </w:pPr>
            <w:r>
              <w:rPr>
                <w:noProof/>
              </w:rPr>
              <w:t>Études sur le stockage géologique du carbone</w:t>
            </w:r>
          </w:p>
        </w:tc>
      </w:tr>
      <w:tr w:rsidR="00553430" w14:paraId="4A52E5B1" w14:textId="77777777">
        <w:trPr>
          <w:trHeight w:val="51"/>
        </w:trPr>
        <w:tc>
          <w:tcPr>
            <w:tcW w:w="1096" w:type="dxa"/>
            <w:shd w:val="clear" w:color="auto" w:fill="C6EFCE"/>
            <w:vAlign w:val="center"/>
          </w:tcPr>
          <w:p w14:paraId="7A5DBFA8" w14:textId="77777777" w:rsidR="00553430" w:rsidRDefault="00212577">
            <w:pPr>
              <w:pStyle w:val="P68B1DB1-Normal102"/>
              <w:spacing w:after="0" w:line="240" w:lineRule="auto"/>
              <w:jc w:val="center"/>
              <w:textAlignment w:val="baseline"/>
              <w:rPr>
                <w:noProof/>
              </w:rPr>
            </w:pPr>
            <w:r>
              <w:rPr>
                <w:noProof/>
              </w:rPr>
              <w:t>65</w:t>
            </w:r>
          </w:p>
        </w:tc>
        <w:tc>
          <w:tcPr>
            <w:tcW w:w="1639" w:type="dxa"/>
            <w:shd w:val="clear" w:color="auto" w:fill="C6EFCE"/>
            <w:vAlign w:val="center"/>
          </w:tcPr>
          <w:p w14:paraId="798E7BED" w14:textId="77777777" w:rsidR="00553430" w:rsidRDefault="00212577">
            <w:pPr>
              <w:pStyle w:val="P68B1DB1-Normal102"/>
              <w:spacing w:after="0" w:line="240" w:lineRule="auto"/>
              <w:jc w:val="center"/>
              <w:textAlignment w:val="baseline"/>
              <w:rPr>
                <w:noProof/>
              </w:rPr>
            </w:pPr>
            <w:r>
              <w:rPr>
                <w:noProof/>
              </w:rPr>
              <w:t>C1.3. R1-I1</w:t>
            </w:r>
          </w:p>
        </w:tc>
        <w:tc>
          <w:tcPr>
            <w:tcW w:w="1274" w:type="dxa"/>
            <w:shd w:val="clear" w:color="auto" w:fill="C6EFCE"/>
            <w:vAlign w:val="center"/>
          </w:tcPr>
          <w:p w14:paraId="6A352284"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379FFB1" w14:textId="77777777" w:rsidR="00553430" w:rsidRDefault="00212577">
            <w:pPr>
              <w:pStyle w:val="P68B1DB1-Normal89"/>
              <w:spacing w:after="0" w:line="240" w:lineRule="auto"/>
              <w:jc w:val="both"/>
              <w:textAlignment w:val="baseline"/>
              <w:rPr>
                <w:noProof/>
                <w:color w:val="000000"/>
              </w:rPr>
            </w:pPr>
            <w:r>
              <w:rPr>
                <w:noProof/>
              </w:rPr>
              <w:t xml:space="preserve">Installations de traitement des eaux </w:t>
            </w:r>
            <w:r>
              <w:rPr>
                <w:noProof/>
              </w:rPr>
              <w:t>usées construites</w:t>
            </w:r>
            <w:r>
              <w:rPr>
                <w:noProof/>
                <w:color w:val="000000"/>
              </w:rPr>
              <w:t xml:space="preserve"> ou modernisées</w:t>
            </w:r>
          </w:p>
        </w:tc>
      </w:tr>
      <w:tr w:rsidR="00553430" w14:paraId="43FF971A" w14:textId="77777777">
        <w:trPr>
          <w:trHeight w:val="51"/>
        </w:trPr>
        <w:tc>
          <w:tcPr>
            <w:tcW w:w="1096" w:type="dxa"/>
            <w:shd w:val="clear" w:color="auto" w:fill="C6EFCE"/>
            <w:vAlign w:val="center"/>
          </w:tcPr>
          <w:p w14:paraId="6942A093" w14:textId="77777777" w:rsidR="00553430" w:rsidRDefault="00212577">
            <w:pPr>
              <w:pStyle w:val="P68B1DB1-Normal102"/>
              <w:spacing w:after="0" w:line="240" w:lineRule="auto"/>
              <w:jc w:val="center"/>
              <w:textAlignment w:val="baseline"/>
              <w:rPr>
                <w:noProof/>
              </w:rPr>
            </w:pPr>
            <w:r>
              <w:rPr>
                <w:noProof/>
              </w:rPr>
              <w:t>66</w:t>
            </w:r>
          </w:p>
        </w:tc>
        <w:tc>
          <w:tcPr>
            <w:tcW w:w="1639" w:type="dxa"/>
            <w:shd w:val="clear" w:color="auto" w:fill="C6EFCE"/>
            <w:vAlign w:val="center"/>
          </w:tcPr>
          <w:p w14:paraId="3C17091C" w14:textId="77777777" w:rsidR="00553430" w:rsidRDefault="00212577">
            <w:pPr>
              <w:pStyle w:val="P68B1DB1-Normal102"/>
              <w:spacing w:after="0" w:line="240" w:lineRule="auto"/>
              <w:jc w:val="center"/>
              <w:textAlignment w:val="baseline"/>
              <w:rPr>
                <w:noProof/>
              </w:rPr>
            </w:pPr>
            <w:r>
              <w:rPr>
                <w:noProof/>
              </w:rPr>
              <w:t>C1.3. R1-I1</w:t>
            </w:r>
          </w:p>
        </w:tc>
        <w:tc>
          <w:tcPr>
            <w:tcW w:w="1274" w:type="dxa"/>
            <w:shd w:val="clear" w:color="auto" w:fill="C6EFCE"/>
            <w:vAlign w:val="center"/>
          </w:tcPr>
          <w:p w14:paraId="5AC54B9D"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DF2BB12" w14:textId="77777777" w:rsidR="00553430" w:rsidRDefault="00212577">
            <w:pPr>
              <w:pStyle w:val="P68B1DB1-Normal89"/>
              <w:spacing w:after="0" w:line="240" w:lineRule="auto"/>
              <w:jc w:val="both"/>
              <w:textAlignment w:val="baseline"/>
              <w:rPr>
                <w:noProof/>
                <w:color w:val="000000"/>
              </w:rPr>
            </w:pPr>
            <w:r>
              <w:rPr>
                <w:noProof/>
              </w:rPr>
              <w:t>Construction ou reconstruction d'un réseau public d'égouts</w:t>
            </w:r>
          </w:p>
        </w:tc>
      </w:tr>
      <w:tr w:rsidR="00553430" w14:paraId="10371D31" w14:textId="77777777">
        <w:trPr>
          <w:trHeight w:val="51"/>
        </w:trPr>
        <w:tc>
          <w:tcPr>
            <w:tcW w:w="1096" w:type="dxa"/>
            <w:shd w:val="clear" w:color="auto" w:fill="C6EFCE"/>
            <w:vAlign w:val="center"/>
          </w:tcPr>
          <w:p w14:paraId="3F549A0F" w14:textId="77777777" w:rsidR="00553430" w:rsidRDefault="00212577">
            <w:pPr>
              <w:pStyle w:val="P68B1DB1-Normal102"/>
              <w:spacing w:after="0" w:line="240" w:lineRule="auto"/>
              <w:jc w:val="center"/>
              <w:textAlignment w:val="baseline"/>
              <w:rPr>
                <w:noProof/>
              </w:rPr>
            </w:pPr>
            <w:r>
              <w:rPr>
                <w:noProof/>
              </w:rPr>
              <w:t>72</w:t>
            </w:r>
          </w:p>
        </w:tc>
        <w:tc>
          <w:tcPr>
            <w:tcW w:w="1639" w:type="dxa"/>
            <w:shd w:val="clear" w:color="auto" w:fill="C6EFCE"/>
            <w:vAlign w:val="center"/>
          </w:tcPr>
          <w:p w14:paraId="2BA71495" w14:textId="77777777" w:rsidR="00553430" w:rsidRDefault="00212577">
            <w:pPr>
              <w:pStyle w:val="P68B1DB1-Normal102"/>
              <w:spacing w:after="0" w:line="240" w:lineRule="auto"/>
              <w:jc w:val="center"/>
              <w:textAlignment w:val="baseline"/>
              <w:rPr>
                <w:noProof/>
              </w:rPr>
            </w:pPr>
            <w:r>
              <w:rPr>
                <w:noProof/>
              </w:rPr>
              <w:t>C1.3. R1-I2</w:t>
            </w:r>
          </w:p>
        </w:tc>
        <w:tc>
          <w:tcPr>
            <w:tcW w:w="1274" w:type="dxa"/>
            <w:shd w:val="clear" w:color="auto" w:fill="C6EFCE"/>
            <w:vAlign w:val="center"/>
          </w:tcPr>
          <w:p w14:paraId="43CD5785"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7A3566B" w14:textId="77777777" w:rsidR="00553430" w:rsidRDefault="00212577">
            <w:pPr>
              <w:pStyle w:val="P68B1DB1-Normal89"/>
              <w:spacing w:after="0" w:line="240" w:lineRule="auto"/>
              <w:jc w:val="both"/>
              <w:textAlignment w:val="baseline"/>
              <w:rPr>
                <w:noProof/>
                <w:color w:val="000000"/>
              </w:rPr>
            </w:pPr>
            <w:r>
              <w:rPr>
                <w:noProof/>
              </w:rPr>
              <w:t>Construction ou reconstruction d'un réseau public d'approvisionnement en eau</w:t>
            </w:r>
          </w:p>
        </w:tc>
      </w:tr>
      <w:tr w:rsidR="00553430" w14:paraId="035B7CC5" w14:textId="77777777">
        <w:trPr>
          <w:trHeight w:val="51"/>
        </w:trPr>
        <w:tc>
          <w:tcPr>
            <w:tcW w:w="1096" w:type="dxa"/>
            <w:shd w:val="clear" w:color="auto" w:fill="C6EFCE"/>
            <w:vAlign w:val="center"/>
          </w:tcPr>
          <w:p w14:paraId="2D679DDE" w14:textId="77777777" w:rsidR="00553430" w:rsidRDefault="00212577">
            <w:pPr>
              <w:pStyle w:val="P68B1DB1-Normal102"/>
              <w:spacing w:after="0" w:line="240" w:lineRule="auto"/>
              <w:jc w:val="center"/>
              <w:textAlignment w:val="baseline"/>
              <w:rPr>
                <w:noProof/>
              </w:rPr>
            </w:pPr>
            <w:r>
              <w:rPr>
                <w:noProof/>
              </w:rPr>
              <w:t>79</w:t>
            </w:r>
          </w:p>
        </w:tc>
        <w:tc>
          <w:tcPr>
            <w:tcW w:w="1639" w:type="dxa"/>
            <w:shd w:val="clear" w:color="auto" w:fill="C6EFCE"/>
            <w:vAlign w:val="center"/>
          </w:tcPr>
          <w:p w14:paraId="7B2028E8" w14:textId="77777777" w:rsidR="00553430" w:rsidRDefault="00212577">
            <w:pPr>
              <w:pStyle w:val="P68B1DB1-Normal102"/>
              <w:spacing w:after="0" w:line="240" w:lineRule="auto"/>
              <w:jc w:val="center"/>
              <w:textAlignment w:val="baseline"/>
              <w:rPr>
                <w:noProof/>
              </w:rPr>
            </w:pPr>
            <w:r>
              <w:rPr>
                <w:noProof/>
              </w:rPr>
              <w:t>C1.3. R1-I3</w:t>
            </w:r>
          </w:p>
        </w:tc>
        <w:tc>
          <w:tcPr>
            <w:tcW w:w="1274" w:type="dxa"/>
            <w:shd w:val="clear" w:color="auto" w:fill="C6EFCE"/>
            <w:vAlign w:val="center"/>
          </w:tcPr>
          <w:p w14:paraId="1BCE55A1"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5B7B304" w14:textId="77777777" w:rsidR="00553430" w:rsidRDefault="00212577">
            <w:pPr>
              <w:pStyle w:val="P68B1DB1-Normal89"/>
              <w:spacing w:after="0" w:line="240" w:lineRule="auto"/>
              <w:jc w:val="both"/>
              <w:textAlignment w:val="baseline"/>
              <w:rPr>
                <w:noProof/>
                <w:color w:val="000000"/>
              </w:rPr>
            </w:pPr>
            <w:r>
              <w:rPr>
                <w:noProof/>
              </w:rPr>
              <w:t xml:space="preserve">Construction de structures de </w:t>
            </w:r>
            <w:r>
              <w:rPr>
                <w:noProof/>
              </w:rPr>
              <w:t>protection contre les inondations</w:t>
            </w:r>
          </w:p>
        </w:tc>
      </w:tr>
      <w:tr w:rsidR="00553430" w14:paraId="6C09188E" w14:textId="77777777">
        <w:trPr>
          <w:trHeight w:val="51"/>
        </w:trPr>
        <w:tc>
          <w:tcPr>
            <w:tcW w:w="1096" w:type="dxa"/>
            <w:shd w:val="clear" w:color="auto" w:fill="C6EFCE"/>
            <w:vAlign w:val="center"/>
          </w:tcPr>
          <w:p w14:paraId="67CE3CA6" w14:textId="77777777" w:rsidR="00553430" w:rsidRDefault="00212577">
            <w:pPr>
              <w:pStyle w:val="P68B1DB1-Normal102"/>
              <w:spacing w:after="0" w:line="240" w:lineRule="auto"/>
              <w:jc w:val="center"/>
              <w:textAlignment w:val="baseline"/>
              <w:rPr>
                <w:noProof/>
              </w:rPr>
            </w:pPr>
            <w:r>
              <w:rPr>
                <w:noProof/>
              </w:rPr>
              <w:t>86</w:t>
            </w:r>
          </w:p>
        </w:tc>
        <w:tc>
          <w:tcPr>
            <w:tcW w:w="1639" w:type="dxa"/>
            <w:shd w:val="clear" w:color="auto" w:fill="C6EFCE"/>
            <w:vAlign w:val="center"/>
          </w:tcPr>
          <w:p w14:paraId="6DF99726" w14:textId="77777777" w:rsidR="00553430" w:rsidRDefault="00212577">
            <w:pPr>
              <w:pStyle w:val="P68B1DB1-Normal102"/>
              <w:spacing w:after="0" w:line="240" w:lineRule="auto"/>
              <w:jc w:val="center"/>
              <w:textAlignment w:val="baseline"/>
              <w:rPr>
                <w:noProof/>
              </w:rPr>
            </w:pPr>
            <w:r>
              <w:rPr>
                <w:noProof/>
              </w:rPr>
              <w:t>C1.3. R2-I1</w:t>
            </w:r>
          </w:p>
        </w:tc>
        <w:tc>
          <w:tcPr>
            <w:tcW w:w="1274" w:type="dxa"/>
            <w:shd w:val="clear" w:color="auto" w:fill="C6EFCE"/>
            <w:vAlign w:val="center"/>
          </w:tcPr>
          <w:p w14:paraId="7DD3162D"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606C039" w14:textId="77777777" w:rsidR="00553430" w:rsidRDefault="00212577">
            <w:pPr>
              <w:pStyle w:val="P68B1DB1-Normal89"/>
              <w:spacing w:after="0" w:line="240" w:lineRule="auto"/>
              <w:jc w:val="both"/>
              <w:textAlignment w:val="baseline"/>
              <w:rPr>
                <w:noProof/>
                <w:color w:val="000000"/>
              </w:rPr>
            </w:pPr>
            <w:r>
              <w:rPr>
                <w:noProof/>
              </w:rPr>
              <w:t>Installations de tri construites</w:t>
            </w:r>
          </w:p>
        </w:tc>
      </w:tr>
      <w:tr w:rsidR="00553430" w14:paraId="428629BB" w14:textId="77777777">
        <w:trPr>
          <w:trHeight w:val="51"/>
        </w:trPr>
        <w:tc>
          <w:tcPr>
            <w:tcW w:w="1096" w:type="dxa"/>
            <w:shd w:val="clear" w:color="auto" w:fill="C6EFCE"/>
            <w:vAlign w:val="center"/>
          </w:tcPr>
          <w:p w14:paraId="33FFF539" w14:textId="77777777" w:rsidR="00553430" w:rsidRDefault="00212577">
            <w:pPr>
              <w:pStyle w:val="P68B1DB1-Normal102"/>
              <w:spacing w:after="0" w:line="240" w:lineRule="auto"/>
              <w:jc w:val="center"/>
              <w:textAlignment w:val="baseline"/>
              <w:rPr>
                <w:noProof/>
              </w:rPr>
            </w:pPr>
            <w:r>
              <w:rPr>
                <w:noProof/>
              </w:rPr>
              <w:t>87</w:t>
            </w:r>
          </w:p>
        </w:tc>
        <w:tc>
          <w:tcPr>
            <w:tcW w:w="1639" w:type="dxa"/>
            <w:shd w:val="clear" w:color="auto" w:fill="C6EFCE"/>
            <w:vAlign w:val="center"/>
          </w:tcPr>
          <w:p w14:paraId="7D6F6C70" w14:textId="77777777" w:rsidR="00553430" w:rsidRDefault="00212577">
            <w:pPr>
              <w:pStyle w:val="P68B1DB1-Normal102"/>
              <w:spacing w:after="0" w:line="240" w:lineRule="auto"/>
              <w:jc w:val="center"/>
              <w:textAlignment w:val="baseline"/>
              <w:rPr>
                <w:noProof/>
              </w:rPr>
            </w:pPr>
            <w:r>
              <w:rPr>
                <w:noProof/>
              </w:rPr>
              <w:t>C1.3. R2-I1</w:t>
            </w:r>
          </w:p>
        </w:tc>
        <w:tc>
          <w:tcPr>
            <w:tcW w:w="1274" w:type="dxa"/>
            <w:shd w:val="clear" w:color="auto" w:fill="C6EFCE"/>
            <w:vAlign w:val="center"/>
          </w:tcPr>
          <w:p w14:paraId="369FF1A2"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105B1E3" w14:textId="77777777" w:rsidR="00553430" w:rsidRDefault="00212577">
            <w:pPr>
              <w:pStyle w:val="P68B1DB1-Normal89"/>
              <w:spacing w:after="0" w:line="240" w:lineRule="auto"/>
              <w:jc w:val="both"/>
              <w:textAlignment w:val="baseline"/>
              <w:rPr>
                <w:noProof/>
                <w:color w:val="000000"/>
              </w:rPr>
            </w:pPr>
            <w:r>
              <w:rPr>
                <w:noProof/>
              </w:rPr>
              <w:t>Installations construites pour traiter les biodéchets collectés séparément</w:t>
            </w:r>
          </w:p>
        </w:tc>
      </w:tr>
      <w:tr w:rsidR="00553430" w14:paraId="47FFD72E" w14:textId="77777777">
        <w:trPr>
          <w:trHeight w:val="51"/>
        </w:trPr>
        <w:tc>
          <w:tcPr>
            <w:tcW w:w="1096" w:type="dxa"/>
            <w:shd w:val="clear" w:color="auto" w:fill="C6EFCE"/>
            <w:vAlign w:val="center"/>
          </w:tcPr>
          <w:p w14:paraId="2FFBC3BA" w14:textId="77777777" w:rsidR="00553430" w:rsidRDefault="00212577">
            <w:pPr>
              <w:pStyle w:val="P68B1DB1-Normal102"/>
              <w:spacing w:after="0" w:line="240" w:lineRule="auto"/>
              <w:jc w:val="center"/>
              <w:textAlignment w:val="baseline"/>
              <w:rPr>
                <w:noProof/>
              </w:rPr>
            </w:pPr>
            <w:r>
              <w:rPr>
                <w:noProof/>
              </w:rPr>
              <w:t>88</w:t>
            </w:r>
          </w:p>
        </w:tc>
        <w:tc>
          <w:tcPr>
            <w:tcW w:w="1639" w:type="dxa"/>
            <w:shd w:val="clear" w:color="auto" w:fill="C6EFCE"/>
            <w:vAlign w:val="center"/>
          </w:tcPr>
          <w:p w14:paraId="68907369" w14:textId="77777777" w:rsidR="00553430" w:rsidRDefault="00212577">
            <w:pPr>
              <w:pStyle w:val="P68B1DB1-Normal102"/>
              <w:spacing w:after="0" w:line="240" w:lineRule="auto"/>
              <w:jc w:val="center"/>
              <w:textAlignment w:val="baseline"/>
              <w:rPr>
                <w:noProof/>
              </w:rPr>
            </w:pPr>
            <w:r>
              <w:rPr>
                <w:noProof/>
              </w:rPr>
              <w:t>C1.3. R2-I1</w:t>
            </w:r>
          </w:p>
        </w:tc>
        <w:tc>
          <w:tcPr>
            <w:tcW w:w="1274" w:type="dxa"/>
            <w:shd w:val="clear" w:color="auto" w:fill="C6EFCE"/>
            <w:vAlign w:val="center"/>
          </w:tcPr>
          <w:p w14:paraId="08A86FDF"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0D860A1" w14:textId="77777777" w:rsidR="00553430" w:rsidRDefault="00212577">
            <w:pPr>
              <w:pStyle w:val="P68B1DB1-Normal89"/>
              <w:spacing w:after="0" w:line="240" w:lineRule="auto"/>
              <w:jc w:val="both"/>
              <w:textAlignment w:val="baseline"/>
              <w:rPr>
                <w:noProof/>
                <w:color w:val="000000"/>
              </w:rPr>
            </w:pPr>
            <w:r>
              <w:rPr>
                <w:noProof/>
              </w:rPr>
              <w:t>Site fonctionnel de tri des déchets fixes/mobiles</w:t>
            </w:r>
          </w:p>
        </w:tc>
      </w:tr>
      <w:tr w:rsidR="00553430" w14:paraId="41DFCAC6" w14:textId="77777777">
        <w:trPr>
          <w:trHeight w:val="51"/>
        </w:trPr>
        <w:tc>
          <w:tcPr>
            <w:tcW w:w="1096" w:type="dxa"/>
            <w:shd w:val="clear" w:color="auto" w:fill="C6EFCE"/>
            <w:vAlign w:val="center"/>
          </w:tcPr>
          <w:p w14:paraId="3CEEDF9F" w14:textId="77777777" w:rsidR="00553430" w:rsidRDefault="00212577">
            <w:pPr>
              <w:pStyle w:val="P68B1DB1-Normal102"/>
              <w:spacing w:after="0" w:line="240" w:lineRule="auto"/>
              <w:jc w:val="center"/>
              <w:textAlignment w:val="baseline"/>
              <w:rPr>
                <w:noProof/>
              </w:rPr>
            </w:pPr>
            <w:r>
              <w:rPr>
                <w:noProof/>
              </w:rPr>
              <w:t>90</w:t>
            </w:r>
          </w:p>
        </w:tc>
        <w:tc>
          <w:tcPr>
            <w:tcW w:w="1639" w:type="dxa"/>
            <w:shd w:val="clear" w:color="auto" w:fill="C6EFCE"/>
            <w:vAlign w:val="center"/>
          </w:tcPr>
          <w:p w14:paraId="33059D6C" w14:textId="77777777" w:rsidR="00553430" w:rsidRDefault="00212577">
            <w:pPr>
              <w:pStyle w:val="P68B1DB1-Normal102"/>
              <w:spacing w:after="0" w:line="240" w:lineRule="auto"/>
              <w:jc w:val="center"/>
              <w:textAlignment w:val="baseline"/>
              <w:rPr>
                <w:noProof/>
              </w:rPr>
            </w:pPr>
            <w:r>
              <w:rPr>
                <w:noProof/>
              </w:rPr>
              <w:t xml:space="preserve">C1.3. </w:t>
            </w:r>
            <w:r>
              <w:rPr>
                <w:noProof/>
              </w:rPr>
              <w:t>R2-I2</w:t>
            </w:r>
          </w:p>
        </w:tc>
        <w:tc>
          <w:tcPr>
            <w:tcW w:w="1274" w:type="dxa"/>
            <w:shd w:val="clear" w:color="auto" w:fill="C6EFCE"/>
            <w:vAlign w:val="center"/>
          </w:tcPr>
          <w:p w14:paraId="7974F6B9"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72A03C8" w14:textId="77777777" w:rsidR="00553430" w:rsidRDefault="00212577">
            <w:pPr>
              <w:pStyle w:val="P68B1DB1-Normal102"/>
              <w:spacing w:after="0" w:line="240" w:lineRule="auto"/>
              <w:jc w:val="both"/>
              <w:textAlignment w:val="baseline"/>
              <w:rPr>
                <w:noProof/>
              </w:rPr>
            </w:pPr>
            <w:r>
              <w:rPr>
                <w:noProof/>
              </w:rPr>
              <w:t>Assainissement des décharges</w:t>
            </w:r>
          </w:p>
        </w:tc>
      </w:tr>
      <w:tr w:rsidR="00553430" w14:paraId="48B0FBAE" w14:textId="77777777">
        <w:trPr>
          <w:trHeight w:val="51"/>
        </w:trPr>
        <w:tc>
          <w:tcPr>
            <w:tcW w:w="1096" w:type="dxa"/>
            <w:shd w:val="clear" w:color="auto" w:fill="C6EFCE"/>
            <w:vAlign w:val="center"/>
          </w:tcPr>
          <w:p w14:paraId="4172F3D5" w14:textId="77777777" w:rsidR="00553430" w:rsidRDefault="00212577">
            <w:pPr>
              <w:pStyle w:val="P68B1DB1-Normal102"/>
              <w:spacing w:after="0" w:line="240" w:lineRule="auto"/>
              <w:jc w:val="center"/>
              <w:textAlignment w:val="baseline"/>
              <w:rPr>
                <w:noProof/>
              </w:rPr>
            </w:pPr>
            <w:r>
              <w:rPr>
                <w:noProof/>
              </w:rPr>
              <w:t>95</w:t>
            </w:r>
          </w:p>
        </w:tc>
        <w:tc>
          <w:tcPr>
            <w:tcW w:w="1639" w:type="dxa"/>
            <w:shd w:val="clear" w:color="auto" w:fill="C6EFCE"/>
            <w:vAlign w:val="center"/>
          </w:tcPr>
          <w:p w14:paraId="72010D6A" w14:textId="77777777" w:rsidR="00553430" w:rsidRDefault="00212577">
            <w:pPr>
              <w:pStyle w:val="P68B1DB1-Normal102"/>
              <w:spacing w:after="0" w:line="240" w:lineRule="auto"/>
              <w:jc w:val="center"/>
              <w:textAlignment w:val="baseline"/>
              <w:rPr>
                <w:noProof/>
              </w:rPr>
            </w:pPr>
            <w:r>
              <w:rPr>
                <w:noProof/>
              </w:rPr>
              <w:t>C1.4. R1-I3</w:t>
            </w:r>
          </w:p>
        </w:tc>
        <w:tc>
          <w:tcPr>
            <w:tcW w:w="1274" w:type="dxa"/>
            <w:shd w:val="clear" w:color="auto" w:fill="C6EFCE"/>
            <w:vAlign w:val="center"/>
          </w:tcPr>
          <w:p w14:paraId="2D6C8FF3"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8DB1B3E" w14:textId="77777777" w:rsidR="00553430" w:rsidRDefault="00212577">
            <w:pPr>
              <w:pStyle w:val="P68B1DB1-Normal102"/>
              <w:spacing w:after="0" w:line="240" w:lineRule="auto"/>
              <w:jc w:val="both"/>
              <w:textAlignment w:val="baseline"/>
              <w:rPr>
                <w:noProof/>
              </w:rPr>
            </w:pPr>
            <w:r>
              <w:rPr>
                <w:noProof/>
              </w:rPr>
              <w:t>Mise en place d'un système national de stockage électronique et d'échange de données dans le domaine du transport routier (NSCP)</w:t>
            </w:r>
          </w:p>
        </w:tc>
      </w:tr>
      <w:tr w:rsidR="00553430" w14:paraId="067290B9" w14:textId="77777777">
        <w:trPr>
          <w:trHeight w:val="51"/>
        </w:trPr>
        <w:tc>
          <w:tcPr>
            <w:tcW w:w="1096" w:type="dxa"/>
            <w:shd w:val="clear" w:color="auto" w:fill="C6EFCE"/>
            <w:vAlign w:val="center"/>
          </w:tcPr>
          <w:p w14:paraId="48B41A1A" w14:textId="77777777" w:rsidR="00553430" w:rsidRDefault="00212577">
            <w:pPr>
              <w:pStyle w:val="P68B1DB1-Normal102"/>
              <w:spacing w:after="0" w:line="240" w:lineRule="auto"/>
              <w:jc w:val="center"/>
              <w:textAlignment w:val="baseline"/>
              <w:rPr>
                <w:noProof/>
              </w:rPr>
            </w:pPr>
            <w:r>
              <w:rPr>
                <w:noProof/>
              </w:rPr>
              <w:t>97</w:t>
            </w:r>
          </w:p>
        </w:tc>
        <w:tc>
          <w:tcPr>
            <w:tcW w:w="1639" w:type="dxa"/>
            <w:shd w:val="clear" w:color="auto" w:fill="C6EFCE"/>
            <w:vAlign w:val="center"/>
          </w:tcPr>
          <w:p w14:paraId="405A33C2" w14:textId="77777777" w:rsidR="00553430" w:rsidRDefault="00212577">
            <w:pPr>
              <w:pStyle w:val="P68B1DB1-Normal102"/>
              <w:spacing w:after="0" w:line="240" w:lineRule="auto"/>
              <w:jc w:val="center"/>
              <w:textAlignment w:val="baseline"/>
              <w:rPr>
                <w:noProof/>
              </w:rPr>
            </w:pPr>
            <w:r>
              <w:rPr>
                <w:noProof/>
              </w:rPr>
              <w:t>C1.4. R1-I5</w:t>
            </w:r>
          </w:p>
        </w:tc>
        <w:tc>
          <w:tcPr>
            <w:tcW w:w="1274" w:type="dxa"/>
            <w:shd w:val="clear" w:color="auto" w:fill="C6EFCE"/>
            <w:vAlign w:val="center"/>
          </w:tcPr>
          <w:p w14:paraId="5F806AEC"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C92CA95" w14:textId="704E7082" w:rsidR="00553430" w:rsidRDefault="00212577">
            <w:pPr>
              <w:pStyle w:val="P68B1DB1-Normal102"/>
              <w:spacing w:after="0" w:line="240" w:lineRule="auto"/>
              <w:jc w:val="both"/>
              <w:textAlignment w:val="baseline"/>
              <w:rPr>
                <w:noProof/>
              </w:rPr>
            </w:pPr>
            <w:r>
              <w:rPr>
                <w:noProof/>
              </w:rPr>
              <w:t xml:space="preserve">Mise en place d'un système de surveillance du </w:t>
            </w:r>
            <w:r>
              <w:rPr>
                <w:noProof/>
              </w:rPr>
              <w:t>transport de marchandises dangereuses par route (e-ADR)</w:t>
            </w:r>
          </w:p>
        </w:tc>
      </w:tr>
      <w:tr w:rsidR="00553430" w14:paraId="0BFA648F" w14:textId="77777777">
        <w:trPr>
          <w:trHeight w:val="51"/>
        </w:trPr>
        <w:tc>
          <w:tcPr>
            <w:tcW w:w="1096" w:type="dxa"/>
            <w:shd w:val="clear" w:color="auto" w:fill="C6EFCE"/>
            <w:vAlign w:val="center"/>
          </w:tcPr>
          <w:p w14:paraId="7426AD78" w14:textId="77777777" w:rsidR="00553430" w:rsidRDefault="00212577">
            <w:pPr>
              <w:pStyle w:val="P68B1DB1-Normal102"/>
              <w:spacing w:after="0" w:line="240" w:lineRule="auto"/>
              <w:jc w:val="center"/>
              <w:textAlignment w:val="baseline"/>
              <w:rPr>
                <w:noProof/>
              </w:rPr>
            </w:pPr>
            <w:r>
              <w:rPr>
                <w:noProof/>
              </w:rPr>
              <w:t>104</w:t>
            </w:r>
          </w:p>
        </w:tc>
        <w:tc>
          <w:tcPr>
            <w:tcW w:w="1639" w:type="dxa"/>
            <w:shd w:val="clear" w:color="auto" w:fill="C6EFCE"/>
            <w:vAlign w:val="center"/>
          </w:tcPr>
          <w:p w14:paraId="0AD9D181" w14:textId="77777777" w:rsidR="00553430" w:rsidRDefault="00212577">
            <w:pPr>
              <w:pStyle w:val="P68B1DB1-Normal102"/>
              <w:spacing w:after="0" w:line="240" w:lineRule="auto"/>
              <w:jc w:val="center"/>
              <w:textAlignment w:val="baseline"/>
              <w:rPr>
                <w:noProof/>
              </w:rPr>
            </w:pPr>
            <w:r>
              <w:rPr>
                <w:noProof/>
              </w:rPr>
              <w:t>C1.4. R2-I3</w:t>
            </w:r>
          </w:p>
        </w:tc>
        <w:tc>
          <w:tcPr>
            <w:tcW w:w="1274" w:type="dxa"/>
            <w:shd w:val="clear" w:color="auto" w:fill="C6EFCE"/>
            <w:vAlign w:val="center"/>
          </w:tcPr>
          <w:p w14:paraId="6146ED8B"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913E9B9" w14:textId="77777777" w:rsidR="00553430" w:rsidRDefault="00212577">
            <w:pPr>
              <w:pStyle w:val="P68B1DB1-Normal102"/>
              <w:spacing w:after="0" w:line="240" w:lineRule="auto"/>
              <w:jc w:val="both"/>
              <w:textAlignment w:val="baseline"/>
              <w:rPr>
                <w:noProof/>
              </w:rPr>
            </w:pPr>
            <w:r>
              <w:rPr>
                <w:noProof/>
              </w:rPr>
              <w:t>Cinq goulets d'étranglement supprimés sur des tronçons avec des vitesses de fonctionnement de la contrainte actuelle allant jusqu'à 60 km/h</w:t>
            </w:r>
          </w:p>
        </w:tc>
      </w:tr>
      <w:tr w:rsidR="00553430" w14:paraId="5D3ABDE8" w14:textId="77777777">
        <w:trPr>
          <w:trHeight w:val="51"/>
        </w:trPr>
        <w:tc>
          <w:tcPr>
            <w:tcW w:w="1096" w:type="dxa"/>
            <w:shd w:val="clear" w:color="auto" w:fill="C6EFCE"/>
            <w:vAlign w:val="center"/>
          </w:tcPr>
          <w:p w14:paraId="1FF0694A" w14:textId="77777777" w:rsidR="00553430" w:rsidRDefault="00212577">
            <w:pPr>
              <w:pStyle w:val="P68B1DB1-Normal102"/>
              <w:spacing w:after="0" w:line="240" w:lineRule="auto"/>
              <w:jc w:val="center"/>
              <w:textAlignment w:val="baseline"/>
              <w:rPr>
                <w:noProof/>
              </w:rPr>
            </w:pPr>
            <w:r>
              <w:rPr>
                <w:noProof/>
              </w:rPr>
              <w:t>107</w:t>
            </w:r>
          </w:p>
        </w:tc>
        <w:tc>
          <w:tcPr>
            <w:tcW w:w="1639" w:type="dxa"/>
            <w:shd w:val="clear" w:color="auto" w:fill="C6EFCE"/>
            <w:vAlign w:val="center"/>
          </w:tcPr>
          <w:p w14:paraId="6503FD38" w14:textId="77777777" w:rsidR="00553430" w:rsidRDefault="00212577">
            <w:pPr>
              <w:pStyle w:val="P68B1DB1-Normal102"/>
              <w:spacing w:after="0" w:line="240" w:lineRule="auto"/>
              <w:jc w:val="center"/>
              <w:textAlignment w:val="baseline"/>
              <w:rPr>
                <w:noProof/>
              </w:rPr>
            </w:pPr>
            <w:r>
              <w:rPr>
                <w:noProof/>
              </w:rPr>
              <w:t>C1.4. R2-I6</w:t>
            </w:r>
          </w:p>
        </w:tc>
        <w:tc>
          <w:tcPr>
            <w:tcW w:w="1274" w:type="dxa"/>
            <w:shd w:val="clear" w:color="auto" w:fill="C6EFCE"/>
            <w:vAlign w:val="center"/>
          </w:tcPr>
          <w:p w14:paraId="6516362B"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028EDE2" w14:textId="77777777" w:rsidR="00553430" w:rsidRDefault="00212577">
            <w:pPr>
              <w:pStyle w:val="P68B1DB1-Normal102"/>
              <w:spacing w:after="0" w:line="240" w:lineRule="auto"/>
              <w:jc w:val="both"/>
              <w:textAlignment w:val="baseline"/>
              <w:rPr>
                <w:noProof/>
              </w:rPr>
            </w:pPr>
            <w:r>
              <w:rPr>
                <w:noProof/>
              </w:rPr>
              <w:t xml:space="preserve">Deux prototypes de trains de batteries produits </w:t>
            </w:r>
          </w:p>
        </w:tc>
      </w:tr>
      <w:tr w:rsidR="00553430" w14:paraId="3D97FDE2" w14:textId="77777777">
        <w:trPr>
          <w:trHeight w:val="51"/>
        </w:trPr>
        <w:tc>
          <w:tcPr>
            <w:tcW w:w="1096" w:type="dxa"/>
            <w:shd w:val="clear" w:color="auto" w:fill="C6EFCE"/>
            <w:vAlign w:val="center"/>
          </w:tcPr>
          <w:p w14:paraId="31946013" w14:textId="77777777" w:rsidR="00553430" w:rsidRDefault="00212577">
            <w:pPr>
              <w:pStyle w:val="P68B1DB1-Normal102"/>
              <w:spacing w:after="0" w:line="240" w:lineRule="auto"/>
              <w:jc w:val="center"/>
              <w:textAlignment w:val="baseline"/>
              <w:rPr>
                <w:noProof/>
              </w:rPr>
            </w:pPr>
            <w:r>
              <w:rPr>
                <w:noProof/>
              </w:rPr>
              <w:t>108</w:t>
            </w:r>
          </w:p>
        </w:tc>
        <w:tc>
          <w:tcPr>
            <w:tcW w:w="1639" w:type="dxa"/>
            <w:shd w:val="clear" w:color="auto" w:fill="C6EFCE"/>
            <w:vAlign w:val="center"/>
          </w:tcPr>
          <w:p w14:paraId="243676DF" w14:textId="77777777" w:rsidR="00553430" w:rsidRDefault="00212577">
            <w:pPr>
              <w:pStyle w:val="P68B1DB1-Normal102"/>
              <w:spacing w:after="0" w:line="240" w:lineRule="auto"/>
              <w:jc w:val="center"/>
              <w:textAlignment w:val="baseline"/>
              <w:rPr>
                <w:noProof/>
              </w:rPr>
            </w:pPr>
            <w:r>
              <w:rPr>
                <w:noProof/>
              </w:rPr>
              <w:t>C1.4. R2-I7</w:t>
            </w:r>
          </w:p>
        </w:tc>
        <w:tc>
          <w:tcPr>
            <w:tcW w:w="1274" w:type="dxa"/>
            <w:shd w:val="clear" w:color="auto" w:fill="C6EFCE"/>
            <w:vAlign w:val="center"/>
          </w:tcPr>
          <w:p w14:paraId="587B04CE"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02742ABB" w14:textId="5123D66E" w:rsidR="00553430" w:rsidRDefault="00212577">
            <w:pPr>
              <w:pStyle w:val="P68B1DB1-Normal102"/>
              <w:spacing w:after="0" w:line="240" w:lineRule="auto"/>
              <w:jc w:val="both"/>
              <w:textAlignment w:val="baseline"/>
              <w:rPr>
                <w:noProof/>
              </w:rPr>
            </w:pPr>
            <w:r>
              <w:rPr>
                <w:noProof/>
              </w:rPr>
              <w:t>Modernisation des systèmes informatiques de HŽ pour le transport de passagers</w:t>
            </w:r>
          </w:p>
        </w:tc>
      </w:tr>
      <w:tr w:rsidR="00553430" w14:paraId="53C19F5F" w14:textId="77777777">
        <w:trPr>
          <w:trHeight w:val="51"/>
        </w:trPr>
        <w:tc>
          <w:tcPr>
            <w:tcW w:w="1096" w:type="dxa"/>
            <w:shd w:val="clear" w:color="auto" w:fill="C6EFCE"/>
            <w:vAlign w:val="center"/>
          </w:tcPr>
          <w:p w14:paraId="0AF3988E" w14:textId="77777777" w:rsidR="00553430" w:rsidRDefault="00212577">
            <w:pPr>
              <w:pStyle w:val="P68B1DB1-Normal102"/>
              <w:spacing w:after="0" w:line="240" w:lineRule="auto"/>
              <w:jc w:val="center"/>
              <w:textAlignment w:val="baseline"/>
              <w:rPr>
                <w:noProof/>
              </w:rPr>
            </w:pPr>
            <w:r>
              <w:rPr>
                <w:noProof/>
              </w:rPr>
              <w:t>112</w:t>
            </w:r>
          </w:p>
        </w:tc>
        <w:tc>
          <w:tcPr>
            <w:tcW w:w="1639" w:type="dxa"/>
            <w:shd w:val="clear" w:color="auto" w:fill="C6EFCE"/>
            <w:vAlign w:val="center"/>
          </w:tcPr>
          <w:p w14:paraId="3E3034B6" w14:textId="77777777" w:rsidR="00553430" w:rsidRDefault="00212577">
            <w:pPr>
              <w:pStyle w:val="P68B1DB1-Normal102"/>
              <w:spacing w:after="0" w:line="240" w:lineRule="auto"/>
              <w:jc w:val="center"/>
              <w:textAlignment w:val="baseline"/>
              <w:rPr>
                <w:noProof/>
              </w:rPr>
            </w:pPr>
            <w:r>
              <w:rPr>
                <w:noProof/>
              </w:rPr>
              <w:t>C1.4. R3-I1</w:t>
            </w:r>
          </w:p>
        </w:tc>
        <w:tc>
          <w:tcPr>
            <w:tcW w:w="1274" w:type="dxa"/>
            <w:shd w:val="clear" w:color="auto" w:fill="C6EFCE"/>
            <w:vAlign w:val="center"/>
          </w:tcPr>
          <w:p w14:paraId="5A62FBA3"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25C8E08" w14:textId="6B868E55" w:rsidR="00553430" w:rsidRDefault="00212577">
            <w:pPr>
              <w:pStyle w:val="P68B1DB1-Normal102"/>
              <w:spacing w:after="0" w:line="240" w:lineRule="auto"/>
              <w:jc w:val="both"/>
              <w:textAlignment w:val="baseline"/>
              <w:rPr>
                <w:noProof/>
              </w:rPr>
            </w:pPr>
            <w:r>
              <w:rPr>
                <w:noProof/>
              </w:rPr>
              <w:t>Nouveau terminal de passagers au port de Split</w:t>
            </w:r>
          </w:p>
        </w:tc>
      </w:tr>
      <w:tr w:rsidR="00553430" w14:paraId="7DFC2109" w14:textId="77777777">
        <w:trPr>
          <w:trHeight w:val="51"/>
        </w:trPr>
        <w:tc>
          <w:tcPr>
            <w:tcW w:w="1096" w:type="dxa"/>
            <w:shd w:val="clear" w:color="auto" w:fill="C6EFCE"/>
            <w:vAlign w:val="center"/>
          </w:tcPr>
          <w:p w14:paraId="460BF0E1" w14:textId="77777777" w:rsidR="00553430" w:rsidRDefault="00212577">
            <w:pPr>
              <w:pStyle w:val="P68B1DB1-Normal102"/>
              <w:spacing w:after="0" w:line="240" w:lineRule="auto"/>
              <w:jc w:val="center"/>
              <w:textAlignment w:val="baseline"/>
              <w:rPr>
                <w:noProof/>
              </w:rPr>
            </w:pPr>
            <w:r>
              <w:rPr>
                <w:noProof/>
              </w:rPr>
              <w:t>116</w:t>
            </w:r>
          </w:p>
        </w:tc>
        <w:tc>
          <w:tcPr>
            <w:tcW w:w="1639" w:type="dxa"/>
            <w:shd w:val="clear" w:color="auto" w:fill="C6EFCE"/>
            <w:vAlign w:val="center"/>
          </w:tcPr>
          <w:p w14:paraId="5324BAC2" w14:textId="65D1A977" w:rsidR="00553430" w:rsidRDefault="00212577">
            <w:pPr>
              <w:pStyle w:val="P68B1DB1-Normal102"/>
              <w:spacing w:after="0" w:line="240" w:lineRule="auto"/>
              <w:jc w:val="center"/>
              <w:textAlignment w:val="baseline"/>
              <w:rPr>
                <w:noProof/>
              </w:rPr>
            </w:pPr>
            <w:r>
              <w:rPr>
                <w:noProof/>
              </w:rPr>
              <w:t>C7.1. I4</w:t>
            </w:r>
          </w:p>
        </w:tc>
        <w:tc>
          <w:tcPr>
            <w:tcW w:w="1274" w:type="dxa"/>
            <w:shd w:val="clear" w:color="auto" w:fill="C6EFCE"/>
            <w:vAlign w:val="center"/>
          </w:tcPr>
          <w:p w14:paraId="431D8835"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EFF2A06" w14:textId="77777777" w:rsidR="00553430" w:rsidRDefault="00212577">
            <w:pPr>
              <w:pStyle w:val="P68B1DB1-Normal102"/>
              <w:spacing w:after="0" w:line="240" w:lineRule="auto"/>
              <w:jc w:val="both"/>
              <w:textAlignment w:val="baseline"/>
              <w:rPr>
                <w:noProof/>
              </w:rPr>
            </w:pPr>
            <w:r>
              <w:rPr>
                <w:noProof/>
              </w:rPr>
              <w:t xml:space="preserve">70 autobus à carburant de substitution (électriques et/ou à hydrogène) </w:t>
            </w:r>
          </w:p>
        </w:tc>
      </w:tr>
      <w:tr w:rsidR="00553430" w14:paraId="4AEBB2E6" w14:textId="77777777">
        <w:trPr>
          <w:trHeight w:val="51"/>
        </w:trPr>
        <w:tc>
          <w:tcPr>
            <w:tcW w:w="1096" w:type="dxa"/>
            <w:shd w:val="clear" w:color="auto" w:fill="C6EFCE"/>
            <w:vAlign w:val="center"/>
          </w:tcPr>
          <w:p w14:paraId="4C8C55F2" w14:textId="77777777" w:rsidR="00553430" w:rsidRDefault="00212577">
            <w:pPr>
              <w:pStyle w:val="P68B1DB1-Normal102"/>
              <w:spacing w:after="0" w:line="240" w:lineRule="auto"/>
              <w:jc w:val="center"/>
              <w:textAlignment w:val="baseline"/>
              <w:rPr>
                <w:noProof/>
              </w:rPr>
            </w:pPr>
            <w:r>
              <w:rPr>
                <w:noProof/>
              </w:rPr>
              <w:t>117</w:t>
            </w:r>
          </w:p>
        </w:tc>
        <w:tc>
          <w:tcPr>
            <w:tcW w:w="1639" w:type="dxa"/>
            <w:shd w:val="clear" w:color="auto" w:fill="C6EFCE"/>
            <w:vAlign w:val="center"/>
          </w:tcPr>
          <w:p w14:paraId="3ECA1289" w14:textId="77777777" w:rsidR="00553430" w:rsidRDefault="00212577">
            <w:pPr>
              <w:pStyle w:val="P68B1DB1-Normal102"/>
              <w:spacing w:after="0" w:line="240" w:lineRule="auto"/>
              <w:jc w:val="center"/>
              <w:textAlignment w:val="baseline"/>
              <w:rPr>
                <w:noProof/>
              </w:rPr>
            </w:pPr>
            <w:r>
              <w:rPr>
                <w:noProof/>
              </w:rPr>
              <w:t>C1.4. R4-I2</w:t>
            </w:r>
          </w:p>
        </w:tc>
        <w:tc>
          <w:tcPr>
            <w:tcW w:w="1274" w:type="dxa"/>
            <w:shd w:val="clear" w:color="auto" w:fill="C6EFCE"/>
            <w:vAlign w:val="center"/>
          </w:tcPr>
          <w:p w14:paraId="6935E1A4"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31E428B" w14:textId="77777777" w:rsidR="00553430" w:rsidRDefault="00212577">
            <w:pPr>
              <w:pStyle w:val="P68B1DB1-Normal102"/>
              <w:spacing w:after="0" w:line="240" w:lineRule="auto"/>
              <w:jc w:val="both"/>
              <w:textAlignment w:val="baseline"/>
              <w:rPr>
                <w:noProof/>
              </w:rPr>
            </w:pPr>
            <w:r>
              <w:rPr>
                <w:noProof/>
              </w:rPr>
              <w:t>30 nouveaux tramways livrés pour les transports publics</w:t>
            </w:r>
          </w:p>
        </w:tc>
      </w:tr>
      <w:tr w:rsidR="00553430" w14:paraId="69ECCE6E" w14:textId="77777777">
        <w:trPr>
          <w:trHeight w:val="51"/>
        </w:trPr>
        <w:tc>
          <w:tcPr>
            <w:tcW w:w="1096" w:type="dxa"/>
            <w:shd w:val="clear" w:color="auto" w:fill="C6EFCE"/>
            <w:vAlign w:val="center"/>
          </w:tcPr>
          <w:p w14:paraId="4F3B0AAE" w14:textId="77777777" w:rsidR="00553430" w:rsidRDefault="00212577">
            <w:pPr>
              <w:pStyle w:val="P68B1DB1-Normal102"/>
              <w:spacing w:after="0" w:line="240" w:lineRule="auto"/>
              <w:jc w:val="center"/>
              <w:textAlignment w:val="baseline"/>
              <w:rPr>
                <w:noProof/>
              </w:rPr>
            </w:pPr>
            <w:r>
              <w:rPr>
                <w:noProof/>
              </w:rPr>
              <w:t>122</w:t>
            </w:r>
          </w:p>
        </w:tc>
        <w:tc>
          <w:tcPr>
            <w:tcW w:w="1639" w:type="dxa"/>
            <w:shd w:val="clear" w:color="auto" w:fill="C6EFCE"/>
            <w:vAlign w:val="center"/>
          </w:tcPr>
          <w:p w14:paraId="271588FC" w14:textId="77777777" w:rsidR="00553430" w:rsidRDefault="00212577">
            <w:pPr>
              <w:pStyle w:val="P68B1DB1-Normal102"/>
              <w:spacing w:after="0" w:line="240" w:lineRule="auto"/>
              <w:jc w:val="center"/>
              <w:textAlignment w:val="baseline"/>
              <w:rPr>
                <w:noProof/>
              </w:rPr>
            </w:pPr>
            <w:r>
              <w:rPr>
                <w:noProof/>
              </w:rPr>
              <w:t>C1.4. R5-I2</w:t>
            </w:r>
          </w:p>
        </w:tc>
        <w:tc>
          <w:tcPr>
            <w:tcW w:w="1274" w:type="dxa"/>
            <w:shd w:val="clear" w:color="auto" w:fill="C6EFCE"/>
            <w:vAlign w:val="center"/>
          </w:tcPr>
          <w:p w14:paraId="0034E1E0"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07C9F5F1" w14:textId="77777777" w:rsidR="00553430" w:rsidRDefault="00212577">
            <w:pPr>
              <w:pStyle w:val="P68B1DB1-Normal102"/>
              <w:spacing w:after="0" w:line="240" w:lineRule="auto"/>
              <w:jc w:val="both"/>
              <w:textAlignment w:val="baseline"/>
              <w:rPr>
                <w:noProof/>
              </w:rPr>
            </w:pPr>
            <w:r>
              <w:rPr>
                <w:noProof/>
              </w:rPr>
              <w:t xml:space="preserve">Nouveau service de transport urbain de véhicules entièrement autonomes et électriques </w:t>
            </w:r>
            <w:r>
              <w:rPr>
                <w:noProof/>
              </w:rPr>
              <w:t>adaptés aux besoins des passagers handicapés et d'une infrastructure spécialisée</w:t>
            </w:r>
          </w:p>
        </w:tc>
      </w:tr>
      <w:tr w:rsidR="00553430" w14:paraId="72FDE2D3" w14:textId="77777777">
        <w:trPr>
          <w:trHeight w:val="51"/>
        </w:trPr>
        <w:tc>
          <w:tcPr>
            <w:tcW w:w="1096" w:type="dxa"/>
            <w:shd w:val="clear" w:color="auto" w:fill="C6EFCE"/>
            <w:vAlign w:val="center"/>
          </w:tcPr>
          <w:p w14:paraId="3CB83CCD" w14:textId="77777777" w:rsidR="00553430" w:rsidRDefault="00212577">
            <w:pPr>
              <w:pStyle w:val="P68B1DB1-Normal102"/>
              <w:spacing w:after="0" w:line="240" w:lineRule="auto"/>
              <w:jc w:val="center"/>
              <w:textAlignment w:val="baseline"/>
              <w:rPr>
                <w:noProof/>
              </w:rPr>
            </w:pPr>
            <w:r>
              <w:rPr>
                <w:noProof/>
              </w:rPr>
              <w:t>123</w:t>
            </w:r>
          </w:p>
        </w:tc>
        <w:tc>
          <w:tcPr>
            <w:tcW w:w="1639" w:type="dxa"/>
            <w:shd w:val="clear" w:color="auto" w:fill="C6EFCE"/>
            <w:vAlign w:val="center"/>
          </w:tcPr>
          <w:p w14:paraId="03014FC8" w14:textId="77777777" w:rsidR="00553430" w:rsidRDefault="00212577">
            <w:pPr>
              <w:pStyle w:val="P68B1DB1-Normal102"/>
              <w:spacing w:after="0" w:line="240" w:lineRule="auto"/>
              <w:jc w:val="center"/>
              <w:textAlignment w:val="baseline"/>
              <w:rPr>
                <w:noProof/>
              </w:rPr>
            </w:pPr>
            <w:r>
              <w:rPr>
                <w:noProof/>
              </w:rPr>
              <w:t>C1.4. R5-I2</w:t>
            </w:r>
          </w:p>
        </w:tc>
        <w:tc>
          <w:tcPr>
            <w:tcW w:w="1274" w:type="dxa"/>
            <w:shd w:val="clear" w:color="auto" w:fill="C6EFCE"/>
            <w:vAlign w:val="center"/>
          </w:tcPr>
          <w:p w14:paraId="645E4DD2"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0DC6AE7" w14:textId="77777777" w:rsidR="00553430" w:rsidRDefault="00212577">
            <w:pPr>
              <w:pStyle w:val="P68B1DB1-Normal102"/>
              <w:spacing w:after="0" w:line="240" w:lineRule="auto"/>
              <w:jc w:val="both"/>
              <w:textAlignment w:val="baseline"/>
              <w:rPr>
                <w:noProof/>
              </w:rPr>
            </w:pPr>
            <w:r>
              <w:rPr>
                <w:noProof/>
              </w:rPr>
              <w:t xml:space="preserve">50 000 bons gratuits pour les trajets en véhicule entièrement autonome pour les personnes handicapées et/ou ayant des difficultés à utiliser d’autres moyens de transport public </w:t>
            </w:r>
          </w:p>
        </w:tc>
      </w:tr>
      <w:tr w:rsidR="00553430" w14:paraId="4F8C6BFA" w14:textId="77777777">
        <w:trPr>
          <w:trHeight w:val="51"/>
        </w:trPr>
        <w:tc>
          <w:tcPr>
            <w:tcW w:w="1096" w:type="dxa"/>
            <w:shd w:val="clear" w:color="auto" w:fill="C6EFCE"/>
            <w:vAlign w:val="center"/>
          </w:tcPr>
          <w:p w14:paraId="10F3C0BA" w14:textId="77777777" w:rsidR="00553430" w:rsidRDefault="00212577">
            <w:pPr>
              <w:pStyle w:val="P68B1DB1-Normal102"/>
              <w:spacing w:after="0" w:line="240" w:lineRule="auto"/>
              <w:jc w:val="center"/>
              <w:textAlignment w:val="baseline"/>
              <w:rPr>
                <w:noProof/>
              </w:rPr>
            </w:pPr>
            <w:r>
              <w:rPr>
                <w:noProof/>
              </w:rPr>
              <w:t>124</w:t>
            </w:r>
          </w:p>
        </w:tc>
        <w:tc>
          <w:tcPr>
            <w:tcW w:w="1639" w:type="dxa"/>
            <w:shd w:val="clear" w:color="auto" w:fill="C6EFCE"/>
            <w:vAlign w:val="center"/>
          </w:tcPr>
          <w:p w14:paraId="72354DA6" w14:textId="77777777" w:rsidR="00553430" w:rsidRDefault="00212577">
            <w:pPr>
              <w:pStyle w:val="P68B1DB1-Normal102"/>
              <w:spacing w:after="0" w:line="240" w:lineRule="auto"/>
              <w:jc w:val="center"/>
              <w:textAlignment w:val="baseline"/>
              <w:rPr>
                <w:noProof/>
              </w:rPr>
            </w:pPr>
            <w:r>
              <w:rPr>
                <w:noProof/>
              </w:rPr>
              <w:t>C1.4. R5-I3</w:t>
            </w:r>
          </w:p>
        </w:tc>
        <w:tc>
          <w:tcPr>
            <w:tcW w:w="1274" w:type="dxa"/>
            <w:shd w:val="clear" w:color="auto" w:fill="C6EFCE"/>
            <w:vAlign w:val="center"/>
          </w:tcPr>
          <w:p w14:paraId="01F0CE59"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E28D552" w14:textId="77777777" w:rsidR="00553430" w:rsidRDefault="00212577">
            <w:pPr>
              <w:pStyle w:val="P68B1DB1-Normal102"/>
              <w:spacing w:after="0" w:line="240" w:lineRule="auto"/>
              <w:jc w:val="both"/>
              <w:textAlignment w:val="baseline"/>
              <w:rPr>
                <w:noProof/>
              </w:rPr>
            </w:pPr>
            <w:r>
              <w:rPr>
                <w:noProof/>
              </w:rPr>
              <w:t>2 000 véhicules routiers à propulsion alternative (électriq</w:t>
            </w:r>
            <w:r>
              <w:rPr>
                <w:noProof/>
              </w:rPr>
              <w:t>ue et/ou à hydrogène)</w:t>
            </w:r>
          </w:p>
        </w:tc>
      </w:tr>
      <w:tr w:rsidR="00553430" w14:paraId="4B84E57F" w14:textId="77777777">
        <w:trPr>
          <w:trHeight w:val="51"/>
        </w:trPr>
        <w:tc>
          <w:tcPr>
            <w:tcW w:w="1096" w:type="dxa"/>
            <w:shd w:val="clear" w:color="auto" w:fill="C6EFCE"/>
            <w:vAlign w:val="center"/>
          </w:tcPr>
          <w:p w14:paraId="5177E936" w14:textId="77777777" w:rsidR="00553430" w:rsidRDefault="00212577">
            <w:pPr>
              <w:pStyle w:val="P68B1DB1-Normal102"/>
              <w:spacing w:after="0" w:line="240" w:lineRule="auto"/>
              <w:jc w:val="center"/>
              <w:textAlignment w:val="baseline"/>
              <w:rPr>
                <w:noProof/>
              </w:rPr>
            </w:pPr>
            <w:r>
              <w:rPr>
                <w:noProof/>
              </w:rPr>
              <w:t>128</w:t>
            </w:r>
          </w:p>
        </w:tc>
        <w:tc>
          <w:tcPr>
            <w:tcW w:w="1639" w:type="dxa"/>
            <w:shd w:val="clear" w:color="auto" w:fill="C6EFCE"/>
            <w:vAlign w:val="center"/>
          </w:tcPr>
          <w:p w14:paraId="003A91BD" w14:textId="77777777" w:rsidR="00553430" w:rsidRDefault="00212577">
            <w:pPr>
              <w:pStyle w:val="P68B1DB1-Normal102"/>
              <w:spacing w:after="0" w:line="240" w:lineRule="auto"/>
              <w:jc w:val="center"/>
              <w:textAlignment w:val="baseline"/>
              <w:rPr>
                <w:noProof/>
              </w:rPr>
            </w:pPr>
            <w:r>
              <w:rPr>
                <w:noProof/>
              </w:rPr>
              <w:t>C1.5. R1-I1</w:t>
            </w:r>
          </w:p>
        </w:tc>
        <w:tc>
          <w:tcPr>
            <w:tcW w:w="1274" w:type="dxa"/>
            <w:shd w:val="clear" w:color="auto" w:fill="C6EFCE"/>
            <w:vAlign w:val="center"/>
          </w:tcPr>
          <w:p w14:paraId="61F5C052"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BE000A1" w14:textId="0DF21D47" w:rsidR="00553430" w:rsidRDefault="00212577">
            <w:pPr>
              <w:pStyle w:val="P68B1DB1-Normal102"/>
              <w:spacing w:after="0" w:line="240" w:lineRule="auto"/>
              <w:textAlignment w:val="baseline"/>
              <w:rPr>
                <w:noProof/>
              </w:rPr>
            </w:pPr>
            <w:r>
              <w:rPr>
                <w:noProof/>
              </w:rPr>
              <w:t xml:space="preserve">Construction d'au moins deux centres de distribution logistique </w:t>
            </w:r>
          </w:p>
        </w:tc>
      </w:tr>
      <w:tr w:rsidR="00553430" w14:paraId="495E7C85" w14:textId="77777777">
        <w:trPr>
          <w:trHeight w:val="51"/>
        </w:trPr>
        <w:tc>
          <w:tcPr>
            <w:tcW w:w="1096" w:type="dxa"/>
            <w:shd w:val="clear" w:color="auto" w:fill="C6EFCE"/>
            <w:vAlign w:val="center"/>
          </w:tcPr>
          <w:p w14:paraId="44651E24" w14:textId="77777777" w:rsidR="00553430" w:rsidRDefault="00212577">
            <w:pPr>
              <w:pStyle w:val="P68B1DB1-Normal102"/>
              <w:spacing w:after="0" w:line="240" w:lineRule="auto"/>
              <w:jc w:val="center"/>
              <w:textAlignment w:val="baseline"/>
              <w:rPr>
                <w:noProof/>
              </w:rPr>
            </w:pPr>
            <w:r>
              <w:rPr>
                <w:noProof/>
              </w:rPr>
              <w:t>129</w:t>
            </w:r>
          </w:p>
        </w:tc>
        <w:tc>
          <w:tcPr>
            <w:tcW w:w="1639" w:type="dxa"/>
            <w:shd w:val="clear" w:color="auto" w:fill="C6EFCE"/>
            <w:vAlign w:val="center"/>
          </w:tcPr>
          <w:p w14:paraId="76421F38" w14:textId="77777777" w:rsidR="00553430" w:rsidRDefault="00212577">
            <w:pPr>
              <w:pStyle w:val="P68B1DB1-Normal102"/>
              <w:spacing w:after="0" w:line="240" w:lineRule="auto"/>
              <w:jc w:val="center"/>
              <w:textAlignment w:val="baseline"/>
              <w:rPr>
                <w:noProof/>
              </w:rPr>
            </w:pPr>
            <w:r>
              <w:rPr>
                <w:noProof/>
              </w:rPr>
              <w:t>C1.5. R1-I2</w:t>
            </w:r>
          </w:p>
        </w:tc>
        <w:tc>
          <w:tcPr>
            <w:tcW w:w="1274" w:type="dxa"/>
            <w:shd w:val="clear" w:color="auto" w:fill="C6EFCE"/>
            <w:vAlign w:val="center"/>
          </w:tcPr>
          <w:p w14:paraId="61B4A6DF"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A7298D8" w14:textId="77777777" w:rsidR="00553430" w:rsidRDefault="00212577">
            <w:pPr>
              <w:pStyle w:val="P68B1DB1-Normal102"/>
              <w:spacing w:after="0" w:line="240" w:lineRule="auto"/>
              <w:textAlignment w:val="baseline"/>
              <w:rPr>
                <w:noProof/>
              </w:rPr>
            </w:pPr>
            <w:r>
              <w:rPr>
                <w:noProof/>
              </w:rPr>
              <w:t>Formation des organisations de producteurs</w:t>
            </w:r>
          </w:p>
        </w:tc>
      </w:tr>
      <w:tr w:rsidR="00553430" w14:paraId="22128C0B" w14:textId="77777777">
        <w:trPr>
          <w:trHeight w:val="51"/>
        </w:trPr>
        <w:tc>
          <w:tcPr>
            <w:tcW w:w="1096" w:type="dxa"/>
            <w:shd w:val="clear" w:color="auto" w:fill="C6EFCE"/>
            <w:vAlign w:val="center"/>
          </w:tcPr>
          <w:p w14:paraId="48DBE34A" w14:textId="77777777" w:rsidR="00553430" w:rsidRDefault="00212577">
            <w:pPr>
              <w:pStyle w:val="P68B1DB1-Normal102"/>
              <w:spacing w:after="0" w:line="240" w:lineRule="auto"/>
              <w:jc w:val="center"/>
              <w:textAlignment w:val="baseline"/>
              <w:rPr>
                <w:noProof/>
              </w:rPr>
            </w:pPr>
            <w:r>
              <w:rPr>
                <w:noProof/>
              </w:rPr>
              <w:t>130</w:t>
            </w:r>
          </w:p>
        </w:tc>
        <w:tc>
          <w:tcPr>
            <w:tcW w:w="1639" w:type="dxa"/>
            <w:shd w:val="clear" w:color="auto" w:fill="C6EFCE"/>
            <w:vAlign w:val="center"/>
          </w:tcPr>
          <w:p w14:paraId="36AB7A15" w14:textId="77777777" w:rsidR="00553430" w:rsidRDefault="00212577">
            <w:pPr>
              <w:pStyle w:val="P68B1DB1-Normal102"/>
              <w:spacing w:after="0" w:line="240" w:lineRule="auto"/>
              <w:jc w:val="center"/>
              <w:textAlignment w:val="baseline"/>
              <w:rPr>
                <w:noProof/>
              </w:rPr>
            </w:pPr>
            <w:r>
              <w:rPr>
                <w:noProof/>
              </w:rPr>
              <w:t>C1.5. R1-I2</w:t>
            </w:r>
          </w:p>
        </w:tc>
        <w:tc>
          <w:tcPr>
            <w:tcW w:w="1274" w:type="dxa"/>
            <w:shd w:val="clear" w:color="auto" w:fill="C6EFCE"/>
            <w:vAlign w:val="center"/>
          </w:tcPr>
          <w:p w14:paraId="6B773631"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766E957" w14:textId="77777777" w:rsidR="00553430" w:rsidRDefault="00212577">
            <w:pPr>
              <w:pStyle w:val="P68B1DB1-Normal102"/>
              <w:spacing w:after="0" w:line="240" w:lineRule="auto"/>
              <w:textAlignment w:val="baseline"/>
              <w:rPr>
                <w:noProof/>
              </w:rPr>
            </w:pPr>
            <w:r>
              <w:rPr>
                <w:noProof/>
              </w:rPr>
              <w:t>Système d'étiquetage des fruits et légumes</w:t>
            </w:r>
          </w:p>
        </w:tc>
      </w:tr>
      <w:tr w:rsidR="00553430" w14:paraId="47608A0D" w14:textId="77777777">
        <w:trPr>
          <w:trHeight w:val="51"/>
        </w:trPr>
        <w:tc>
          <w:tcPr>
            <w:tcW w:w="1096" w:type="dxa"/>
            <w:shd w:val="clear" w:color="auto" w:fill="C6EFCE"/>
            <w:vAlign w:val="center"/>
          </w:tcPr>
          <w:p w14:paraId="3C9348E1" w14:textId="77777777" w:rsidR="00553430" w:rsidRDefault="00212577">
            <w:pPr>
              <w:pStyle w:val="P68B1DB1-Normal102"/>
              <w:spacing w:after="0" w:line="240" w:lineRule="auto"/>
              <w:jc w:val="center"/>
              <w:textAlignment w:val="baseline"/>
              <w:rPr>
                <w:noProof/>
              </w:rPr>
            </w:pPr>
            <w:r>
              <w:rPr>
                <w:noProof/>
              </w:rPr>
              <w:t>136</w:t>
            </w:r>
          </w:p>
        </w:tc>
        <w:tc>
          <w:tcPr>
            <w:tcW w:w="1639" w:type="dxa"/>
            <w:shd w:val="clear" w:color="auto" w:fill="C6EFCE"/>
            <w:vAlign w:val="center"/>
          </w:tcPr>
          <w:p w14:paraId="795FB321" w14:textId="77777777" w:rsidR="00553430" w:rsidRDefault="00212577">
            <w:pPr>
              <w:pStyle w:val="P68B1DB1-Normal102"/>
              <w:spacing w:after="0" w:line="240" w:lineRule="auto"/>
              <w:jc w:val="center"/>
              <w:textAlignment w:val="baseline"/>
              <w:rPr>
                <w:noProof/>
              </w:rPr>
            </w:pPr>
            <w:r>
              <w:rPr>
                <w:noProof/>
              </w:rPr>
              <w:t>C1.5. R3-I2</w:t>
            </w:r>
          </w:p>
        </w:tc>
        <w:tc>
          <w:tcPr>
            <w:tcW w:w="1274" w:type="dxa"/>
            <w:shd w:val="clear" w:color="auto" w:fill="C6EFCE"/>
            <w:vAlign w:val="center"/>
          </w:tcPr>
          <w:p w14:paraId="6767FF8F"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BC3F37C" w14:textId="77777777" w:rsidR="00553430" w:rsidRDefault="00212577">
            <w:pPr>
              <w:pStyle w:val="P68B1DB1-Normal102"/>
              <w:spacing w:after="0" w:line="240" w:lineRule="auto"/>
              <w:textAlignment w:val="baseline"/>
              <w:rPr>
                <w:noProof/>
              </w:rPr>
            </w:pPr>
            <w:r>
              <w:rPr>
                <w:noProof/>
              </w:rPr>
              <w:t>Mise en</w:t>
            </w:r>
            <w:r>
              <w:rPr>
                <w:noProof/>
              </w:rPr>
              <w:t xml:space="preserve"> place d'une plateforme Smart Agriculture</w:t>
            </w:r>
          </w:p>
        </w:tc>
      </w:tr>
      <w:tr w:rsidR="00553430" w14:paraId="491507C2" w14:textId="77777777">
        <w:trPr>
          <w:trHeight w:val="51"/>
        </w:trPr>
        <w:tc>
          <w:tcPr>
            <w:tcW w:w="1096" w:type="dxa"/>
            <w:shd w:val="clear" w:color="auto" w:fill="C6EFCE"/>
            <w:vAlign w:val="center"/>
          </w:tcPr>
          <w:p w14:paraId="5D9D02CA" w14:textId="77777777" w:rsidR="00553430" w:rsidRDefault="00212577">
            <w:pPr>
              <w:pStyle w:val="P68B1DB1-Normal102"/>
              <w:spacing w:after="0" w:line="240" w:lineRule="auto"/>
              <w:jc w:val="center"/>
              <w:textAlignment w:val="baseline"/>
              <w:rPr>
                <w:noProof/>
              </w:rPr>
            </w:pPr>
            <w:r>
              <w:rPr>
                <w:noProof/>
              </w:rPr>
              <w:t>145</w:t>
            </w:r>
          </w:p>
        </w:tc>
        <w:tc>
          <w:tcPr>
            <w:tcW w:w="1639" w:type="dxa"/>
            <w:shd w:val="clear" w:color="auto" w:fill="C6EFCE"/>
            <w:vAlign w:val="center"/>
          </w:tcPr>
          <w:p w14:paraId="6B80F910" w14:textId="77777777" w:rsidR="00553430" w:rsidRDefault="00212577">
            <w:pPr>
              <w:pStyle w:val="P68B1DB1-Normal102"/>
              <w:spacing w:after="0" w:line="240" w:lineRule="auto"/>
              <w:jc w:val="center"/>
              <w:textAlignment w:val="baseline"/>
              <w:rPr>
                <w:noProof/>
              </w:rPr>
            </w:pPr>
            <w:r>
              <w:rPr>
                <w:noProof/>
              </w:rPr>
              <w:t>C1.6. R1-I1</w:t>
            </w:r>
          </w:p>
        </w:tc>
        <w:tc>
          <w:tcPr>
            <w:tcW w:w="1274" w:type="dxa"/>
            <w:shd w:val="clear" w:color="auto" w:fill="C6EFCE"/>
            <w:vAlign w:val="center"/>
          </w:tcPr>
          <w:p w14:paraId="4DDFDA6A"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FCAFB3D" w14:textId="77777777" w:rsidR="00553430" w:rsidRDefault="00212577">
            <w:pPr>
              <w:pStyle w:val="P68B1DB1-Normal102"/>
              <w:spacing w:after="0" w:line="240" w:lineRule="auto"/>
              <w:textAlignment w:val="baseline"/>
              <w:rPr>
                <w:noProof/>
              </w:rPr>
            </w:pPr>
            <w:r>
              <w:rPr>
                <w:noProof/>
              </w:rPr>
              <w:t>Finalisation des projets primés pour la construction et l'adaptation des infrastructures touristiques publiques</w:t>
            </w:r>
          </w:p>
        </w:tc>
      </w:tr>
      <w:tr w:rsidR="00553430" w14:paraId="1A7AB9A8" w14:textId="77777777">
        <w:trPr>
          <w:trHeight w:val="51"/>
        </w:trPr>
        <w:tc>
          <w:tcPr>
            <w:tcW w:w="1096" w:type="dxa"/>
            <w:shd w:val="clear" w:color="auto" w:fill="C6EFCE"/>
            <w:vAlign w:val="center"/>
          </w:tcPr>
          <w:p w14:paraId="46D78AF2" w14:textId="77777777" w:rsidR="00553430" w:rsidRDefault="00212577">
            <w:pPr>
              <w:pStyle w:val="P68B1DB1-Normal102"/>
              <w:spacing w:after="0" w:line="240" w:lineRule="auto"/>
              <w:jc w:val="center"/>
              <w:textAlignment w:val="baseline"/>
              <w:rPr>
                <w:noProof/>
              </w:rPr>
            </w:pPr>
            <w:r>
              <w:rPr>
                <w:noProof/>
              </w:rPr>
              <w:t>147</w:t>
            </w:r>
          </w:p>
        </w:tc>
        <w:tc>
          <w:tcPr>
            <w:tcW w:w="1639" w:type="dxa"/>
            <w:shd w:val="clear" w:color="auto" w:fill="C6EFCE"/>
            <w:vAlign w:val="center"/>
          </w:tcPr>
          <w:p w14:paraId="55FA4E37" w14:textId="77777777" w:rsidR="00553430" w:rsidRDefault="00212577">
            <w:pPr>
              <w:pStyle w:val="P68B1DB1-Normal102"/>
              <w:spacing w:after="0" w:line="240" w:lineRule="auto"/>
              <w:jc w:val="center"/>
              <w:textAlignment w:val="baseline"/>
              <w:rPr>
                <w:noProof/>
              </w:rPr>
            </w:pPr>
            <w:r>
              <w:rPr>
                <w:noProof/>
              </w:rPr>
              <w:t>C1.6. R1-I2</w:t>
            </w:r>
          </w:p>
        </w:tc>
        <w:tc>
          <w:tcPr>
            <w:tcW w:w="1274" w:type="dxa"/>
            <w:shd w:val="clear" w:color="auto" w:fill="C6EFCE"/>
            <w:vAlign w:val="center"/>
          </w:tcPr>
          <w:p w14:paraId="7E9767D2"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176ED4F" w14:textId="77777777" w:rsidR="00553430" w:rsidRDefault="00212577">
            <w:pPr>
              <w:pStyle w:val="P68B1DB1-Normal102"/>
              <w:spacing w:after="0" w:line="240" w:lineRule="auto"/>
              <w:textAlignment w:val="baseline"/>
              <w:rPr>
                <w:noProof/>
              </w:rPr>
            </w:pPr>
            <w:r>
              <w:rPr>
                <w:noProof/>
              </w:rPr>
              <w:t xml:space="preserve">Finaliser les projets primés de l'investissement pour renforcer </w:t>
            </w:r>
            <w:r>
              <w:rPr>
                <w:noProof/>
              </w:rPr>
              <w:t>la durabilité et favoriser la transition écologique et numérique des entrepreneurs du tourisme</w:t>
            </w:r>
          </w:p>
        </w:tc>
      </w:tr>
      <w:tr w:rsidR="00553430" w14:paraId="0C6CE37E" w14:textId="77777777">
        <w:trPr>
          <w:trHeight w:val="51"/>
        </w:trPr>
        <w:tc>
          <w:tcPr>
            <w:tcW w:w="1096" w:type="dxa"/>
            <w:shd w:val="clear" w:color="auto" w:fill="C6EFCE"/>
            <w:vAlign w:val="center"/>
          </w:tcPr>
          <w:p w14:paraId="71312038" w14:textId="77777777" w:rsidR="00553430" w:rsidRDefault="00212577">
            <w:pPr>
              <w:pStyle w:val="P68B1DB1-Normal102"/>
              <w:spacing w:after="0" w:line="240" w:lineRule="auto"/>
              <w:jc w:val="center"/>
              <w:textAlignment w:val="baseline"/>
              <w:rPr>
                <w:noProof/>
              </w:rPr>
            </w:pPr>
            <w:r>
              <w:rPr>
                <w:noProof/>
              </w:rPr>
              <w:t>149</w:t>
            </w:r>
          </w:p>
        </w:tc>
        <w:tc>
          <w:tcPr>
            <w:tcW w:w="1639" w:type="dxa"/>
            <w:shd w:val="clear" w:color="auto" w:fill="C6EFCE"/>
            <w:vAlign w:val="center"/>
          </w:tcPr>
          <w:p w14:paraId="04ADFB69" w14:textId="77777777" w:rsidR="00553430" w:rsidRDefault="00212577">
            <w:pPr>
              <w:pStyle w:val="P68B1DB1-Normal102"/>
              <w:spacing w:after="0" w:line="240" w:lineRule="auto"/>
              <w:jc w:val="center"/>
              <w:textAlignment w:val="baseline"/>
              <w:rPr>
                <w:noProof/>
              </w:rPr>
            </w:pPr>
            <w:r>
              <w:rPr>
                <w:noProof/>
              </w:rPr>
              <w:t>C1.6. R1-I3</w:t>
            </w:r>
          </w:p>
        </w:tc>
        <w:tc>
          <w:tcPr>
            <w:tcW w:w="1274" w:type="dxa"/>
            <w:shd w:val="clear" w:color="auto" w:fill="C6EFCE"/>
            <w:vAlign w:val="center"/>
          </w:tcPr>
          <w:p w14:paraId="21929063"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EB9E402" w14:textId="77777777" w:rsidR="00553430" w:rsidRDefault="00212577">
            <w:pPr>
              <w:pStyle w:val="P68B1DB1-Normal102"/>
              <w:spacing w:after="0" w:line="240" w:lineRule="auto"/>
              <w:textAlignment w:val="baseline"/>
              <w:rPr>
                <w:noProof/>
              </w:rPr>
            </w:pPr>
            <w:r>
              <w:rPr>
                <w:noProof/>
              </w:rPr>
              <w:t xml:space="preserve">Personnes instruites dans les programmes d'éducation liés au tourisme </w:t>
            </w:r>
          </w:p>
        </w:tc>
      </w:tr>
      <w:tr w:rsidR="00553430" w14:paraId="6AC7EA0F" w14:textId="77777777">
        <w:trPr>
          <w:trHeight w:val="51"/>
        </w:trPr>
        <w:tc>
          <w:tcPr>
            <w:tcW w:w="1096" w:type="dxa"/>
            <w:shd w:val="clear" w:color="auto" w:fill="C6EFCE"/>
            <w:vAlign w:val="center"/>
          </w:tcPr>
          <w:p w14:paraId="4860062E" w14:textId="77777777" w:rsidR="00553430" w:rsidRDefault="00212577">
            <w:pPr>
              <w:pStyle w:val="P68B1DB1-Normal102"/>
              <w:spacing w:after="0" w:line="240" w:lineRule="auto"/>
              <w:jc w:val="center"/>
              <w:textAlignment w:val="baseline"/>
              <w:rPr>
                <w:noProof/>
              </w:rPr>
            </w:pPr>
            <w:r>
              <w:rPr>
                <w:noProof/>
              </w:rPr>
              <w:t>152</w:t>
            </w:r>
          </w:p>
        </w:tc>
        <w:tc>
          <w:tcPr>
            <w:tcW w:w="1639" w:type="dxa"/>
            <w:shd w:val="clear" w:color="auto" w:fill="C6EFCE"/>
            <w:vAlign w:val="center"/>
          </w:tcPr>
          <w:p w14:paraId="26D9EF66" w14:textId="77777777" w:rsidR="00553430" w:rsidRDefault="00212577">
            <w:pPr>
              <w:pStyle w:val="P68B1DB1-Normal102"/>
              <w:spacing w:after="0" w:line="240" w:lineRule="auto"/>
              <w:jc w:val="center"/>
              <w:textAlignment w:val="baseline"/>
              <w:rPr>
                <w:noProof/>
              </w:rPr>
            </w:pPr>
            <w:r>
              <w:rPr>
                <w:noProof/>
              </w:rPr>
              <w:t>C2.1. R1</w:t>
            </w:r>
          </w:p>
        </w:tc>
        <w:tc>
          <w:tcPr>
            <w:tcW w:w="1274" w:type="dxa"/>
            <w:shd w:val="clear" w:color="auto" w:fill="C6EFCE"/>
            <w:vAlign w:val="center"/>
          </w:tcPr>
          <w:p w14:paraId="11C1E9FC"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73A186D" w14:textId="41BAE92F" w:rsidR="00553430" w:rsidRDefault="00212577">
            <w:pPr>
              <w:pStyle w:val="P68B1DB1-Normal102"/>
              <w:spacing w:after="0" w:line="240" w:lineRule="auto"/>
              <w:textAlignment w:val="baseline"/>
              <w:rPr>
                <w:noProof/>
              </w:rPr>
            </w:pPr>
            <w:r>
              <w:rPr>
                <w:noProof/>
              </w:rPr>
              <w:t>Réduction de la charge administrative qui pèse directem</w:t>
            </w:r>
            <w:r>
              <w:rPr>
                <w:noProof/>
              </w:rPr>
              <w:t>ent sur les citoyens, grâce à la numérisation et à la simplification des procédures</w:t>
            </w:r>
          </w:p>
        </w:tc>
      </w:tr>
      <w:tr w:rsidR="00553430" w14:paraId="2DCAED9F" w14:textId="77777777">
        <w:trPr>
          <w:trHeight w:val="51"/>
        </w:trPr>
        <w:tc>
          <w:tcPr>
            <w:tcW w:w="1096" w:type="dxa"/>
            <w:shd w:val="clear" w:color="auto" w:fill="C6EFCE"/>
            <w:vAlign w:val="center"/>
          </w:tcPr>
          <w:p w14:paraId="126B20D6" w14:textId="77777777" w:rsidR="00553430" w:rsidRDefault="00212577">
            <w:pPr>
              <w:pStyle w:val="P68B1DB1-Normal102"/>
              <w:spacing w:after="0" w:line="240" w:lineRule="auto"/>
              <w:jc w:val="center"/>
              <w:textAlignment w:val="baseline"/>
              <w:rPr>
                <w:noProof/>
              </w:rPr>
            </w:pPr>
            <w:r>
              <w:rPr>
                <w:noProof/>
              </w:rPr>
              <w:t>153</w:t>
            </w:r>
          </w:p>
        </w:tc>
        <w:tc>
          <w:tcPr>
            <w:tcW w:w="1639" w:type="dxa"/>
            <w:shd w:val="clear" w:color="auto" w:fill="C6EFCE"/>
            <w:vAlign w:val="center"/>
          </w:tcPr>
          <w:p w14:paraId="32D76E10" w14:textId="77777777" w:rsidR="00553430" w:rsidRDefault="00212577">
            <w:pPr>
              <w:pStyle w:val="P68B1DB1-Normal102"/>
              <w:spacing w:after="0" w:line="240" w:lineRule="auto"/>
              <w:jc w:val="center"/>
              <w:textAlignment w:val="baseline"/>
              <w:rPr>
                <w:noProof/>
              </w:rPr>
            </w:pPr>
            <w:r>
              <w:rPr>
                <w:noProof/>
              </w:rPr>
              <w:t>C2.1. R1-I1</w:t>
            </w:r>
          </w:p>
        </w:tc>
        <w:tc>
          <w:tcPr>
            <w:tcW w:w="1274" w:type="dxa"/>
            <w:shd w:val="clear" w:color="auto" w:fill="C6EFCE"/>
            <w:vAlign w:val="center"/>
          </w:tcPr>
          <w:p w14:paraId="0DA617C2"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7EA2CF1" w14:textId="77777777" w:rsidR="00553430" w:rsidRDefault="00212577">
            <w:pPr>
              <w:pStyle w:val="P68B1DB1-Normal102"/>
              <w:spacing w:after="0" w:line="240" w:lineRule="auto"/>
              <w:textAlignment w:val="baseline"/>
              <w:rPr>
                <w:noProof/>
              </w:rPr>
            </w:pPr>
            <w:r>
              <w:rPr>
                <w:noProof/>
              </w:rPr>
              <w:t xml:space="preserve">Numérisation de la cartographie de tous les processus opérationnels dans le domaine de la planification stratégique et de l’analyse d’impact </w:t>
            </w:r>
            <w:r>
              <w:rPr>
                <w:noProof/>
              </w:rPr>
              <w:t>réglementaire</w:t>
            </w:r>
          </w:p>
        </w:tc>
      </w:tr>
      <w:tr w:rsidR="00553430" w14:paraId="5832A727" w14:textId="77777777">
        <w:trPr>
          <w:trHeight w:val="51"/>
        </w:trPr>
        <w:tc>
          <w:tcPr>
            <w:tcW w:w="1096" w:type="dxa"/>
            <w:shd w:val="clear" w:color="auto" w:fill="C6EFCE"/>
            <w:vAlign w:val="center"/>
          </w:tcPr>
          <w:p w14:paraId="5D0ABEF5" w14:textId="77777777" w:rsidR="00553430" w:rsidRDefault="00212577">
            <w:pPr>
              <w:pStyle w:val="P68B1DB1-Normal102"/>
              <w:spacing w:after="0" w:line="240" w:lineRule="auto"/>
              <w:jc w:val="center"/>
              <w:textAlignment w:val="baseline"/>
              <w:rPr>
                <w:noProof/>
              </w:rPr>
            </w:pPr>
            <w:r>
              <w:rPr>
                <w:noProof/>
              </w:rPr>
              <w:t>162</w:t>
            </w:r>
          </w:p>
        </w:tc>
        <w:tc>
          <w:tcPr>
            <w:tcW w:w="1639" w:type="dxa"/>
            <w:shd w:val="clear" w:color="auto" w:fill="C6EFCE"/>
            <w:vAlign w:val="center"/>
          </w:tcPr>
          <w:p w14:paraId="004CA0D0" w14:textId="77777777" w:rsidR="00553430" w:rsidRDefault="00212577">
            <w:pPr>
              <w:pStyle w:val="P68B1DB1-Normal102"/>
              <w:spacing w:after="0" w:line="240" w:lineRule="auto"/>
              <w:jc w:val="center"/>
              <w:textAlignment w:val="baseline"/>
              <w:rPr>
                <w:noProof/>
              </w:rPr>
            </w:pPr>
            <w:r>
              <w:rPr>
                <w:noProof/>
              </w:rPr>
              <w:t>C2.1. R2-I1</w:t>
            </w:r>
          </w:p>
        </w:tc>
        <w:tc>
          <w:tcPr>
            <w:tcW w:w="1274" w:type="dxa"/>
            <w:shd w:val="clear" w:color="auto" w:fill="C6EFCE"/>
            <w:vAlign w:val="center"/>
          </w:tcPr>
          <w:p w14:paraId="16C1FCF1"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B1177EE" w14:textId="77777777" w:rsidR="00553430" w:rsidRDefault="00212577">
            <w:pPr>
              <w:pStyle w:val="P68B1DB1-Normal102"/>
              <w:spacing w:after="0" w:line="240" w:lineRule="auto"/>
              <w:textAlignment w:val="baseline"/>
              <w:rPr>
                <w:noProof/>
              </w:rPr>
            </w:pPr>
            <w:r>
              <w:rPr>
                <w:noProof/>
              </w:rPr>
              <w:t>Préparation de la documentation technique des projets de transition écologique et numérique</w:t>
            </w:r>
          </w:p>
        </w:tc>
      </w:tr>
      <w:tr w:rsidR="00553430" w14:paraId="3B1AF867" w14:textId="77777777">
        <w:trPr>
          <w:trHeight w:val="51"/>
        </w:trPr>
        <w:tc>
          <w:tcPr>
            <w:tcW w:w="1096" w:type="dxa"/>
            <w:shd w:val="clear" w:color="auto" w:fill="C6EFCE"/>
            <w:vAlign w:val="center"/>
          </w:tcPr>
          <w:p w14:paraId="2A437057" w14:textId="77777777" w:rsidR="00553430" w:rsidRDefault="00212577">
            <w:pPr>
              <w:pStyle w:val="P68B1DB1-Normal102"/>
              <w:spacing w:after="0" w:line="240" w:lineRule="auto"/>
              <w:jc w:val="center"/>
              <w:textAlignment w:val="baseline"/>
              <w:rPr>
                <w:noProof/>
              </w:rPr>
            </w:pPr>
            <w:r>
              <w:rPr>
                <w:noProof/>
              </w:rPr>
              <w:t>172</w:t>
            </w:r>
          </w:p>
        </w:tc>
        <w:tc>
          <w:tcPr>
            <w:tcW w:w="1639" w:type="dxa"/>
            <w:shd w:val="clear" w:color="auto" w:fill="C6EFCE"/>
            <w:vAlign w:val="center"/>
          </w:tcPr>
          <w:p w14:paraId="78398607" w14:textId="77777777" w:rsidR="00553430" w:rsidRDefault="00212577">
            <w:pPr>
              <w:pStyle w:val="P68B1DB1-Normal102"/>
              <w:spacing w:after="0" w:line="240" w:lineRule="auto"/>
              <w:jc w:val="center"/>
              <w:textAlignment w:val="baseline"/>
              <w:rPr>
                <w:noProof/>
              </w:rPr>
            </w:pPr>
            <w:r>
              <w:rPr>
                <w:noProof/>
              </w:rPr>
              <w:t>C2.2. R3-I1</w:t>
            </w:r>
          </w:p>
        </w:tc>
        <w:tc>
          <w:tcPr>
            <w:tcW w:w="1274" w:type="dxa"/>
            <w:shd w:val="clear" w:color="auto" w:fill="C6EFCE"/>
            <w:vAlign w:val="center"/>
          </w:tcPr>
          <w:p w14:paraId="51D7C53C"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DB67107" w14:textId="77777777" w:rsidR="00553430" w:rsidRDefault="00212577">
            <w:pPr>
              <w:pStyle w:val="P68B1DB1-Normal102"/>
              <w:spacing w:after="0" w:line="240" w:lineRule="auto"/>
              <w:textAlignment w:val="baseline"/>
              <w:rPr>
                <w:noProof/>
              </w:rPr>
            </w:pPr>
            <w:r>
              <w:rPr>
                <w:noProof/>
              </w:rPr>
              <w:t>Création d'un ensemble de 60 bases de conservation accessibles au public pour les sites culturels et historiques</w:t>
            </w:r>
            <w:r>
              <w:rPr>
                <w:noProof/>
              </w:rPr>
              <w:t xml:space="preserve"> les plus complexes de grande valeur monumentale</w:t>
            </w:r>
          </w:p>
        </w:tc>
      </w:tr>
      <w:tr w:rsidR="00553430" w14:paraId="216ACFD5" w14:textId="77777777">
        <w:trPr>
          <w:trHeight w:val="51"/>
        </w:trPr>
        <w:tc>
          <w:tcPr>
            <w:tcW w:w="1096" w:type="dxa"/>
            <w:shd w:val="clear" w:color="auto" w:fill="C6EFCE"/>
            <w:vAlign w:val="center"/>
          </w:tcPr>
          <w:p w14:paraId="14B85F9D" w14:textId="77777777" w:rsidR="00553430" w:rsidRDefault="00212577">
            <w:pPr>
              <w:pStyle w:val="P68B1DB1-Normal102"/>
              <w:spacing w:after="0" w:line="240" w:lineRule="auto"/>
              <w:jc w:val="center"/>
              <w:textAlignment w:val="baseline"/>
              <w:rPr>
                <w:noProof/>
              </w:rPr>
            </w:pPr>
            <w:r>
              <w:rPr>
                <w:noProof/>
              </w:rPr>
              <w:t>173</w:t>
            </w:r>
          </w:p>
        </w:tc>
        <w:tc>
          <w:tcPr>
            <w:tcW w:w="1639" w:type="dxa"/>
            <w:shd w:val="clear" w:color="auto" w:fill="C6EFCE"/>
            <w:vAlign w:val="center"/>
          </w:tcPr>
          <w:p w14:paraId="0038B57F" w14:textId="77777777" w:rsidR="00553430" w:rsidRDefault="00212577">
            <w:pPr>
              <w:pStyle w:val="P68B1DB1-Normal102"/>
              <w:spacing w:after="0" w:line="240" w:lineRule="auto"/>
              <w:jc w:val="center"/>
              <w:textAlignment w:val="baseline"/>
              <w:rPr>
                <w:noProof/>
              </w:rPr>
            </w:pPr>
            <w:r>
              <w:rPr>
                <w:noProof/>
              </w:rPr>
              <w:t>C2.2. R3-I2</w:t>
            </w:r>
          </w:p>
        </w:tc>
        <w:tc>
          <w:tcPr>
            <w:tcW w:w="1274" w:type="dxa"/>
            <w:shd w:val="clear" w:color="auto" w:fill="C6EFCE"/>
            <w:vAlign w:val="center"/>
          </w:tcPr>
          <w:p w14:paraId="1A978A1A"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299CD6E" w14:textId="77777777" w:rsidR="00553430" w:rsidRDefault="00212577">
            <w:pPr>
              <w:pStyle w:val="P68B1DB1-Normal102"/>
              <w:spacing w:after="0" w:line="240" w:lineRule="auto"/>
              <w:textAlignment w:val="baseline"/>
              <w:rPr>
                <w:noProof/>
              </w:rPr>
            </w:pPr>
            <w:r>
              <w:rPr>
                <w:noProof/>
              </w:rPr>
              <w:t>600 créateurs de documents utilisent le système d'information d'archives</w:t>
            </w:r>
          </w:p>
        </w:tc>
      </w:tr>
      <w:tr w:rsidR="00553430" w14:paraId="3E984299" w14:textId="77777777">
        <w:trPr>
          <w:trHeight w:val="51"/>
        </w:trPr>
        <w:tc>
          <w:tcPr>
            <w:tcW w:w="1096" w:type="dxa"/>
            <w:shd w:val="clear" w:color="auto" w:fill="C6EFCE"/>
            <w:vAlign w:val="center"/>
          </w:tcPr>
          <w:p w14:paraId="19B3E663" w14:textId="77777777" w:rsidR="00553430" w:rsidRDefault="00212577">
            <w:pPr>
              <w:pStyle w:val="P68B1DB1-Normal102"/>
              <w:spacing w:after="0" w:line="240" w:lineRule="auto"/>
              <w:jc w:val="center"/>
              <w:textAlignment w:val="baseline"/>
              <w:rPr>
                <w:noProof/>
              </w:rPr>
            </w:pPr>
            <w:r>
              <w:rPr>
                <w:noProof/>
              </w:rPr>
              <w:t>180</w:t>
            </w:r>
          </w:p>
        </w:tc>
        <w:tc>
          <w:tcPr>
            <w:tcW w:w="1639" w:type="dxa"/>
            <w:shd w:val="clear" w:color="auto" w:fill="C6EFCE"/>
            <w:vAlign w:val="center"/>
          </w:tcPr>
          <w:p w14:paraId="259A2CCC" w14:textId="77777777" w:rsidR="00553430" w:rsidRDefault="00212577">
            <w:pPr>
              <w:pStyle w:val="P68B1DB1-Normal102"/>
              <w:spacing w:after="0" w:line="240" w:lineRule="auto"/>
              <w:jc w:val="center"/>
              <w:textAlignment w:val="baseline"/>
              <w:rPr>
                <w:noProof/>
              </w:rPr>
            </w:pPr>
            <w:r>
              <w:rPr>
                <w:noProof/>
              </w:rPr>
              <w:t>C2.3. R3-I1</w:t>
            </w:r>
          </w:p>
        </w:tc>
        <w:tc>
          <w:tcPr>
            <w:tcW w:w="1274" w:type="dxa"/>
            <w:shd w:val="clear" w:color="auto" w:fill="C6EFCE"/>
            <w:vAlign w:val="center"/>
          </w:tcPr>
          <w:p w14:paraId="26B556DE"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5D24470" w14:textId="77777777" w:rsidR="00553430" w:rsidRDefault="00212577">
            <w:pPr>
              <w:pStyle w:val="P68B1DB1-Normal102"/>
              <w:spacing w:after="0" w:line="240" w:lineRule="auto"/>
              <w:textAlignment w:val="baseline"/>
              <w:rPr>
                <w:noProof/>
              </w:rPr>
            </w:pPr>
            <w:r>
              <w:rPr>
                <w:noProof/>
              </w:rPr>
              <w:t>Augmentation du nombre d'utilisateurs dans le Centre de services partagés</w:t>
            </w:r>
          </w:p>
        </w:tc>
      </w:tr>
      <w:tr w:rsidR="00553430" w14:paraId="7AB618C2" w14:textId="77777777">
        <w:trPr>
          <w:trHeight w:val="51"/>
        </w:trPr>
        <w:tc>
          <w:tcPr>
            <w:tcW w:w="1096" w:type="dxa"/>
            <w:shd w:val="clear" w:color="auto" w:fill="C6EFCE"/>
            <w:vAlign w:val="center"/>
          </w:tcPr>
          <w:p w14:paraId="723FAD1D" w14:textId="77777777" w:rsidR="00553430" w:rsidRDefault="00212577">
            <w:pPr>
              <w:pStyle w:val="P68B1DB1-Normal102"/>
              <w:spacing w:after="0" w:line="240" w:lineRule="auto"/>
              <w:jc w:val="center"/>
              <w:textAlignment w:val="baseline"/>
              <w:rPr>
                <w:noProof/>
              </w:rPr>
            </w:pPr>
            <w:r>
              <w:rPr>
                <w:noProof/>
              </w:rPr>
              <w:t>186</w:t>
            </w:r>
          </w:p>
        </w:tc>
        <w:tc>
          <w:tcPr>
            <w:tcW w:w="1639" w:type="dxa"/>
            <w:shd w:val="clear" w:color="auto" w:fill="C6EFCE"/>
            <w:vAlign w:val="center"/>
          </w:tcPr>
          <w:p w14:paraId="0FE120F5" w14:textId="77777777" w:rsidR="00553430" w:rsidRDefault="00212577">
            <w:pPr>
              <w:pStyle w:val="P68B1DB1-Normal102"/>
              <w:spacing w:after="0" w:line="240" w:lineRule="auto"/>
              <w:jc w:val="center"/>
              <w:textAlignment w:val="baseline"/>
              <w:rPr>
                <w:noProof/>
              </w:rPr>
            </w:pPr>
            <w:r>
              <w:rPr>
                <w:noProof/>
              </w:rPr>
              <w:t>C2.3. R3-I6</w:t>
            </w:r>
          </w:p>
        </w:tc>
        <w:tc>
          <w:tcPr>
            <w:tcW w:w="1274" w:type="dxa"/>
            <w:shd w:val="clear" w:color="auto" w:fill="C6EFCE"/>
            <w:vAlign w:val="center"/>
          </w:tcPr>
          <w:p w14:paraId="4ABA0E60"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EC65BA1" w14:textId="77777777" w:rsidR="00553430" w:rsidRDefault="00212577">
            <w:pPr>
              <w:pStyle w:val="P68B1DB1-Normal102"/>
              <w:spacing w:after="0" w:line="240" w:lineRule="auto"/>
              <w:textAlignment w:val="baseline"/>
              <w:rPr>
                <w:noProof/>
              </w:rPr>
            </w:pPr>
            <w:r>
              <w:rPr>
                <w:noProof/>
              </w:rPr>
              <w:t>Mise à niveau du réseau de l'infrastructure d'information de l'État (DII)</w:t>
            </w:r>
          </w:p>
        </w:tc>
      </w:tr>
      <w:tr w:rsidR="00553430" w14:paraId="141E1E80" w14:textId="77777777">
        <w:trPr>
          <w:trHeight w:val="51"/>
        </w:trPr>
        <w:tc>
          <w:tcPr>
            <w:tcW w:w="1096" w:type="dxa"/>
            <w:shd w:val="clear" w:color="auto" w:fill="C6EFCE"/>
            <w:vAlign w:val="center"/>
          </w:tcPr>
          <w:p w14:paraId="36E0D28C" w14:textId="77777777" w:rsidR="00553430" w:rsidRDefault="00212577">
            <w:pPr>
              <w:pStyle w:val="P68B1DB1-Normal102"/>
              <w:spacing w:after="0" w:line="240" w:lineRule="auto"/>
              <w:jc w:val="center"/>
              <w:textAlignment w:val="baseline"/>
              <w:rPr>
                <w:noProof/>
              </w:rPr>
            </w:pPr>
            <w:r>
              <w:rPr>
                <w:noProof/>
              </w:rPr>
              <w:t>187</w:t>
            </w:r>
          </w:p>
        </w:tc>
        <w:tc>
          <w:tcPr>
            <w:tcW w:w="1639" w:type="dxa"/>
            <w:shd w:val="clear" w:color="auto" w:fill="C6EFCE"/>
            <w:vAlign w:val="center"/>
          </w:tcPr>
          <w:p w14:paraId="69FA194D" w14:textId="77777777" w:rsidR="00553430" w:rsidRDefault="00212577">
            <w:pPr>
              <w:pStyle w:val="P68B1DB1-Normal102"/>
              <w:spacing w:after="0" w:line="240" w:lineRule="auto"/>
              <w:jc w:val="center"/>
              <w:textAlignment w:val="baseline"/>
              <w:rPr>
                <w:noProof/>
              </w:rPr>
            </w:pPr>
            <w:r>
              <w:rPr>
                <w:noProof/>
              </w:rPr>
              <w:t>C2.3. R3-I6</w:t>
            </w:r>
          </w:p>
        </w:tc>
        <w:tc>
          <w:tcPr>
            <w:tcW w:w="1274" w:type="dxa"/>
            <w:shd w:val="clear" w:color="auto" w:fill="C6EFCE"/>
            <w:vAlign w:val="center"/>
          </w:tcPr>
          <w:p w14:paraId="3AA99403"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6A0064B" w14:textId="77777777" w:rsidR="00553430" w:rsidRDefault="00212577">
            <w:pPr>
              <w:pStyle w:val="P68B1DB1-Normal102"/>
              <w:spacing w:after="0" w:line="240" w:lineRule="auto"/>
              <w:textAlignment w:val="baseline"/>
              <w:rPr>
                <w:noProof/>
              </w:rPr>
            </w:pPr>
            <w:r>
              <w:rPr>
                <w:noProof/>
              </w:rPr>
              <w:t>Nouveaux utilisateurs du réseau d'infrastructure d'information de l'État (DII)</w:t>
            </w:r>
          </w:p>
        </w:tc>
      </w:tr>
      <w:tr w:rsidR="00553430" w14:paraId="1D59798F" w14:textId="77777777">
        <w:trPr>
          <w:trHeight w:val="51"/>
        </w:trPr>
        <w:tc>
          <w:tcPr>
            <w:tcW w:w="1096" w:type="dxa"/>
            <w:shd w:val="clear" w:color="auto" w:fill="C6EFCE"/>
            <w:vAlign w:val="center"/>
          </w:tcPr>
          <w:p w14:paraId="6284D144" w14:textId="77777777" w:rsidR="00553430" w:rsidRDefault="00212577">
            <w:pPr>
              <w:pStyle w:val="P68B1DB1-Normal102"/>
              <w:spacing w:after="0" w:line="240" w:lineRule="auto"/>
              <w:jc w:val="center"/>
              <w:textAlignment w:val="baseline"/>
              <w:rPr>
                <w:noProof/>
              </w:rPr>
            </w:pPr>
            <w:r>
              <w:rPr>
                <w:noProof/>
              </w:rPr>
              <w:t>188</w:t>
            </w:r>
          </w:p>
        </w:tc>
        <w:tc>
          <w:tcPr>
            <w:tcW w:w="1639" w:type="dxa"/>
            <w:shd w:val="clear" w:color="auto" w:fill="C6EFCE"/>
            <w:vAlign w:val="center"/>
          </w:tcPr>
          <w:p w14:paraId="1C5D0375" w14:textId="77777777" w:rsidR="00553430" w:rsidRDefault="00212577">
            <w:pPr>
              <w:pStyle w:val="P68B1DB1-Normal102"/>
              <w:spacing w:after="0" w:line="240" w:lineRule="auto"/>
              <w:jc w:val="center"/>
              <w:textAlignment w:val="baseline"/>
              <w:rPr>
                <w:noProof/>
              </w:rPr>
            </w:pPr>
            <w:r>
              <w:rPr>
                <w:noProof/>
              </w:rPr>
              <w:t>C2.3. R3-I7</w:t>
            </w:r>
          </w:p>
        </w:tc>
        <w:tc>
          <w:tcPr>
            <w:tcW w:w="1274" w:type="dxa"/>
            <w:shd w:val="clear" w:color="auto" w:fill="C6EFCE"/>
            <w:vAlign w:val="center"/>
          </w:tcPr>
          <w:p w14:paraId="375A6C9B"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23054CA1" w14:textId="77777777" w:rsidR="00553430" w:rsidRDefault="00212577">
            <w:pPr>
              <w:pStyle w:val="P68B1DB1-Normal102"/>
              <w:spacing w:after="0" w:line="240" w:lineRule="auto"/>
              <w:textAlignment w:val="baseline"/>
              <w:rPr>
                <w:noProof/>
              </w:rPr>
            </w:pPr>
            <w:r>
              <w:rPr>
                <w:noProof/>
              </w:rPr>
              <w:t xml:space="preserve">Plans d’aménagement du territoire numériques </w:t>
            </w:r>
          </w:p>
        </w:tc>
      </w:tr>
      <w:tr w:rsidR="00553430" w14:paraId="3B6574B3" w14:textId="77777777">
        <w:trPr>
          <w:trHeight w:val="51"/>
        </w:trPr>
        <w:tc>
          <w:tcPr>
            <w:tcW w:w="1096" w:type="dxa"/>
            <w:shd w:val="clear" w:color="auto" w:fill="C6EFCE"/>
            <w:vAlign w:val="center"/>
          </w:tcPr>
          <w:p w14:paraId="0C9917DA" w14:textId="77777777" w:rsidR="00553430" w:rsidRDefault="00212577">
            <w:pPr>
              <w:pStyle w:val="P68B1DB1-Normal102"/>
              <w:spacing w:after="0" w:line="240" w:lineRule="auto"/>
              <w:jc w:val="center"/>
              <w:textAlignment w:val="baseline"/>
              <w:rPr>
                <w:noProof/>
              </w:rPr>
            </w:pPr>
            <w:r>
              <w:rPr>
                <w:noProof/>
              </w:rPr>
              <w:t>189</w:t>
            </w:r>
          </w:p>
        </w:tc>
        <w:tc>
          <w:tcPr>
            <w:tcW w:w="1639" w:type="dxa"/>
            <w:shd w:val="clear" w:color="auto" w:fill="C6EFCE"/>
            <w:vAlign w:val="center"/>
          </w:tcPr>
          <w:p w14:paraId="6834C2CF" w14:textId="77777777" w:rsidR="00553430" w:rsidRDefault="00212577">
            <w:pPr>
              <w:pStyle w:val="P68B1DB1-Normal102"/>
              <w:spacing w:after="0" w:line="240" w:lineRule="auto"/>
              <w:jc w:val="center"/>
              <w:textAlignment w:val="baseline"/>
              <w:rPr>
                <w:noProof/>
              </w:rPr>
            </w:pPr>
            <w:r>
              <w:rPr>
                <w:noProof/>
              </w:rPr>
              <w:t>C2.3. R3-I7</w:t>
            </w:r>
          </w:p>
        </w:tc>
        <w:tc>
          <w:tcPr>
            <w:tcW w:w="1274" w:type="dxa"/>
            <w:shd w:val="clear" w:color="auto" w:fill="C6EFCE"/>
            <w:vAlign w:val="center"/>
          </w:tcPr>
          <w:p w14:paraId="4B227D61"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0530C796" w14:textId="77777777" w:rsidR="00553430" w:rsidRDefault="00212577">
            <w:pPr>
              <w:pStyle w:val="P68B1DB1-Normal102"/>
              <w:spacing w:after="0" w:line="240" w:lineRule="auto"/>
              <w:textAlignment w:val="baseline"/>
              <w:rPr>
                <w:noProof/>
              </w:rPr>
            </w:pPr>
            <w:r>
              <w:rPr>
                <w:noProof/>
              </w:rPr>
              <w:t>Mise à niveau du système d'information sur les plans d'aménagement du territoire</w:t>
            </w:r>
          </w:p>
        </w:tc>
      </w:tr>
      <w:tr w:rsidR="00553430" w14:paraId="70F10CCD" w14:textId="77777777">
        <w:trPr>
          <w:trHeight w:val="51"/>
        </w:trPr>
        <w:tc>
          <w:tcPr>
            <w:tcW w:w="1096" w:type="dxa"/>
            <w:shd w:val="clear" w:color="auto" w:fill="C6EFCE"/>
            <w:vAlign w:val="center"/>
          </w:tcPr>
          <w:p w14:paraId="3E3ABB23" w14:textId="77777777" w:rsidR="00553430" w:rsidRDefault="00212577">
            <w:pPr>
              <w:pStyle w:val="P68B1DB1-Normal102"/>
              <w:spacing w:after="0" w:line="240" w:lineRule="auto"/>
              <w:jc w:val="center"/>
              <w:textAlignment w:val="baseline"/>
              <w:rPr>
                <w:noProof/>
              </w:rPr>
            </w:pPr>
            <w:r>
              <w:rPr>
                <w:noProof/>
              </w:rPr>
              <w:t>193</w:t>
            </w:r>
          </w:p>
        </w:tc>
        <w:tc>
          <w:tcPr>
            <w:tcW w:w="1639" w:type="dxa"/>
            <w:shd w:val="clear" w:color="auto" w:fill="C6EFCE"/>
            <w:vAlign w:val="center"/>
          </w:tcPr>
          <w:p w14:paraId="6E2A0BD3" w14:textId="77777777" w:rsidR="00553430" w:rsidRDefault="00212577">
            <w:pPr>
              <w:pStyle w:val="P68B1DB1-Normal102"/>
              <w:spacing w:after="0" w:line="240" w:lineRule="auto"/>
              <w:jc w:val="center"/>
              <w:textAlignment w:val="baseline"/>
              <w:rPr>
                <w:noProof/>
              </w:rPr>
            </w:pPr>
            <w:r>
              <w:rPr>
                <w:noProof/>
              </w:rPr>
              <w:t>C2.3. R3-I10</w:t>
            </w:r>
          </w:p>
        </w:tc>
        <w:tc>
          <w:tcPr>
            <w:tcW w:w="1274" w:type="dxa"/>
            <w:shd w:val="clear" w:color="auto" w:fill="C6EFCE"/>
            <w:vAlign w:val="center"/>
          </w:tcPr>
          <w:p w14:paraId="5E147CE2"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307E535" w14:textId="77777777" w:rsidR="00553430" w:rsidRDefault="00212577">
            <w:pPr>
              <w:pStyle w:val="P68B1DB1-Normal102"/>
              <w:spacing w:after="0" w:line="240" w:lineRule="auto"/>
              <w:textAlignment w:val="baseline"/>
              <w:rPr>
                <w:noProof/>
              </w:rPr>
            </w:pPr>
            <w:r>
              <w:rPr>
                <w:noProof/>
              </w:rPr>
              <w:t>Mise à niveau de la numérisation du CES</w:t>
            </w:r>
          </w:p>
        </w:tc>
      </w:tr>
      <w:tr w:rsidR="00553430" w14:paraId="6A478F8F" w14:textId="77777777">
        <w:trPr>
          <w:trHeight w:val="51"/>
        </w:trPr>
        <w:tc>
          <w:tcPr>
            <w:tcW w:w="1096" w:type="dxa"/>
            <w:shd w:val="clear" w:color="auto" w:fill="C6EFCE"/>
            <w:vAlign w:val="center"/>
          </w:tcPr>
          <w:p w14:paraId="6A84F98C" w14:textId="77777777" w:rsidR="00553430" w:rsidRDefault="00212577">
            <w:pPr>
              <w:pStyle w:val="P68B1DB1-Normal102"/>
              <w:spacing w:after="0" w:line="240" w:lineRule="auto"/>
              <w:jc w:val="center"/>
              <w:textAlignment w:val="baseline"/>
              <w:rPr>
                <w:noProof/>
              </w:rPr>
            </w:pPr>
            <w:r>
              <w:rPr>
                <w:noProof/>
              </w:rPr>
              <w:t>194</w:t>
            </w:r>
          </w:p>
        </w:tc>
        <w:tc>
          <w:tcPr>
            <w:tcW w:w="1639" w:type="dxa"/>
            <w:shd w:val="clear" w:color="auto" w:fill="C6EFCE"/>
            <w:vAlign w:val="center"/>
          </w:tcPr>
          <w:p w14:paraId="0A66716A" w14:textId="77777777" w:rsidR="00553430" w:rsidRDefault="00212577">
            <w:pPr>
              <w:pStyle w:val="P68B1DB1-Normal102"/>
              <w:spacing w:after="0" w:line="240" w:lineRule="auto"/>
              <w:jc w:val="center"/>
              <w:textAlignment w:val="baseline"/>
              <w:rPr>
                <w:noProof/>
              </w:rPr>
            </w:pPr>
            <w:r>
              <w:rPr>
                <w:noProof/>
              </w:rPr>
              <w:t>C2.3. R3-I11</w:t>
            </w:r>
          </w:p>
        </w:tc>
        <w:tc>
          <w:tcPr>
            <w:tcW w:w="1274" w:type="dxa"/>
            <w:shd w:val="clear" w:color="auto" w:fill="C6EFCE"/>
            <w:vAlign w:val="center"/>
          </w:tcPr>
          <w:p w14:paraId="1719A529"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4DE1CB78" w14:textId="77777777" w:rsidR="00553430" w:rsidRDefault="00212577">
            <w:pPr>
              <w:pStyle w:val="P68B1DB1-Normal102"/>
              <w:spacing w:after="0" w:line="240" w:lineRule="auto"/>
              <w:textAlignment w:val="baseline"/>
              <w:rPr>
                <w:noProof/>
              </w:rPr>
            </w:pPr>
            <w:r>
              <w:rPr>
                <w:noProof/>
              </w:rPr>
              <w:t>Mise à niveau du système informatique de l’Institut croate d’assurance retraite (HZMO)</w:t>
            </w:r>
          </w:p>
        </w:tc>
      </w:tr>
      <w:tr w:rsidR="00553430" w14:paraId="031CE6DA" w14:textId="77777777">
        <w:trPr>
          <w:trHeight w:val="51"/>
        </w:trPr>
        <w:tc>
          <w:tcPr>
            <w:tcW w:w="1096" w:type="dxa"/>
            <w:shd w:val="clear" w:color="auto" w:fill="C6EFCE"/>
            <w:vAlign w:val="center"/>
          </w:tcPr>
          <w:p w14:paraId="565B6067" w14:textId="77777777" w:rsidR="00553430" w:rsidRDefault="00212577">
            <w:pPr>
              <w:pStyle w:val="P68B1DB1-Normal102"/>
              <w:spacing w:after="0" w:line="240" w:lineRule="auto"/>
              <w:jc w:val="center"/>
              <w:textAlignment w:val="baseline"/>
              <w:rPr>
                <w:noProof/>
              </w:rPr>
            </w:pPr>
            <w:r>
              <w:rPr>
                <w:noProof/>
              </w:rPr>
              <w:t>196</w:t>
            </w:r>
          </w:p>
        </w:tc>
        <w:tc>
          <w:tcPr>
            <w:tcW w:w="1639" w:type="dxa"/>
            <w:shd w:val="clear" w:color="auto" w:fill="C6EFCE"/>
            <w:vAlign w:val="center"/>
          </w:tcPr>
          <w:p w14:paraId="0A8E2823" w14:textId="77777777" w:rsidR="00553430" w:rsidRDefault="00212577">
            <w:pPr>
              <w:pStyle w:val="P68B1DB1-Normal102"/>
              <w:spacing w:after="0" w:line="240" w:lineRule="auto"/>
              <w:jc w:val="center"/>
              <w:textAlignment w:val="baseline"/>
              <w:rPr>
                <w:noProof/>
              </w:rPr>
            </w:pPr>
            <w:r>
              <w:rPr>
                <w:noProof/>
              </w:rPr>
              <w:t>C2.3. R3-I12</w:t>
            </w:r>
          </w:p>
        </w:tc>
        <w:tc>
          <w:tcPr>
            <w:tcW w:w="1274" w:type="dxa"/>
            <w:shd w:val="clear" w:color="auto" w:fill="C6EFCE"/>
            <w:vAlign w:val="center"/>
          </w:tcPr>
          <w:p w14:paraId="0AA67C98"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0067756" w14:textId="77777777" w:rsidR="00553430" w:rsidRDefault="00212577">
            <w:pPr>
              <w:pStyle w:val="P68B1DB1-Normal102"/>
              <w:spacing w:after="0" w:line="240" w:lineRule="auto"/>
              <w:textAlignment w:val="baseline"/>
              <w:rPr>
                <w:noProof/>
              </w:rPr>
            </w:pPr>
            <w:r>
              <w:rPr>
                <w:noProof/>
              </w:rPr>
              <w:t>Archives numériques de l'Institut croate d'assurance retraite (HZMO)</w:t>
            </w:r>
          </w:p>
        </w:tc>
      </w:tr>
      <w:tr w:rsidR="00553430" w14:paraId="1D6B7B26" w14:textId="77777777">
        <w:trPr>
          <w:trHeight w:val="51"/>
        </w:trPr>
        <w:tc>
          <w:tcPr>
            <w:tcW w:w="1096" w:type="dxa"/>
            <w:shd w:val="clear" w:color="auto" w:fill="C6EFCE"/>
            <w:vAlign w:val="center"/>
          </w:tcPr>
          <w:p w14:paraId="06D0ED0D" w14:textId="77777777" w:rsidR="00553430" w:rsidRDefault="00212577">
            <w:pPr>
              <w:pStyle w:val="P68B1DB1-Normal102"/>
              <w:spacing w:after="0" w:line="240" w:lineRule="auto"/>
              <w:jc w:val="center"/>
              <w:textAlignment w:val="baseline"/>
              <w:rPr>
                <w:noProof/>
              </w:rPr>
            </w:pPr>
            <w:r>
              <w:rPr>
                <w:noProof/>
              </w:rPr>
              <w:t>197</w:t>
            </w:r>
          </w:p>
        </w:tc>
        <w:tc>
          <w:tcPr>
            <w:tcW w:w="1639" w:type="dxa"/>
            <w:shd w:val="clear" w:color="auto" w:fill="C6EFCE"/>
            <w:vAlign w:val="center"/>
          </w:tcPr>
          <w:p w14:paraId="1822B384" w14:textId="77777777" w:rsidR="00553430" w:rsidRDefault="00212577">
            <w:pPr>
              <w:pStyle w:val="P68B1DB1-Normal102"/>
              <w:spacing w:after="0" w:line="240" w:lineRule="auto"/>
              <w:jc w:val="center"/>
              <w:textAlignment w:val="baseline"/>
              <w:rPr>
                <w:noProof/>
              </w:rPr>
            </w:pPr>
            <w:r>
              <w:rPr>
                <w:noProof/>
              </w:rPr>
              <w:t>C2.3. R3-I13</w:t>
            </w:r>
          </w:p>
        </w:tc>
        <w:tc>
          <w:tcPr>
            <w:tcW w:w="1274" w:type="dxa"/>
            <w:shd w:val="clear" w:color="auto" w:fill="C6EFCE"/>
            <w:vAlign w:val="center"/>
          </w:tcPr>
          <w:p w14:paraId="064D845F"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66DBE84B" w14:textId="77777777" w:rsidR="00553430" w:rsidRDefault="00212577">
            <w:pPr>
              <w:pStyle w:val="P68B1DB1-Normal102"/>
              <w:spacing w:after="0" w:line="240" w:lineRule="auto"/>
              <w:textAlignment w:val="baseline"/>
              <w:rPr>
                <w:noProof/>
              </w:rPr>
            </w:pPr>
            <w:r>
              <w:rPr>
                <w:noProof/>
              </w:rPr>
              <w:t>Mise à niveau du système d'information de l'administration fiscale</w:t>
            </w:r>
          </w:p>
        </w:tc>
      </w:tr>
      <w:tr w:rsidR="00553430" w14:paraId="10D39927" w14:textId="77777777">
        <w:trPr>
          <w:trHeight w:val="51"/>
        </w:trPr>
        <w:tc>
          <w:tcPr>
            <w:tcW w:w="1096" w:type="dxa"/>
            <w:shd w:val="clear" w:color="auto" w:fill="C6EFCE"/>
            <w:vAlign w:val="center"/>
          </w:tcPr>
          <w:p w14:paraId="3F602032" w14:textId="77777777" w:rsidR="00553430" w:rsidRDefault="00212577">
            <w:pPr>
              <w:pStyle w:val="P68B1DB1-Normal102"/>
              <w:spacing w:after="0" w:line="240" w:lineRule="auto"/>
              <w:jc w:val="center"/>
              <w:textAlignment w:val="baseline"/>
              <w:rPr>
                <w:noProof/>
              </w:rPr>
            </w:pPr>
            <w:r>
              <w:rPr>
                <w:noProof/>
              </w:rPr>
              <w:t>200</w:t>
            </w:r>
          </w:p>
        </w:tc>
        <w:tc>
          <w:tcPr>
            <w:tcW w:w="1639" w:type="dxa"/>
            <w:shd w:val="clear" w:color="auto" w:fill="C6EFCE"/>
            <w:vAlign w:val="center"/>
          </w:tcPr>
          <w:p w14:paraId="65BFEB43" w14:textId="77777777" w:rsidR="00553430" w:rsidRDefault="00212577">
            <w:pPr>
              <w:pStyle w:val="P68B1DB1-Normal102"/>
              <w:spacing w:after="0" w:line="240" w:lineRule="auto"/>
              <w:jc w:val="center"/>
              <w:textAlignment w:val="baseline"/>
              <w:rPr>
                <w:noProof/>
              </w:rPr>
            </w:pPr>
            <w:r>
              <w:rPr>
                <w:noProof/>
              </w:rPr>
              <w:t>C2.3. R3-I15</w:t>
            </w:r>
          </w:p>
        </w:tc>
        <w:tc>
          <w:tcPr>
            <w:tcW w:w="1274" w:type="dxa"/>
            <w:shd w:val="clear" w:color="auto" w:fill="C6EFCE"/>
            <w:vAlign w:val="center"/>
          </w:tcPr>
          <w:p w14:paraId="0EB16606"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6A3B13F" w14:textId="77777777" w:rsidR="00553430" w:rsidRDefault="00212577">
            <w:pPr>
              <w:pStyle w:val="P68B1DB1-Normal102"/>
              <w:spacing w:after="0" w:line="240" w:lineRule="auto"/>
              <w:textAlignment w:val="baseline"/>
              <w:rPr>
                <w:noProof/>
              </w:rPr>
            </w:pPr>
            <w:r>
              <w:rPr>
                <w:noProof/>
              </w:rPr>
              <w:t>Outils dans le système informatique du tourisme</w:t>
            </w:r>
          </w:p>
        </w:tc>
      </w:tr>
      <w:tr w:rsidR="00553430" w14:paraId="0EAEFB93" w14:textId="77777777">
        <w:trPr>
          <w:trHeight w:val="51"/>
        </w:trPr>
        <w:tc>
          <w:tcPr>
            <w:tcW w:w="1096" w:type="dxa"/>
            <w:shd w:val="clear" w:color="auto" w:fill="C6EFCE"/>
            <w:vAlign w:val="center"/>
          </w:tcPr>
          <w:p w14:paraId="20A729CA" w14:textId="77777777" w:rsidR="00553430" w:rsidRDefault="00212577">
            <w:pPr>
              <w:pStyle w:val="P68B1DB1-Normal102"/>
              <w:spacing w:after="0" w:line="240" w:lineRule="auto"/>
              <w:jc w:val="center"/>
              <w:textAlignment w:val="baseline"/>
              <w:rPr>
                <w:noProof/>
              </w:rPr>
            </w:pPr>
            <w:r>
              <w:rPr>
                <w:noProof/>
              </w:rPr>
              <w:t>201</w:t>
            </w:r>
          </w:p>
        </w:tc>
        <w:tc>
          <w:tcPr>
            <w:tcW w:w="1639" w:type="dxa"/>
            <w:shd w:val="clear" w:color="auto" w:fill="C6EFCE"/>
            <w:vAlign w:val="center"/>
          </w:tcPr>
          <w:p w14:paraId="47FADBD6" w14:textId="77777777" w:rsidR="00553430" w:rsidRDefault="00212577">
            <w:pPr>
              <w:pStyle w:val="P68B1DB1-Normal102"/>
              <w:spacing w:after="0" w:line="240" w:lineRule="auto"/>
              <w:jc w:val="center"/>
              <w:textAlignment w:val="baseline"/>
              <w:rPr>
                <w:noProof/>
              </w:rPr>
            </w:pPr>
            <w:r>
              <w:rPr>
                <w:noProof/>
              </w:rPr>
              <w:t>C2.3. R3-I16</w:t>
            </w:r>
          </w:p>
        </w:tc>
        <w:tc>
          <w:tcPr>
            <w:tcW w:w="1274" w:type="dxa"/>
            <w:shd w:val="clear" w:color="auto" w:fill="C6EFCE"/>
            <w:vAlign w:val="center"/>
          </w:tcPr>
          <w:p w14:paraId="7DD07615"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14EFF90" w14:textId="77777777" w:rsidR="00553430" w:rsidRDefault="00212577">
            <w:pPr>
              <w:pStyle w:val="P68B1DB1-Normal102"/>
              <w:spacing w:after="0" w:line="240" w:lineRule="auto"/>
              <w:textAlignment w:val="baseline"/>
              <w:rPr>
                <w:noProof/>
              </w:rPr>
            </w:pPr>
            <w:r>
              <w:rPr>
                <w:noProof/>
              </w:rPr>
              <w:t>Nouveaux modules d'application pour le système informatique du sport</w:t>
            </w:r>
          </w:p>
        </w:tc>
      </w:tr>
      <w:tr w:rsidR="00553430" w14:paraId="227E350F" w14:textId="77777777">
        <w:trPr>
          <w:trHeight w:val="51"/>
        </w:trPr>
        <w:tc>
          <w:tcPr>
            <w:tcW w:w="1096" w:type="dxa"/>
            <w:shd w:val="clear" w:color="auto" w:fill="C6EFCE"/>
            <w:vAlign w:val="center"/>
          </w:tcPr>
          <w:p w14:paraId="69F5FC15" w14:textId="498642A0" w:rsidR="00553430" w:rsidRDefault="00212577">
            <w:pPr>
              <w:pStyle w:val="P68B1DB1-Normal102"/>
              <w:spacing w:after="0" w:line="240" w:lineRule="auto"/>
              <w:jc w:val="center"/>
              <w:textAlignment w:val="baseline"/>
              <w:rPr>
                <w:noProof/>
              </w:rPr>
            </w:pPr>
            <w:r>
              <w:rPr>
                <w:noProof/>
              </w:rPr>
              <w:t>449</w:t>
            </w:r>
          </w:p>
        </w:tc>
        <w:tc>
          <w:tcPr>
            <w:tcW w:w="1639" w:type="dxa"/>
            <w:shd w:val="clear" w:color="auto" w:fill="C6EFCE"/>
            <w:vAlign w:val="center"/>
          </w:tcPr>
          <w:p w14:paraId="1CD4AEFD" w14:textId="77777777" w:rsidR="00553430" w:rsidRDefault="00212577">
            <w:pPr>
              <w:pStyle w:val="P68B1DB1-Normal102"/>
              <w:spacing w:after="0" w:line="240" w:lineRule="auto"/>
              <w:jc w:val="center"/>
              <w:textAlignment w:val="baseline"/>
              <w:rPr>
                <w:noProof/>
              </w:rPr>
            </w:pPr>
            <w:r>
              <w:rPr>
                <w:noProof/>
              </w:rPr>
              <w:t>C2.3. R3-I18</w:t>
            </w:r>
          </w:p>
        </w:tc>
        <w:tc>
          <w:tcPr>
            <w:tcW w:w="1274" w:type="dxa"/>
            <w:shd w:val="clear" w:color="auto" w:fill="C6EFCE"/>
            <w:vAlign w:val="center"/>
          </w:tcPr>
          <w:p w14:paraId="2649CEF8" w14:textId="77777777" w:rsidR="00553430" w:rsidRDefault="00212577">
            <w:pPr>
              <w:pStyle w:val="P68B1DB1-Normal102"/>
              <w:spacing w:after="0" w:line="240" w:lineRule="auto"/>
              <w:jc w:val="center"/>
              <w:textAlignment w:val="baseline"/>
              <w:rPr>
                <w:noProof/>
              </w:rPr>
            </w:pPr>
            <w:r>
              <w:rPr>
                <w:noProof/>
              </w:rPr>
              <w:t xml:space="preserve">M </w:t>
            </w:r>
          </w:p>
        </w:tc>
        <w:tc>
          <w:tcPr>
            <w:tcW w:w="5347" w:type="dxa"/>
            <w:shd w:val="clear" w:color="auto" w:fill="C6EFCE"/>
            <w:vAlign w:val="center"/>
          </w:tcPr>
          <w:p w14:paraId="7895B644" w14:textId="77777777" w:rsidR="00553430" w:rsidRDefault="00212577">
            <w:pPr>
              <w:pStyle w:val="P68B1DB1-Normal102"/>
              <w:spacing w:after="0" w:line="240" w:lineRule="auto"/>
              <w:textAlignment w:val="baseline"/>
              <w:rPr>
                <w:noProof/>
              </w:rPr>
            </w:pPr>
            <w:r>
              <w:rPr>
                <w:noProof/>
              </w:rPr>
              <w:t>Signature de l’accord de contribution entre la Croatie et l’entreprise commune EuroHPC et versement de la contribution volontaire à l’entreprise commune EuroHPC</w:t>
            </w:r>
          </w:p>
        </w:tc>
      </w:tr>
      <w:tr w:rsidR="00553430" w14:paraId="1361C5AD" w14:textId="77777777">
        <w:trPr>
          <w:trHeight w:val="51"/>
        </w:trPr>
        <w:tc>
          <w:tcPr>
            <w:tcW w:w="1096" w:type="dxa"/>
            <w:shd w:val="clear" w:color="auto" w:fill="C6EFCE"/>
            <w:vAlign w:val="center"/>
          </w:tcPr>
          <w:p w14:paraId="5EC638B8" w14:textId="77777777" w:rsidR="00553430" w:rsidRDefault="00212577">
            <w:pPr>
              <w:pStyle w:val="P68B1DB1-Normal102"/>
              <w:spacing w:after="0" w:line="240" w:lineRule="auto"/>
              <w:jc w:val="center"/>
              <w:textAlignment w:val="baseline"/>
              <w:rPr>
                <w:noProof/>
              </w:rPr>
            </w:pPr>
            <w:r>
              <w:rPr>
                <w:noProof/>
              </w:rPr>
              <w:t>2</w:t>
            </w:r>
            <w:r>
              <w:rPr>
                <w:noProof/>
              </w:rPr>
              <w:t>04</w:t>
            </w:r>
          </w:p>
        </w:tc>
        <w:tc>
          <w:tcPr>
            <w:tcW w:w="1639" w:type="dxa"/>
            <w:shd w:val="clear" w:color="auto" w:fill="C6EFCE"/>
            <w:vAlign w:val="center"/>
          </w:tcPr>
          <w:p w14:paraId="757AD47D" w14:textId="77777777" w:rsidR="00553430" w:rsidRDefault="00212577">
            <w:pPr>
              <w:pStyle w:val="P68B1DB1-Normal102"/>
              <w:spacing w:after="0" w:line="240" w:lineRule="auto"/>
              <w:jc w:val="center"/>
              <w:textAlignment w:val="baseline"/>
              <w:rPr>
                <w:noProof/>
              </w:rPr>
            </w:pPr>
            <w:r>
              <w:rPr>
                <w:noProof/>
              </w:rPr>
              <w:t>C2.3. R4-I1</w:t>
            </w:r>
          </w:p>
        </w:tc>
        <w:tc>
          <w:tcPr>
            <w:tcW w:w="1274" w:type="dxa"/>
            <w:shd w:val="clear" w:color="auto" w:fill="C6EFCE"/>
            <w:vAlign w:val="center"/>
          </w:tcPr>
          <w:p w14:paraId="0436C3F6"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44087448" w14:textId="77777777" w:rsidR="00553430" w:rsidRDefault="00212577">
            <w:pPr>
              <w:pStyle w:val="P68B1DB1-Normal102"/>
              <w:spacing w:after="0" w:line="240" w:lineRule="auto"/>
              <w:textAlignment w:val="baseline"/>
              <w:rPr>
                <w:noProof/>
              </w:rPr>
            </w:pPr>
            <w:r>
              <w:rPr>
                <w:noProof/>
              </w:rPr>
              <w:t xml:space="preserve">Accès à large bande pour les ménages dans les zones NGA blanches </w:t>
            </w:r>
          </w:p>
        </w:tc>
      </w:tr>
      <w:tr w:rsidR="00553430" w14:paraId="07B145FC" w14:textId="77777777">
        <w:trPr>
          <w:trHeight w:val="51"/>
        </w:trPr>
        <w:tc>
          <w:tcPr>
            <w:tcW w:w="1096" w:type="dxa"/>
            <w:shd w:val="clear" w:color="auto" w:fill="C6EFCE"/>
            <w:vAlign w:val="center"/>
          </w:tcPr>
          <w:p w14:paraId="28E93752" w14:textId="77777777" w:rsidR="00553430" w:rsidRDefault="00212577">
            <w:pPr>
              <w:pStyle w:val="P68B1DB1-Normal102"/>
              <w:spacing w:after="0" w:line="240" w:lineRule="auto"/>
              <w:jc w:val="center"/>
              <w:textAlignment w:val="baseline"/>
              <w:rPr>
                <w:noProof/>
              </w:rPr>
            </w:pPr>
            <w:r>
              <w:rPr>
                <w:noProof/>
              </w:rPr>
              <w:t>206</w:t>
            </w:r>
          </w:p>
        </w:tc>
        <w:tc>
          <w:tcPr>
            <w:tcW w:w="1639" w:type="dxa"/>
            <w:shd w:val="clear" w:color="auto" w:fill="C6EFCE"/>
            <w:vAlign w:val="center"/>
          </w:tcPr>
          <w:p w14:paraId="15FC047B" w14:textId="77777777" w:rsidR="00553430" w:rsidRDefault="00212577">
            <w:pPr>
              <w:pStyle w:val="P68B1DB1-Normal102"/>
              <w:spacing w:after="0" w:line="240" w:lineRule="auto"/>
              <w:jc w:val="center"/>
              <w:textAlignment w:val="baseline"/>
              <w:rPr>
                <w:noProof/>
              </w:rPr>
            </w:pPr>
            <w:r>
              <w:rPr>
                <w:noProof/>
              </w:rPr>
              <w:t>C2.3. R4-I2</w:t>
            </w:r>
          </w:p>
        </w:tc>
        <w:tc>
          <w:tcPr>
            <w:tcW w:w="1274" w:type="dxa"/>
            <w:shd w:val="clear" w:color="auto" w:fill="C6EFCE"/>
            <w:vAlign w:val="center"/>
          </w:tcPr>
          <w:p w14:paraId="0044A54D"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4861A71" w14:textId="77777777" w:rsidR="00553430" w:rsidRDefault="00212577">
            <w:pPr>
              <w:pStyle w:val="P68B1DB1-Normal102"/>
              <w:spacing w:after="0" w:line="240" w:lineRule="auto"/>
              <w:textAlignment w:val="baseline"/>
              <w:rPr>
                <w:noProof/>
              </w:rPr>
            </w:pPr>
            <w:r>
              <w:rPr>
                <w:noProof/>
              </w:rPr>
              <w:t>Accès à la 5G</w:t>
            </w:r>
          </w:p>
        </w:tc>
      </w:tr>
      <w:tr w:rsidR="00553430" w14:paraId="62671F15" w14:textId="77777777">
        <w:trPr>
          <w:trHeight w:val="51"/>
        </w:trPr>
        <w:tc>
          <w:tcPr>
            <w:tcW w:w="1096" w:type="dxa"/>
            <w:shd w:val="clear" w:color="auto" w:fill="C6EFCE"/>
            <w:vAlign w:val="center"/>
          </w:tcPr>
          <w:p w14:paraId="36D689BF" w14:textId="77777777" w:rsidR="00553430" w:rsidRDefault="00212577">
            <w:pPr>
              <w:pStyle w:val="P68B1DB1-Normal102"/>
              <w:spacing w:after="0" w:line="240" w:lineRule="auto"/>
              <w:jc w:val="center"/>
              <w:textAlignment w:val="baseline"/>
              <w:rPr>
                <w:noProof/>
              </w:rPr>
            </w:pPr>
            <w:r>
              <w:rPr>
                <w:noProof/>
              </w:rPr>
              <w:t>209</w:t>
            </w:r>
          </w:p>
        </w:tc>
        <w:tc>
          <w:tcPr>
            <w:tcW w:w="1639" w:type="dxa"/>
            <w:shd w:val="clear" w:color="auto" w:fill="C6EFCE"/>
            <w:vAlign w:val="center"/>
          </w:tcPr>
          <w:p w14:paraId="5F6F3CE0" w14:textId="77777777" w:rsidR="00553430" w:rsidRDefault="00212577">
            <w:pPr>
              <w:pStyle w:val="P68B1DB1-Normal102"/>
              <w:spacing w:after="0" w:line="240" w:lineRule="auto"/>
              <w:jc w:val="center"/>
              <w:textAlignment w:val="baseline"/>
              <w:rPr>
                <w:noProof/>
              </w:rPr>
            </w:pPr>
            <w:r>
              <w:rPr>
                <w:noProof/>
              </w:rPr>
              <w:t>C2.4. R3</w:t>
            </w:r>
          </w:p>
        </w:tc>
        <w:tc>
          <w:tcPr>
            <w:tcW w:w="1274" w:type="dxa"/>
            <w:shd w:val="clear" w:color="auto" w:fill="C6EFCE"/>
            <w:vAlign w:val="center"/>
          </w:tcPr>
          <w:p w14:paraId="497F4B12"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36FC862" w14:textId="77777777" w:rsidR="00553430" w:rsidRDefault="00212577">
            <w:pPr>
              <w:pStyle w:val="P68B1DB1-Normal102"/>
              <w:spacing w:after="0" w:line="240" w:lineRule="auto"/>
              <w:textAlignment w:val="baseline"/>
              <w:rPr>
                <w:noProof/>
              </w:rPr>
            </w:pPr>
            <w:r>
              <w:rPr>
                <w:noProof/>
              </w:rPr>
              <w:t>Formation des ministères d'exécution et des unités centrales de coordination aux activités de gouvernance d'entreprise</w:t>
            </w:r>
          </w:p>
        </w:tc>
      </w:tr>
      <w:tr w:rsidR="00553430" w14:paraId="4123AE8A" w14:textId="77777777">
        <w:trPr>
          <w:trHeight w:val="51"/>
        </w:trPr>
        <w:tc>
          <w:tcPr>
            <w:tcW w:w="1096" w:type="dxa"/>
            <w:shd w:val="clear" w:color="auto" w:fill="C6EFCE"/>
            <w:vAlign w:val="center"/>
          </w:tcPr>
          <w:p w14:paraId="29204D69" w14:textId="77777777" w:rsidR="00553430" w:rsidRDefault="00212577">
            <w:pPr>
              <w:pStyle w:val="P68B1DB1-Normal102"/>
              <w:spacing w:after="0" w:line="240" w:lineRule="auto"/>
              <w:jc w:val="center"/>
              <w:textAlignment w:val="baseline"/>
              <w:rPr>
                <w:noProof/>
              </w:rPr>
            </w:pPr>
            <w:r>
              <w:rPr>
                <w:noProof/>
              </w:rPr>
              <w:t>211</w:t>
            </w:r>
          </w:p>
        </w:tc>
        <w:tc>
          <w:tcPr>
            <w:tcW w:w="1639" w:type="dxa"/>
            <w:shd w:val="clear" w:color="auto" w:fill="C6EFCE"/>
            <w:vAlign w:val="center"/>
          </w:tcPr>
          <w:p w14:paraId="57467462" w14:textId="77777777" w:rsidR="00553430" w:rsidRDefault="00212577">
            <w:pPr>
              <w:pStyle w:val="P68B1DB1-Normal102"/>
              <w:spacing w:after="0" w:line="240" w:lineRule="auto"/>
              <w:jc w:val="center"/>
              <w:textAlignment w:val="baseline"/>
              <w:rPr>
                <w:noProof/>
              </w:rPr>
            </w:pPr>
            <w:r>
              <w:rPr>
                <w:noProof/>
              </w:rPr>
              <w:t>C2.4. R4</w:t>
            </w:r>
          </w:p>
        </w:tc>
        <w:tc>
          <w:tcPr>
            <w:tcW w:w="1274" w:type="dxa"/>
            <w:shd w:val="clear" w:color="auto" w:fill="C6EFCE"/>
            <w:vAlign w:val="center"/>
          </w:tcPr>
          <w:p w14:paraId="44EBB921"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22A058D" w14:textId="77777777" w:rsidR="00553430" w:rsidRDefault="00212577">
            <w:pPr>
              <w:pStyle w:val="P68B1DB1-Normal102"/>
              <w:spacing w:after="0" w:line="240" w:lineRule="auto"/>
              <w:textAlignment w:val="baseline"/>
              <w:rPr>
                <w:noProof/>
              </w:rPr>
            </w:pPr>
            <w:r>
              <w:rPr>
                <w:noProof/>
              </w:rPr>
              <w:t>La réalisation des ventes de 20 entreprises publiques du portefeuille CERP</w:t>
            </w:r>
          </w:p>
        </w:tc>
      </w:tr>
      <w:tr w:rsidR="00553430" w14:paraId="4AD8A6C1" w14:textId="77777777">
        <w:trPr>
          <w:trHeight w:val="51"/>
        </w:trPr>
        <w:tc>
          <w:tcPr>
            <w:tcW w:w="1096" w:type="dxa"/>
            <w:shd w:val="clear" w:color="auto" w:fill="C6EFCE"/>
            <w:vAlign w:val="center"/>
          </w:tcPr>
          <w:p w14:paraId="10EBC671" w14:textId="77777777" w:rsidR="00553430" w:rsidRDefault="00212577">
            <w:pPr>
              <w:pStyle w:val="P68B1DB1-Normal102"/>
              <w:spacing w:after="0" w:line="240" w:lineRule="auto"/>
              <w:jc w:val="center"/>
              <w:textAlignment w:val="baseline"/>
              <w:rPr>
                <w:noProof/>
              </w:rPr>
            </w:pPr>
            <w:r>
              <w:rPr>
                <w:noProof/>
              </w:rPr>
              <w:t>213</w:t>
            </w:r>
          </w:p>
        </w:tc>
        <w:tc>
          <w:tcPr>
            <w:tcW w:w="1639" w:type="dxa"/>
            <w:shd w:val="clear" w:color="auto" w:fill="C6EFCE"/>
            <w:vAlign w:val="center"/>
          </w:tcPr>
          <w:p w14:paraId="40289C84" w14:textId="77777777" w:rsidR="00553430" w:rsidRDefault="00212577">
            <w:pPr>
              <w:pStyle w:val="P68B1DB1-Normal102"/>
              <w:spacing w:after="0" w:line="240" w:lineRule="auto"/>
              <w:jc w:val="center"/>
              <w:textAlignment w:val="baseline"/>
              <w:rPr>
                <w:noProof/>
              </w:rPr>
            </w:pPr>
            <w:r>
              <w:rPr>
                <w:noProof/>
              </w:rPr>
              <w:t>C2.4. R5</w:t>
            </w:r>
          </w:p>
        </w:tc>
        <w:tc>
          <w:tcPr>
            <w:tcW w:w="1274" w:type="dxa"/>
            <w:shd w:val="clear" w:color="auto" w:fill="C6EFCE"/>
            <w:vAlign w:val="center"/>
          </w:tcPr>
          <w:p w14:paraId="71094805"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C1CE061" w14:textId="3EB6CB91" w:rsidR="00553430" w:rsidRDefault="00212577">
            <w:pPr>
              <w:pStyle w:val="P68B1DB1-Normal102"/>
              <w:spacing w:after="0" w:line="240" w:lineRule="auto"/>
              <w:textAlignment w:val="baseline"/>
              <w:rPr>
                <w:noProof/>
              </w:rPr>
            </w:pPr>
            <w:r>
              <w:rPr>
                <w:noProof/>
              </w:rPr>
              <w:t>Cession de biens immobiliers appartenant à l'État</w:t>
            </w:r>
          </w:p>
        </w:tc>
      </w:tr>
      <w:tr w:rsidR="00553430" w14:paraId="0A2ADDEE" w14:textId="77777777">
        <w:trPr>
          <w:trHeight w:val="51"/>
        </w:trPr>
        <w:tc>
          <w:tcPr>
            <w:tcW w:w="1096" w:type="dxa"/>
            <w:shd w:val="clear" w:color="auto" w:fill="C6EFCE"/>
            <w:vAlign w:val="center"/>
          </w:tcPr>
          <w:p w14:paraId="748218D2" w14:textId="77777777" w:rsidR="00553430" w:rsidRDefault="00212577">
            <w:pPr>
              <w:pStyle w:val="P68B1DB1-Normal102"/>
              <w:spacing w:after="0" w:line="240" w:lineRule="auto"/>
              <w:jc w:val="center"/>
              <w:textAlignment w:val="baseline"/>
              <w:rPr>
                <w:noProof/>
              </w:rPr>
            </w:pPr>
            <w:r>
              <w:rPr>
                <w:noProof/>
              </w:rPr>
              <w:t>221</w:t>
            </w:r>
          </w:p>
        </w:tc>
        <w:tc>
          <w:tcPr>
            <w:tcW w:w="1639" w:type="dxa"/>
            <w:shd w:val="clear" w:color="auto" w:fill="C6EFCE"/>
            <w:vAlign w:val="center"/>
          </w:tcPr>
          <w:p w14:paraId="3DFF20E8" w14:textId="77777777" w:rsidR="00553430" w:rsidRDefault="00212577">
            <w:pPr>
              <w:pStyle w:val="P68B1DB1-Normal102"/>
              <w:spacing w:after="0" w:line="240" w:lineRule="auto"/>
              <w:jc w:val="center"/>
              <w:textAlignment w:val="baseline"/>
              <w:rPr>
                <w:noProof/>
              </w:rPr>
            </w:pPr>
            <w:r>
              <w:rPr>
                <w:noProof/>
              </w:rPr>
              <w:t>C2.5. R1</w:t>
            </w:r>
          </w:p>
        </w:tc>
        <w:tc>
          <w:tcPr>
            <w:tcW w:w="1274" w:type="dxa"/>
            <w:shd w:val="clear" w:color="auto" w:fill="C6EFCE"/>
            <w:vAlign w:val="center"/>
          </w:tcPr>
          <w:p w14:paraId="7F9E3E6B"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4CD7C6A" w14:textId="77777777" w:rsidR="00553430" w:rsidRDefault="00212577">
            <w:pPr>
              <w:pStyle w:val="P68B1DB1-Normal102"/>
              <w:spacing w:after="0" w:line="240" w:lineRule="auto"/>
              <w:textAlignment w:val="baseline"/>
              <w:rPr>
                <w:noProof/>
              </w:rPr>
            </w:pPr>
            <w:r>
              <w:rPr>
                <w:noProof/>
              </w:rPr>
              <w:t>Réduction de la durée des litiges et des affaires commerciales</w:t>
            </w:r>
          </w:p>
        </w:tc>
      </w:tr>
      <w:tr w:rsidR="00553430" w14:paraId="7142E7D2" w14:textId="77777777">
        <w:trPr>
          <w:trHeight w:val="51"/>
        </w:trPr>
        <w:tc>
          <w:tcPr>
            <w:tcW w:w="1096" w:type="dxa"/>
            <w:shd w:val="clear" w:color="auto" w:fill="C6EFCE"/>
            <w:vAlign w:val="center"/>
          </w:tcPr>
          <w:p w14:paraId="2990AAD6" w14:textId="77777777" w:rsidR="00553430" w:rsidRDefault="00212577">
            <w:pPr>
              <w:pStyle w:val="P68B1DB1-Normal102"/>
              <w:spacing w:after="0" w:line="240" w:lineRule="auto"/>
              <w:jc w:val="center"/>
              <w:textAlignment w:val="baseline"/>
              <w:rPr>
                <w:noProof/>
              </w:rPr>
            </w:pPr>
            <w:r>
              <w:rPr>
                <w:noProof/>
              </w:rPr>
              <w:t>222</w:t>
            </w:r>
          </w:p>
        </w:tc>
        <w:tc>
          <w:tcPr>
            <w:tcW w:w="1639" w:type="dxa"/>
            <w:shd w:val="clear" w:color="auto" w:fill="C6EFCE"/>
            <w:vAlign w:val="center"/>
          </w:tcPr>
          <w:p w14:paraId="2DF69023" w14:textId="77777777" w:rsidR="00553430" w:rsidRDefault="00212577">
            <w:pPr>
              <w:pStyle w:val="P68B1DB1-Normal102"/>
              <w:spacing w:after="0" w:line="240" w:lineRule="auto"/>
              <w:jc w:val="center"/>
              <w:textAlignment w:val="baseline"/>
              <w:rPr>
                <w:noProof/>
              </w:rPr>
            </w:pPr>
            <w:r>
              <w:rPr>
                <w:noProof/>
              </w:rPr>
              <w:t>C2.5. R1</w:t>
            </w:r>
          </w:p>
        </w:tc>
        <w:tc>
          <w:tcPr>
            <w:tcW w:w="1274" w:type="dxa"/>
            <w:shd w:val="clear" w:color="auto" w:fill="C6EFCE"/>
            <w:vAlign w:val="center"/>
          </w:tcPr>
          <w:p w14:paraId="670451A0"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BBC48D5" w14:textId="77777777" w:rsidR="00553430" w:rsidRDefault="00212577">
            <w:pPr>
              <w:pStyle w:val="P68B1DB1-Normal102"/>
              <w:spacing w:after="0" w:line="240" w:lineRule="auto"/>
              <w:textAlignment w:val="baseline"/>
              <w:rPr>
                <w:noProof/>
              </w:rPr>
            </w:pPr>
            <w:r>
              <w:rPr>
                <w:noProof/>
              </w:rPr>
              <w:t>Réduction</w:t>
            </w:r>
            <w:r>
              <w:rPr>
                <w:noProof/>
              </w:rPr>
              <w:t xml:space="preserve"> du nombre total de toutes les affaires pendantes</w:t>
            </w:r>
          </w:p>
        </w:tc>
      </w:tr>
      <w:tr w:rsidR="00553430" w14:paraId="7C6C80FD" w14:textId="77777777">
        <w:trPr>
          <w:trHeight w:val="51"/>
        </w:trPr>
        <w:tc>
          <w:tcPr>
            <w:tcW w:w="1096" w:type="dxa"/>
            <w:shd w:val="clear" w:color="auto" w:fill="C6EFCE"/>
            <w:vAlign w:val="center"/>
          </w:tcPr>
          <w:p w14:paraId="2EC45854" w14:textId="77777777" w:rsidR="00553430" w:rsidRDefault="00212577">
            <w:pPr>
              <w:pStyle w:val="P68B1DB1-Normal102"/>
              <w:spacing w:after="0" w:line="240" w:lineRule="auto"/>
              <w:jc w:val="center"/>
              <w:textAlignment w:val="baseline"/>
              <w:rPr>
                <w:noProof/>
              </w:rPr>
            </w:pPr>
            <w:r>
              <w:rPr>
                <w:noProof/>
              </w:rPr>
              <w:t>225</w:t>
            </w:r>
          </w:p>
        </w:tc>
        <w:tc>
          <w:tcPr>
            <w:tcW w:w="1639" w:type="dxa"/>
            <w:shd w:val="clear" w:color="auto" w:fill="C6EFCE"/>
            <w:vAlign w:val="center"/>
          </w:tcPr>
          <w:p w14:paraId="3D7D5DDD" w14:textId="77777777" w:rsidR="00553430" w:rsidRDefault="00212577">
            <w:pPr>
              <w:pStyle w:val="P68B1DB1-Normal102"/>
              <w:spacing w:after="0" w:line="240" w:lineRule="auto"/>
              <w:jc w:val="center"/>
              <w:textAlignment w:val="baseline"/>
              <w:rPr>
                <w:noProof/>
              </w:rPr>
            </w:pPr>
            <w:r>
              <w:rPr>
                <w:noProof/>
              </w:rPr>
              <w:t>C2.5. R1-I2</w:t>
            </w:r>
          </w:p>
        </w:tc>
        <w:tc>
          <w:tcPr>
            <w:tcW w:w="1274" w:type="dxa"/>
            <w:shd w:val="clear" w:color="auto" w:fill="C6EFCE"/>
            <w:vAlign w:val="center"/>
          </w:tcPr>
          <w:p w14:paraId="0D86CED7"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7B9C2A2" w14:textId="77777777" w:rsidR="00553430" w:rsidRDefault="00212577">
            <w:pPr>
              <w:pStyle w:val="P68B1DB1-Normal102"/>
              <w:spacing w:after="0" w:line="240" w:lineRule="auto"/>
              <w:textAlignment w:val="baseline"/>
              <w:rPr>
                <w:noProof/>
              </w:rPr>
            </w:pPr>
            <w:r>
              <w:rPr>
                <w:noProof/>
              </w:rPr>
              <w:t>60% de l'enregistrement foncier et des données cadastrales intégrées</w:t>
            </w:r>
          </w:p>
        </w:tc>
      </w:tr>
      <w:tr w:rsidR="00553430" w14:paraId="6717D23C" w14:textId="77777777">
        <w:trPr>
          <w:trHeight w:val="51"/>
        </w:trPr>
        <w:tc>
          <w:tcPr>
            <w:tcW w:w="1096" w:type="dxa"/>
            <w:shd w:val="clear" w:color="auto" w:fill="C6EFCE"/>
            <w:vAlign w:val="center"/>
          </w:tcPr>
          <w:p w14:paraId="699D5654" w14:textId="77777777" w:rsidR="00553430" w:rsidRDefault="00212577">
            <w:pPr>
              <w:pStyle w:val="P68B1DB1-Normal102"/>
              <w:spacing w:after="0" w:line="240" w:lineRule="auto"/>
              <w:jc w:val="center"/>
              <w:textAlignment w:val="baseline"/>
              <w:rPr>
                <w:noProof/>
              </w:rPr>
            </w:pPr>
            <w:r>
              <w:rPr>
                <w:noProof/>
              </w:rPr>
              <w:t>227</w:t>
            </w:r>
          </w:p>
        </w:tc>
        <w:tc>
          <w:tcPr>
            <w:tcW w:w="1639" w:type="dxa"/>
            <w:shd w:val="clear" w:color="auto" w:fill="C6EFCE"/>
            <w:vAlign w:val="center"/>
          </w:tcPr>
          <w:p w14:paraId="5405CE6C" w14:textId="77777777" w:rsidR="00553430" w:rsidRDefault="00212577">
            <w:pPr>
              <w:pStyle w:val="P68B1DB1-Normal102"/>
              <w:spacing w:after="0" w:line="240" w:lineRule="auto"/>
              <w:jc w:val="center"/>
              <w:textAlignment w:val="baseline"/>
              <w:rPr>
                <w:noProof/>
              </w:rPr>
            </w:pPr>
            <w:r>
              <w:rPr>
                <w:noProof/>
              </w:rPr>
              <w:t>C2.5. R1-I4</w:t>
            </w:r>
          </w:p>
        </w:tc>
        <w:tc>
          <w:tcPr>
            <w:tcW w:w="1274" w:type="dxa"/>
            <w:shd w:val="clear" w:color="auto" w:fill="C6EFCE"/>
            <w:vAlign w:val="center"/>
          </w:tcPr>
          <w:p w14:paraId="7DCCF360"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AA1AA87" w14:textId="77777777" w:rsidR="00553430" w:rsidRDefault="00212577">
            <w:pPr>
              <w:pStyle w:val="P68B1DB1-Normal102"/>
              <w:spacing w:after="0" w:line="240" w:lineRule="auto"/>
              <w:textAlignment w:val="baseline"/>
              <w:rPr>
                <w:noProof/>
              </w:rPr>
            </w:pPr>
            <w:r>
              <w:rPr>
                <w:noProof/>
              </w:rPr>
              <w:t xml:space="preserve"> Construction d'un garage pour la place de la Justice à Zagreb</w:t>
            </w:r>
          </w:p>
        </w:tc>
      </w:tr>
      <w:tr w:rsidR="00553430" w14:paraId="3713A808" w14:textId="77777777">
        <w:trPr>
          <w:trHeight w:val="51"/>
        </w:trPr>
        <w:tc>
          <w:tcPr>
            <w:tcW w:w="1096" w:type="dxa"/>
            <w:shd w:val="clear" w:color="auto" w:fill="C6EFCE"/>
            <w:vAlign w:val="center"/>
          </w:tcPr>
          <w:p w14:paraId="17E935CB" w14:textId="77777777" w:rsidR="00553430" w:rsidRDefault="00212577">
            <w:pPr>
              <w:pStyle w:val="P68B1DB1-Normal102"/>
              <w:spacing w:after="0" w:line="240" w:lineRule="auto"/>
              <w:jc w:val="center"/>
              <w:textAlignment w:val="baseline"/>
              <w:rPr>
                <w:noProof/>
              </w:rPr>
            </w:pPr>
            <w:r>
              <w:rPr>
                <w:noProof/>
              </w:rPr>
              <w:t>230</w:t>
            </w:r>
          </w:p>
        </w:tc>
        <w:tc>
          <w:tcPr>
            <w:tcW w:w="1639" w:type="dxa"/>
            <w:shd w:val="clear" w:color="auto" w:fill="C6EFCE"/>
            <w:vAlign w:val="center"/>
          </w:tcPr>
          <w:p w14:paraId="68C17919" w14:textId="77777777" w:rsidR="00553430" w:rsidRDefault="00212577">
            <w:pPr>
              <w:pStyle w:val="P68B1DB1-Normal102"/>
              <w:spacing w:after="0" w:line="240" w:lineRule="auto"/>
              <w:jc w:val="center"/>
              <w:textAlignment w:val="baseline"/>
              <w:rPr>
                <w:noProof/>
              </w:rPr>
            </w:pPr>
            <w:r>
              <w:rPr>
                <w:noProof/>
              </w:rPr>
              <w:t>C2.5. R1-I6</w:t>
            </w:r>
          </w:p>
        </w:tc>
        <w:tc>
          <w:tcPr>
            <w:tcW w:w="1274" w:type="dxa"/>
            <w:shd w:val="clear" w:color="auto" w:fill="C6EFCE"/>
            <w:vAlign w:val="center"/>
          </w:tcPr>
          <w:p w14:paraId="614F9171"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448B8254" w14:textId="77777777" w:rsidR="00553430" w:rsidRDefault="00212577">
            <w:pPr>
              <w:pStyle w:val="P68B1DB1-Normal102"/>
              <w:spacing w:after="0" w:line="240" w:lineRule="auto"/>
              <w:textAlignment w:val="baseline"/>
              <w:rPr>
                <w:noProof/>
              </w:rPr>
            </w:pPr>
            <w:r>
              <w:rPr>
                <w:noProof/>
              </w:rPr>
              <w:t>Mise à niveau des</w:t>
            </w:r>
            <w:r>
              <w:rPr>
                <w:noProof/>
              </w:rPr>
              <w:t xml:space="preserve"> infrastructures TIC dans les organes judiciaires</w:t>
            </w:r>
          </w:p>
        </w:tc>
      </w:tr>
      <w:tr w:rsidR="00553430" w14:paraId="6C236526" w14:textId="77777777">
        <w:trPr>
          <w:trHeight w:val="51"/>
        </w:trPr>
        <w:tc>
          <w:tcPr>
            <w:tcW w:w="1096" w:type="dxa"/>
            <w:shd w:val="clear" w:color="auto" w:fill="C6EFCE"/>
            <w:vAlign w:val="center"/>
          </w:tcPr>
          <w:p w14:paraId="08221ABE" w14:textId="77777777" w:rsidR="00553430" w:rsidRDefault="00212577">
            <w:pPr>
              <w:pStyle w:val="P68B1DB1-Normal102"/>
              <w:spacing w:after="0" w:line="240" w:lineRule="auto"/>
              <w:jc w:val="center"/>
              <w:textAlignment w:val="baseline"/>
              <w:rPr>
                <w:noProof/>
              </w:rPr>
            </w:pPr>
            <w:r>
              <w:rPr>
                <w:noProof/>
              </w:rPr>
              <w:t>237</w:t>
            </w:r>
          </w:p>
        </w:tc>
        <w:tc>
          <w:tcPr>
            <w:tcW w:w="1639" w:type="dxa"/>
            <w:shd w:val="clear" w:color="auto" w:fill="C6EFCE"/>
            <w:vAlign w:val="center"/>
          </w:tcPr>
          <w:p w14:paraId="1F68AAB7" w14:textId="77777777" w:rsidR="00553430" w:rsidRDefault="00212577">
            <w:pPr>
              <w:pStyle w:val="P68B1DB1-Normal102"/>
              <w:spacing w:after="0" w:line="240" w:lineRule="auto"/>
              <w:jc w:val="center"/>
              <w:textAlignment w:val="baseline"/>
              <w:rPr>
                <w:noProof/>
              </w:rPr>
            </w:pPr>
            <w:r>
              <w:rPr>
                <w:noProof/>
              </w:rPr>
              <w:t>C2.6. R1</w:t>
            </w:r>
          </w:p>
        </w:tc>
        <w:tc>
          <w:tcPr>
            <w:tcW w:w="1274" w:type="dxa"/>
            <w:shd w:val="clear" w:color="auto" w:fill="C6EFCE"/>
            <w:vAlign w:val="center"/>
          </w:tcPr>
          <w:p w14:paraId="0D69F118"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452EB8E" w14:textId="77777777" w:rsidR="00553430" w:rsidRDefault="00212577">
            <w:pPr>
              <w:pStyle w:val="P68B1DB1-Normal102"/>
              <w:spacing w:after="0" w:line="240" w:lineRule="auto"/>
              <w:textAlignment w:val="baseline"/>
              <w:rPr>
                <w:noProof/>
              </w:rPr>
            </w:pPr>
            <w:r>
              <w:rPr>
                <w:noProof/>
              </w:rPr>
              <w:t>Mise en place d’une plateforme informatique pour suivre la mise en œuvre des mesures nationales de lutte contre la corruption</w:t>
            </w:r>
          </w:p>
        </w:tc>
      </w:tr>
      <w:tr w:rsidR="00553430" w14:paraId="18D16474" w14:textId="77777777">
        <w:trPr>
          <w:trHeight w:val="51"/>
        </w:trPr>
        <w:tc>
          <w:tcPr>
            <w:tcW w:w="1096" w:type="dxa"/>
            <w:shd w:val="clear" w:color="auto" w:fill="C6EFCE"/>
            <w:vAlign w:val="center"/>
          </w:tcPr>
          <w:p w14:paraId="24EC5659" w14:textId="77777777" w:rsidR="00553430" w:rsidRDefault="00212577">
            <w:pPr>
              <w:pStyle w:val="P68B1DB1-Normal102"/>
              <w:spacing w:after="0" w:line="240" w:lineRule="auto"/>
              <w:jc w:val="center"/>
              <w:textAlignment w:val="baseline"/>
              <w:rPr>
                <w:noProof/>
              </w:rPr>
            </w:pPr>
            <w:r>
              <w:rPr>
                <w:noProof/>
              </w:rPr>
              <w:t>245</w:t>
            </w:r>
          </w:p>
        </w:tc>
        <w:tc>
          <w:tcPr>
            <w:tcW w:w="1639" w:type="dxa"/>
            <w:shd w:val="clear" w:color="auto" w:fill="C6EFCE"/>
            <w:vAlign w:val="center"/>
          </w:tcPr>
          <w:p w14:paraId="19B94B68" w14:textId="77777777" w:rsidR="00553430" w:rsidRDefault="00212577">
            <w:pPr>
              <w:pStyle w:val="P68B1DB1-Normal102"/>
              <w:spacing w:after="0" w:line="240" w:lineRule="auto"/>
              <w:jc w:val="center"/>
              <w:textAlignment w:val="baseline"/>
              <w:rPr>
                <w:noProof/>
              </w:rPr>
            </w:pPr>
            <w:r>
              <w:rPr>
                <w:noProof/>
              </w:rPr>
              <w:t>C2.6. R3</w:t>
            </w:r>
          </w:p>
        </w:tc>
        <w:tc>
          <w:tcPr>
            <w:tcW w:w="1274" w:type="dxa"/>
            <w:shd w:val="clear" w:color="auto" w:fill="C6EFCE"/>
            <w:vAlign w:val="center"/>
          </w:tcPr>
          <w:p w14:paraId="748E9BA9"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DF69C28" w14:textId="54BFF66C" w:rsidR="00553430" w:rsidRDefault="00212577">
            <w:pPr>
              <w:pStyle w:val="P68B1DB1-Normal102"/>
              <w:spacing w:after="0" w:line="240" w:lineRule="auto"/>
              <w:textAlignment w:val="baseline"/>
              <w:rPr>
                <w:noProof/>
              </w:rPr>
            </w:pPr>
            <w:r>
              <w:rPr>
                <w:noProof/>
              </w:rPr>
              <w:t xml:space="preserve">Évaluation des effets de la mise en œuvre du </w:t>
            </w:r>
            <w:r>
              <w:rPr>
                <w:noProof/>
              </w:rPr>
              <w:t>programme de lutte contre la corruption 2021-2022 pour les entreprises détenues majoritairement par des collectivités locales et régionales</w:t>
            </w:r>
          </w:p>
        </w:tc>
      </w:tr>
      <w:tr w:rsidR="00553430" w14:paraId="51EFEECF" w14:textId="77777777">
        <w:trPr>
          <w:trHeight w:val="51"/>
        </w:trPr>
        <w:tc>
          <w:tcPr>
            <w:tcW w:w="1096" w:type="dxa"/>
            <w:shd w:val="clear" w:color="auto" w:fill="C6EFCE"/>
            <w:vAlign w:val="center"/>
          </w:tcPr>
          <w:p w14:paraId="34077947" w14:textId="77777777" w:rsidR="00553430" w:rsidRDefault="00212577">
            <w:pPr>
              <w:pStyle w:val="P68B1DB1-Normal102"/>
              <w:spacing w:after="0" w:line="240" w:lineRule="auto"/>
              <w:jc w:val="center"/>
              <w:textAlignment w:val="baseline"/>
              <w:rPr>
                <w:noProof/>
              </w:rPr>
            </w:pPr>
            <w:r>
              <w:rPr>
                <w:noProof/>
              </w:rPr>
              <w:t>264</w:t>
            </w:r>
          </w:p>
        </w:tc>
        <w:tc>
          <w:tcPr>
            <w:tcW w:w="1639" w:type="dxa"/>
            <w:shd w:val="clear" w:color="auto" w:fill="C6EFCE"/>
            <w:vAlign w:val="center"/>
          </w:tcPr>
          <w:p w14:paraId="1DC4690B" w14:textId="77777777" w:rsidR="00553430" w:rsidRDefault="00212577">
            <w:pPr>
              <w:pStyle w:val="P68B1DB1-Normal102"/>
              <w:spacing w:after="0" w:line="240" w:lineRule="auto"/>
              <w:jc w:val="center"/>
              <w:textAlignment w:val="baseline"/>
              <w:rPr>
                <w:noProof/>
              </w:rPr>
            </w:pPr>
            <w:r>
              <w:rPr>
                <w:noProof/>
              </w:rPr>
              <w:t>C2.9. R3</w:t>
            </w:r>
          </w:p>
        </w:tc>
        <w:tc>
          <w:tcPr>
            <w:tcW w:w="1274" w:type="dxa"/>
            <w:shd w:val="clear" w:color="auto" w:fill="C6EFCE"/>
            <w:vAlign w:val="center"/>
          </w:tcPr>
          <w:p w14:paraId="12FE9315"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B5D3610" w14:textId="77777777" w:rsidR="00553430" w:rsidRDefault="00212577">
            <w:pPr>
              <w:pStyle w:val="P68B1DB1-Normal102"/>
              <w:spacing w:after="0" w:line="240" w:lineRule="auto"/>
              <w:textAlignment w:val="baseline"/>
              <w:rPr>
                <w:noProof/>
              </w:rPr>
            </w:pPr>
            <w:r>
              <w:rPr>
                <w:noProof/>
              </w:rPr>
              <w:t xml:space="preserve">Formation à la passation de marchés dans le domaine de l’innovation </w:t>
            </w:r>
          </w:p>
        </w:tc>
      </w:tr>
      <w:tr w:rsidR="00553430" w14:paraId="0DBB79F8" w14:textId="77777777">
        <w:trPr>
          <w:trHeight w:val="51"/>
        </w:trPr>
        <w:tc>
          <w:tcPr>
            <w:tcW w:w="1096" w:type="dxa"/>
            <w:shd w:val="clear" w:color="auto" w:fill="C6EFCE"/>
            <w:vAlign w:val="center"/>
          </w:tcPr>
          <w:p w14:paraId="7CA963B9" w14:textId="77777777" w:rsidR="00553430" w:rsidRDefault="00212577">
            <w:pPr>
              <w:pStyle w:val="P68B1DB1-Normal102"/>
              <w:spacing w:after="0" w:line="240" w:lineRule="auto"/>
              <w:jc w:val="center"/>
              <w:textAlignment w:val="baseline"/>
              <w:rPr>
                <w:noProof/>
              </w:rPr>
            </w:pPr>
            <w:r>
              <w:rPr>
                <w:noProof/>
              </w:rPr>
              <w:t>269</w:t>
            </w:r>
          </w:p>
        </w:tc>
        <w:tc>
          <w:tcPr>
            <w:tcW w:w="1639" w:type="dxa"/>
            <w:shd w:val="clear" w:color="auto" w:fill="C6EFCE"/>
            <w:vAlign w:val="center"/>
          </w:tcPr>
          <w:p w14:paraId="096398F6" w14:textId="77777777" w:rsidR="00553430" w:rsidRDefault="00212577">
            <w:pPr>
              <w:pStyle w:val="P68B1DB1-Normal102"/>
              <w:spacing w:after="0" w:line="240" w:lineRule="auto"/>
              <w:jc w:val="center"/>
              <w:textAlignment w:val="baseline"/>
              <w:rPr>
                <w:noProof/>
              </w:rPr>
            </w:pPr>
            <w:r>
              <w:rPr>
                <w:noProof/>
              </w:rPr>
              <w:t>C3.1. R1</w:t>
            </w:r>
          </w:p>
        </w:tc>
        <w:tc>
          <w:tcPr>
            <w:tcW w:w="1274" w:type="dxa"/>
            <w:shd w:val="clear" w:color="auto" w:fill="C6EFCE"/>
            <w:vAlign w:val="center"/>
          </w:tcPr>
          <w:p w14:paraId="4CEFC672"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59CDC48" w14:textId="77777777" w:rsidR="00553430" w:rsidRDefault="00212577">
            <w:pPr>
              <w:pStyle w:val="P68B1DB1-Normal102"/>
              <w:spacing w:after="0" w:line="240" w:lineRule="auto"/>
              <w:textAlignment w:val="baseline"/>
              <w:rPr>
                <w:noProof/>
              </w:rPr>
            </w:pPr>
            <w:r>
              <w:rPr>
                <w:noProof/>
              </w:rPr>
              <w:t>Participation à</w:t>
            </w:r>
            <w:r>
              <w:rPr>
                <w:noProof/>
              </w:rPr>
              <w:t xml:space="preserve"> l'éducation et à l'accueil de la petite enfance</w:t>
            </w:r>
          </w:p>
        </w:tc>
      </w:tr>
      <w:tr w:rsidR="00553430" w14:paraId="38E71BA0" w14:textId="77777777">
        <w:trPr>
          <w:trHeight w:val="51"/>
        </w:trPr>
        <w:tc>
          <w:tcPr>
            <w:tcW w:w="1096" w:type="dxa"/>
            <w:shd w:val="clear" w:color="auto" w:fill="C6EFCE"/>
            <w:vAlign w:val="center"/>
          </w:tcPr>
          <w:p w14:paraId="6C42E154" w14:textId="77777777" w:rsidR="00553430" w:rsidRDefault="00212577">
            <w:pPr>
              <w:pStyle w:val="P68B1DB1-Normal102"/>
              <w:spacing w:after="0" w:line="240" w:lineRule="auto"/>
              <w:jc w:val="center"/>
              <w:textAlignment w:val="baseline"/>
              <w:rPr>
                <w:noProof/>
              </w:rPr>
            </w:pPr>
            <w:r>
              <w:rPr>
                <w:noProof/>
              </w:rPr>
              <w:t>270</w:t>
            </w:r>
          </w:p>
        </w:tc>
        <w:tc>
          <w:tcPr>
            <w:tcW w:w="1639" w:type="dxa"/>
            <w:shd w:val="clear" w:color="auto" w:fill="C6EFCE"/>
            <w:vAlign w:val="center"/>
          </w:tcPr>
          <w:p w14:paraId="5CCB433B" w14:textId="77777777" w:rsidR="00553430" w:rsidRDefault="00212577">
            <w:pPr>
              <w:pStyle w:val="P68B1DB1-Normal102"/>
              <w:spacing w:after="0" w:line="240" w:lineRule="auto"/>
              <w:jc w:val="center"/>
              <w:textAlignment w:val="baseline"/>
              <w:rPr>
                <w:noProof/>
              </w:rPr>
            </w:pPr>
            <w:r>
              <w:rPr>
                <w:noProof/>
              </w:rPr>
              <w:t>C3.1. R1-I1</w:t>
            </w:r>
          </w:p>
        </w:tc>
        <w:tc>
          <w:tcPr>
            <w:tcW w:w="1274" w:type="dxa"/>
            <w:shd w:val="clear" w:color="auto" w:fill="C6EFCE"/>
            <w:vAlign w:val="center"/>
          </w:tcPr>
          <w:p w14:paraId="7CDF280A"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8100045" w14:textId="77777777" w:rsidR="00553430" w:rsidRDefault="00212577">
            <w:pPr>
              <w:pStyle w:val="P68B1DB1-Normal102"/>
              <w:spacing w:after="0" w:line="240" w:lineRule="auto"/>
              <w:textAlignment w:val="baseline"/>
              <w:rPr>
                <w:noProof/>
              </w:rPr>
            </w:pPr>
            <w:r>
              <w:rPr>
                <w:noProof/>
              </w:rPr>
              <w:t>Nombre de places construites dans l’EAJE</w:t>
            </w:r>
          </w:p>
        </w:tc>
      </w:tr>
      <w:tr w:rsidR="00553430" w14:paraId="278C625C" w14:textId="77777777">
        <w:trPr>
          <w:trHeight w:val="51"/>
        </w:trPr>
        <w:tc>
          <w:tcPr>
            <w:tcW w:w="1096" w:type="dxa"/>
            <w:shd w:val="clear" w:color="auto" w:fill="C6EFCE"/>
            <w:vAlign w:val="center"/>
          </w:tcPr>
          <w:p w14:paraId="151BAAAF" w14:textId="77777777" w:rsidR="00553430" w:rsidRDefault="00212577">
            <w:pPr>
              <w:pStyle w:val="P68B1DB1-Normal102"/>
              <w:spacing w:after="0" w:line="240" w:lineRule="auto"/>
              <w:jc w:val="center"/>
              <w:textAlignment w:val="baseline"/>
              <w:rPr>
                <w:noProof/>
              </w:rPr>
            </w:pPr>
            <w:r>
              <w:rPr>
                <w:noProof/>
              </w:rPr>
              <w:t>271</w:t>
            </w:r>
          </w:p>
        </w:tc>
        <w:tc>
          <w:tcPr>
            <w:tcW w:w="1639" w:type="dxa"/>
            <w:shd w:val="clear" w:color="auto" w:fill="C6EFCE"/>
            <w:vAlign w:val="center"/>
          </w:tcPr>
          <w:p w14:paraId="616FC214" w14:textId="77777777" w:rsidR="00553430" w:rsidRDefault="00212577">
            <w:pPr>
              <w:pStyle w:val="P68B1DB1-Normal102"/>
              <w:spacing w:after="0" w:line="240" w:lineRule="auto"/>
              <w:jc w:val="center"/>
              <w:textAlignment w:val="baseline"/>
              <w:rPr>
                <w:noProof/>
              </w:rPr>
            </w:pPr>
            <w:r>
              <w:rPr>
                <w:noProof/>
              </w:rPr>
              <w:t>C3.1. R1-I2</w:t>
            </w:r>
          </w:p>
        </w:tc>
        <w:tc>
          <w:tcPr>
            <w:tcW w:w="1274" w:type="dxa"/>
            <w:shd w:val="clear" w:color="auto" w:fill="C6EFCE"/>
            <w:vAlign w:val="center"/>
          </w:tcPr>
          <w:p w14:paraId="1775768C"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051A750" w14:textId="77777777" w:rsidR="00553430" w:rsidRDefault="00212577">
            <w:pPr>
              <w:pStyle w:val="P68B1DB1-Normal102"/>
              <w:spacing w:after="0" w:line="240" w:lineRule="auto"/>
              <w:textAlignment w:val="baseline"/>
              <w:rPr>
                <w:noProof/>
              </w:rPr>
            </w:pPr>
            <w:r>
              <w:rPr>
                <w:noProof/>
              </w:rPr>
              <w:t xml:space="preserve">Nombre de salles de classe d ' écoles primaires construites ou reconstruites </w:t>
            </w:r>
          </w:p>
        </w:tc>
      </w:tr>
      <w:tr w:rsidR="00553430" w14:paraId="0BABD441" w14:textId="77777777">
        <w:trPr>
          <w:trHeight w:val="51"/>
        </w:trPr>
        <w:tc>
          <w:tcPr>
            <w:tcW w:w="1096" w:type="dxa"/>
            <w:shd w:val="clear" w:color="auto" w:fill="C6EFCE"/>
            <w:vAlign w:val="center"/>
          </w:tcPr>
          <w:p w14:paraId="4FA62309" w14:textId="77777777" w:rsidR="00553430" w:rsidRDefault="00212577">
            <w:pPr>
              <w:pStyle w:val="P68B1DB1-Normal102"/>
              <w:spacing w:after="0" w:line="240" w:lineRule="auto"/>
              <w:jc w:val="center"/>
              <w:textAlignment w:val="baseline"/>
              <w:rPr>
                <w:noProof/>
              </w:rPr>
            </w:pPr>
            <w:r>
              <w:rPr>
                <w:noProof/>
              </w:rPr>
              <w:t>274</w:t>
            </w:r>
          </w:p>
        </w:tc>
        <w:tc>
          <w:tcPr>
            <w:tcW w:w="1639" w:type="dxa"/>
            <w:shd w:val="clear" w:color="auto" w:fill="C6EFCE"/>
            <w:vAlign w:val="center"/>
          </w:tcPr>
          <w:p w14:paraId="339AF247" w14:textId="77777777" w:rsidR="00553430" w:rsidRDefault="00212577">
            <w:pPr>
              <w:pStyle w:val="P68B1DB1-Normal102"/>
              <w:spacing w:after="0" w:line="240" w:lineRule="auto"/>
              <w:jc w:val="center"/>
              <w:textAlignment w:val="baseline"/>
              <w:rPr>
                <w:noProof/>
              </w:rPr>
            </w:pPr>
            <w:r>
              <w:rPr>
                <w:noProof/>
              </w:rPr>
              <w:t>C3.1. R2-I1</w:t>
            </w:r>
          </w:p>
        </w:tc>
        <w:tc>
          <w:tcPr>
            <w:tcW w:w="1274" w:type="dxa"/>
            <w:shd w:val="clear" w:color="auto" w:fill="C6EFCE"/>
            <w:vAlign w:val="center"/>
          </w:tcPr>
          <w:p w14:paraId="5A4D57BF"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42C1EF0" w14:textId="77777777" w:rsidR="00553430" w:rsidRDefault="00212577">
            <w:pPr>
              <w:pStyle w:val="P68B1DB1-Normal102"/>
              <w:spacing w:after="0" w:line="240" w:lineRule="auto"/>
              <w:textAlignment w:val="baseline"/>
              <w:rPr>
                <w:noProof/>
              </w:rPr>
            </w:pPr>
            <w:r>
              <w:rPr>
                <w:noProof/>
              </w:rPr>
              <w:t xml:space="preserve">Infrastructures et équipements numériques fournis aux établissements publics d’enseignement supérieur </w:t>
            </w:r>
          </w:p>
        </w:tc>
      </w:tr>
      <w:tr w:rsidR="00553430" w14:paraId="3F4F37D0" w14:textId="77777777">
        <w:trPr>
          <w:trHeight w:val="51"/>
        </w:trPr>
        <w:tc>
          <w:tcPr>
            <w:tcW w:w="1096" w:type="dxa"/>
            <w:shd w:val="clear" w:color="auto" w:fill="C6EFCE"/>
            <w:vAlign w:val="center"/>
          </w:tcPr>
          <w:p w14:paraId="59FA66C7" w14:textId="77777777" w:rsidR="00553430" w:rsidRDefault="00212577">
            <w:pPr>
              <w:pStyle w:val="P68B1DB1-Normal102"/>
              <w:spacing w:after="0" w:line="240" w:lineRule="auto"/>
              <w:jc w:val="center"/>
              <w:textAlignment w:val="baseline"/>
              <w:rPr>
                <w:noProof/>
              </w:rPr>
            </w:pPr>
            <w:r>
              <w:rPr>
                <w:noProof/>
              </w:rPr>
              <w:t>278</w:t>
            </w:r>
          </w:p>
        </w:tc>
        <w:tc>
          <w:tcPr>
            <w:tcW w:w="1639" w:type="dxa"/>
            <w:shd w:val="clear" w:color="auto" w:fill="C6EFCE"/>
            <w:vAlign w:val="center"/>
          </w:tcPr>
          <w:p w14:paraId="7645BDBA" w14:textId="77777777" w:rsidR="00553430" w:rsidRDefault="00212577">
            <w:pPr>
              <w:pStyle w:val="P68B1DB1-Normal102"/>
              <w:spacing w:after="0" w:line="240" w:lineRule="auto"/>
              <w:jc w:val="center"/>
              <w:textAlignment w:val="baseline"/>
              <w:rPr>
                <w:noProof/>
              </w:rPr>
            </w:pPr>
            <w:r>
              <w:rPr>
                <w:noProof/>
              </w:rPr>
              <w:t>C3.2. R1-I1</w:t>
            </w:r>
          </w:p>
        </w:tc>
        <w:tc>
          <w:tcPr>
            <w:tcW w:w="1274" w:type="dxa"/>
            <w:shd w:val="clear" w:color="auto" w:fill="C6EFCE"/>
            <w:vAlign w:val="center"/>
          </w:tcPr>
          <w:p w14:paraId="6C8C75D0"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390A678" w14:textId="77777777" w:rsidR="00553430" w:rsidRDefault="00212577">
            <w:pPr>
              <w:pStyle w:val="P68B1DB1-Normal102"/>
              <w:spacing w:after="0" w:line="240" w:lineRule="auto"/>
              <w:textAlignment w:val="baseline"/>
              <w:rPr>
                <w:noProof/>
              </w:rPr>
            </w:pPr>
            <w:r>
              <w:rPr>
                <w:noProof/>
              </w:rPr>
              <w:t>Projets de recherche achevés, dans le domaine «vert», par des organisations scientifiques ayant signé de nouveaux accords de programme</w:t>
            </w:r>
          </w:p>
        </w:tc>
      </w:tr>
      <w:tr w:rsidR="00553430" w14:paraId="48BE5D51" w14:textId="77777777">
        <w:trPr>
          <w:trHeight w:val="51"/>
        </w:trPr>
        <w:tc>
          <w:tcPr>
            <w:tcW w:w="1096" w:type="dxa"/>
            <w:shd w:val="clear" w:color="auto" w:fill="C6EFCE"/>
            <w:vAlign w:val="center"/>
          </w:tcPr>
          <w:p w14:paraId="5D1D07D1" w14:textId="77777777" w:rsidR="00553430" w:rsidRDefault="00212577">
            <w:pPr>
              <w:pStyle w:val="P68B1DB1-Normal102"/>
              <w:spacing w:after="0" w:line="240" w:lineRule="auto"/>
              <w:jc w:val="center"/>
              <w:textAlignment w:val="baseline"/>
              <w:rPr>
                <w:noProof/>
              </w:rPr>
            </w:pPr>
            <w:r>
              <w:rPr>
                <w:noProof/>
              </w:rPr>
              <w:t>279</w:t>
            </w:r>
          </w:p>
        </w:tc>
        <w:tc>
          <w:tcPr>
            <w:tcW w:w="1639" w:type="dxa"/>
            <w:shd w:val="clear" w:color="auto" w:fill="C6EFCE"/>
            <w:vAlign w:val="center"/>
          </w:tcPr>
          <w:p w14:paraId="3DC1D449" w14:textId="77777777" w:rsidR="00553430" w:rsidRDefault="00212577">
            <w:pPr>
              <w:pStyle w:val="P68B1DB1-Normal102"/>
              <w:spacing w:after="0" w:line="240" w:lineRule="auto"/>
              <w:jc w:val="center"/>
              <w:textAlignment w:val="baseline"/>
              <w:rPr>
                <w:noProof/>
              </w:rPr>
            </w:pPr>
            <w:r>
              <w:rPr>
                <w:noProof/>
              </w:rPr>
              <w:t>C3.2. R1-I1</w:t>
            </w:r>
          </w:p>
        </w:tc>
        <w:tc>
          <w:tcPr>
            <w:tcW w:w="1274" w:type="dxa"/>
            <w:shd w:val="clear" w:color="auto" w:fill="C6EFCE"/>
            <w:vAlign w:val="center"/>
          </w:tcPr>
          <w:p w14:paraId="4FF9DBEC"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F76B9B0" w14:textId="12A1060F" w:rsidR="00553430" w:rsidRDefault="00212577">
            <w:pPr>
              <w:pStyle w:val="P68B1DB1-Normal102"/>
              <w:spacing w:after="0" w:line="240" w:lineRule="auto"/>
              <w:textAlignment w:val="baseline"/>
              <w:rPr>
                <w:noProof/>
              </w:rPr>
            </w:pPr>
            <w:r>
              <w:rPr>
                <w:noProof/>
              </w:rPr>
              <w:t>Financement alloué à des projets de recherche sur la base d'appels internes d'organismes de recherche</w:t>
            </w:r>
          </w:p>
        </w:tc>
      </w:tr>
      <w:tr w:rsidR="00553430" w14:paraId="7C31C208" w14:textId="77777777">
        <w:trPr>
          <w:trHeight w:val="51"/>
        </w:trPr>
        <w:tc>
          <w:tcPr>
            <w:tcW w:w="1096" w:type="dxa"/>
            <w:shd w:val="clear" w:color="auto" w:fill="C6EFCE"/>
            <w:vAlign w:val="center"/>
          </w:tcPr>
          <w:p w14:paraId="4A0ED819" w14:textId="77777777" w:rsidR="00553430" w:rsidRDefault="00212577">
            <w:pPr>
              <w:pStyle w:val="P68B1DB1-Normal102"/>
              <w:spacing w:after="0" w:line="240" w:lineRule="auto"/>
              <w:jc w:val="center"/>
              <w:textAlignment w:val="baseline"/>
              <w:rPr>
                <w:noProof/>
              </w:rPr>
            </w:pPr>
            <w:r>
              <w:rPr>
                <w:noProof/>
              </w:rPr>
              <w:t>280</w:t>
            </w:r>
          </w:p>
        </w:tc>
        <w:tc>
          <w:tcPr>
            <w:tcW w:w="1639" w:type="dxa"/>
            <w:shd w:val="clear" w:color="auto" w:fill="C6EFCE"/>
            <w:vAlign w:val="center"/>
          </w:tcPr>
          <w:p w14:paraId="36851199" w14:textId="77777777" w:rsidR="00553430" w:rsidRDefault="00212577">
            <w:pPr>
              <w:pStyle w:val="P68B1DB1-Normal102"/>
              <w:spacing w:after="0" w:line="240" w:lineRule="auto"/>
              <w:jc w:val="center"/>
              <w:textAlignment w:val="baseline"/>
              <w:rPr>
                <w:noProof/>
              </w:rPr>
            </w:pPr>
            <w:r>
              <w:rPr>
                <w:noProof/>
              </w:rPr>
              <w:t>C3.2. R1-I1</w:t>
            </w:r>
          </w:p>
        </w:tc>
        <w:tc>
          <w:tcPr>
            <w:tcW w:w="1274" w:type="dxa"/>
            <w:shd w:val="clear" w:color="auto" w:fill="C6EFCE"/>
            <w:vAlign w:val="center"/>
          </w:tcPr>
          <w:p w14:paraId="2A00DE3E"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E5ACB2F" w14:textId="77777777" w:rsidR="00553430" w:rsidRDefault="00212577">
            <w:pPr>
              <w:pStyle w:val="P68B1DB1-Normal102"/>
              <w:spacing w:after="0" w:line="240" w:lineRule="auto"/>
              <w:textAlignment w:val="baseline"/>
              <w:rPr>
                <w:noProof/>
              </w:rPr>
            </w:pPr>
            <w:r>
              <w:rPr>
                <w:noProof/>
              </w:rPr>
              <w:t>Réorganisation des établissements d'enseignement supérieur et des instituts scientifiques</w:t>
            </w:r>
          </w:p>
        </w:tc>
      </w:tr>
      <w:tr w:rsidR="00553430" w14:paraId="593EC499" w14:textId="77777777">
        <w:trPr>
          <w:trHeight w:val="51"/>
        </w:trPr>
        <w:tc>
          <w:tcPr>
            <w:tcW w:w="1096" w:type="dxa"/>
            <w:shd w:val="clear" w:color="auto" w:fill="C6EFCE"/>
            <w:vAlign w:val="center"/>
          </w:tcPr>
          <w:p w14:paraId="1BEDA5C5" w14:textId="77777777" w:rsidR="00553430" w:rsidRDefault="00212577">
            <w:pPr>
              <w:pStyle w:val="P68B1DB1-Normal102"/>
              <w:spacing w:after="0" w:line="240" w:lineRule="auto"/>
              <w:jc w:val="center"/>
              <w:textAlignment w:val="baseline"/>
              <w:rPr>
                <w:noProof/>
              </w:rPr>
            </w:pPr>
            <w:r>
              <w:rPr>
                <w:noProof/>
              </w:rPr>
              <w:t>283</w:t>
            </w:r>
          </w:p>
        </w:tc>
        <w:tc>
          <w:tcPr>
            <w:tcW w:w="1639" w:type="dxa"/>
            <w:shd w:val="clear" w:color="auto" w:fill="C6EFCE"/>
            <w:vAlign w:val="center"/>
          </w:tcPr>
          <w:p w14:paraId="06FD2999" w14:textId="77777777" w:rsidR="00553430" w:rsidRDefault="00212577">
            <w:pPr>
              <w:pStyle w:val="P68B1DB1-Normal102"/>
              <w:spacing w:after="0" w:line="240" w:lineRule="auto"/>
              <w:jc w:val="center"/>
              <w:textAlignment w:val="baseline"/>
              <w:rPr>
                <w:noProof/>
              </w:rPr>
            </w:pPr>
            <w:r>
              <w:rPr>
                <w:noProof/>
              </w:rPr>
              <w:t>C3.2. R2-I2</w:t>
            </w:r>
          </w:p>
        </w:tc>
        <w:tc>
          <w:tcPr>
            <w:tcW w:w="1274" w:type="dxa"/>
            <w:shd w:val="clear" w:color="auto" w:fill="C6EFCE"/>
            <w:vAlign w:val="center"/>
          </w:tcPr>
          <w:p w14:paraId="39317A72"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A33332B" w14:textId="23F5AF4E" w:rsidR="00553430" w:rsidRDefault="00212577">
            <w:pPr>
              <w:pStyle w:val="P68B1DB1-Normal102"/>
              <w:spacing w:after="0" w:line="240" w:lineRule="auto"/>
              <w:textAlignment w:val="baseline"/>
              <w:rPr>
                <w:noProof/>
              </w:rPr>
            </w:pPr>
            <w:r>
              <w:rPr>
                <w:noProof/>
              </w:rPr>
              <w:t>Projets d'infrastructure pour la recherche appliquée et ciblée</w:t>
            </w:r>
          </w:p>
        </w:tc>
      </w:tr>
      <w:tr w:rsidR="00553430" w14:paraId="4F63FA6D" w14:textId="77777777">
        <w:trPr>
          <w:trHeight w:val="51"/>
        </w:trPr>
        <w:tc>
          <w:tcPr>
            <w:tcW w:w="1096" w:type="dxa"/>
            <w:shd w:val="clear" w:color="auto" w:fill="C6EFCE"/>
            <w:vAlign w:val="center"/>
          </w:tcPr>
          <w:p w14:paraId="58090277" w14:textId="77777777" w:rsidR="00553430" w:rsidRDefault="00212577">
            <w:pPr>
              <w:pStyle w:val="P68B1DB1-Normal102"/>
              <w:spacing w:after="0" w:line="240" w:lineRule="auto"/>
              <w:jc w:val="center"/>
              <w:textAlignment w:val="baseline"/>
              <w:rPr>
                <w:noProof/>
              </w:rPr>
            </w:pPr>
            <w:r>
              <w:rPr>
                <w:noProof/>
              </w:rPr>
              <w:t>285</w:t>
            </w:r>
          </w:p>
        </w:tc>
        <w:tc>
          <w:tcPr>
            <w:tcW w:w="1639" w:type="dxa"/>
            <w:shd w:val="clear" w:color="auto" w:fill="C6EFCE"/>
            <w:vAlign w:val="center"/>
          </w:tcPr>
          <w:p w14:paraId="6CB063BF" w14:textId="77777777" w:rsidR="00553430" w:rsidRDefault="00212577">
            <w:pPr>
              <w:pStyle w:val="P68B1DB1-Normal102"/>
              <w:spacing w:after="0" w:line="240" w:lineRule="auto"/>
              <w:jc w:val="center"/>
              <w:textAlignment w:val="baseline"/>
              <w:rPr>
                <w:noProof/>
              </w:rPr>
            </w:pPr>
            <w:r>
              <w:rPr>
                <w:noProof/>
              </w:rPr>
              <w:t>C3.2. R3-I1</w:t>
            </w:r>
          </w:p>
        </w:tc>
        <w:tc>
          <w:tcPr>
            <w:tcW w:w="1274" w:type="dxa"/>
            <w:shd w:val="clear" w:color="auto" w:fill="C6EFCE"/>
            <w:vAlign w:val="center"/>
          </w:tcPr>
          <w:p w14:paraId="45EF9265"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2CFF7D9" w14:textId="77777777" w:rsidR="00553430" w:rsidRDefault="00212577">
            <w:pPr>
              <w:pStyle w:val="P68B1DB1-Normal102"/>
              <w:spacing w:after="0" w:line="240" w:lineRule="auto"/>
              <w:textAlignment w:val="baseline"/>
              <w:rPr>
                <w:noProof/>
              </w:rPr>
            </w:pPr>
            <w:r>
              <w:rPr>
                <w:noProof/>
              </w:rPr>
              <w:t>Subventions octroyées dans le cadre d’un «programme pilote» soutenant la mise en place d’un cadre de R &amp; D &amp; I réformé.</w:t>
            </w:r>
          </w:p>
        </w:tc>
      </w:tr>
      <w:tr w:rsidR="00553430" w14:paraId="1039ED34" w14:textId="77777777">
        <w:trPr>
          <w:trHeight w:val="51"/>
        </w:trPr>
        <w:tc>
          <w:tcPr>
            <w:tcW w:w="1096" w:type="dxa"/>
            <w:shd w:val="clear" w:color="auto" w:fill="C6EFCE"/>
            <w:vAlign w:val="center"/>
          </w:tcPr>
          <w:p w14:paraId="498B0316" w14:textId="77777777" w:rsidR="00553430" w:rsidRDefault="00212577">
            <w:pPr>
              <w:pStyle w:val="P68B1DB1-Normal102"/>
              <w:spacing w:after="0" w:line="240" w:lineRule="auto"/>
              <w:jc w:val="center"/>
              <w:textAlignment w:val="baseline"/>
              <w:rPr>
                <w:noProof/>
              </w:rPr>
            </w:pPr>
            <w:r>
              <w:rPr>
                <w:noProof/>
              </w:rPr>
              <w:t>287</w:t>
            </w:r>
          </w:p>
        </w:tc>
        <w:tc>
          <w:tcPr>
            <w:tcW w:w="1639" w:type="dxa"/>
            <w:shd w:val="clear" w:color="auto" w:fill="C6EFCE"/>
            <w:vAlign w:val="center"/>
          </w:tcPr>
          <w:p w14:paraId="75023483" w14:textId="77777777" w:rsidR="00553430" w:rsidRDefault="00212577">
            <w:pPr>
              <w:pStyle w:val="P68B1DB1-Normal102"/>
              <w:spacing w:after="0" w:line="240" w:lineRule="auto"/>
              <w:jc w:val="center"/>
              <w:textAlignment w:val="baseline"/>
              <w:rPr>
                <w:noProof/>
              </w:rPr>
            </w:pPr>
            <w:r>
              <w:rPr>
                <w:noProof/>
              </w:rPr>
              <w:t>C4.1. R1</w:t>
            </w:r>
          </w:p>
        </w:tc>
        <w:tc>
          <w:tcPr>
            <w:tcW w:w="1274" w:type="dxa"/>
            <w:shd w:val="clear" w:color="auto" w:fill="C6EFCE"/>
            <w:vAlign w:val="center"/>
          </w:tcPr>
          <w:p w14:paraId="70A57767"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6E2A754" w14:textId="77777777" w:rsidR="00553430" w:rsidRDefault="00212577">
            <w:pPr>
              <w:pStyle w:val="P68B1DB1-Normal102"/>
              <w:spacing w:after="0" w:line="240" w:lineRule="auto"/>
              <w:textAlignment w:val="baseline"/>
              <w:rPr>
                <w:noProof/>
              </w:rPr>
            </w:pPr>
            <w:r>
              <w:rPr>
                <w:noProof/>
              </w:rPr>
              <w:t xml:space="preserve">Nombre de bénéficiaires des nouvelles </w:t>
            </w:r>
            <w:r>
              <w:rPr>
                <w:noProof/>
              </w:rPr>
              <w:t>mesures actives du marché du travail</w:t>
            </w:r>
          </w:p>
        </w:tc>
      </w:tr>
      <w:tr w:rsidR="00553430" w14:paraId="0C071DF6" w14:textId="77777777">
        <w:trPr>
          <w:trHeight w:val="51"/>
        </w:trPr>
        <w:tc>
          <w:tcPr>
            <w:tcW w:w="1096" w:type="dxa"/>
            <w:shd w:val="clear" w:color="auto" w:fill="C6EFCE"/>
            <w:vAlign w:val="center"/>
          </w:tcPr>
          <w:p w14:paraId="194D9366" w14:textId="77777777" w:rsidR="00553430" w:rsidRDefault="00212577">
            <w:pPr>
              <w:pStyle w:val="P68B1DB1-Normal102"/>
              <w:spacing w:after="0" w:line="240" w:lineRule="auto"/>
              <w:jc w:val="center"/>
              <w:textAlignment w:val="baseline"/>
              <w:rPr>
                <w:noProof/>
              </w:rPr>
            </w:pPr>
            <w:r>
              <w:rPr>
                <w:noProof/>
              </w:rPr>
              <w:t>292</w:t>
            </w:r>
          </w:p>
        </w:tc>
        <w:tc>
          <w:tcPr>
            <w:tcW w:w="1639" w:type="dxa"/>
            <w:shd w:val="clear" w:color="auto" w:fill="C6EFCE"/>
            <w:vAlign w:val="center"/>
          </w:tcPr>
          <w:p w14:paraId="501C69AD" w14:textId="77777777" w:rsidR="00553430" w:rsidRDefault="00212577">
            <w:pPr>
              <w:pStyle w:val="P68B1DB1-Normal102"/>
              <w:spacing w:after="0" w:line="240" w:lineRule="auto"/>
              <w:jc w:val="center"/>
              <w:textAlignment w:val="baseline"/>
              <w:rPr>
                <w:noProof/>
              </w:rPr>
            </w:pPr>
            <w:r>
              <w:rPr>
                <w:noProof/>
              </w:rPr>
              <w:t>C4.1. R3-I1</w:t>
            </w:r>
          </w:p>
        </w:tc>
        <w:tc>
          <w:tcPr>
            <w:tcW w:w="1274" w:type="dxa"/>
            <w:shd w:val="clear" w:color="auto" w:fill="C6EFCE"/>
            <w:vAlign w:val="center"/>
          </w:tcPr>
          <w:p w14:paraId="6D0EDF79"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EA005B0" w14:textId="77777777" w:rsidR="00553430" w:rsidRDefault="00212577">
            <w:pPr>
              <w:pStyle w:val="P68B1DB1-Normal102"/>
              <w:spacing w:after="0" w:line="240" w:lineRule="auto"/>
              <w:textAlignment w:val="baseline"/>
              <w:rPr>
                <w:noProof/>
              </w:rPr>
            </w:pPr>
            <w:r>
              <w:rPr>
                <w:noProof/>
              </w:rPr>
              <w:t>Utilisation des chèques-études</w:t>
            </w:r>
          </w:p>
        </w:tc>
      </w:tr>
      <w:tr w:rsidR="00553430" w14:paraId="72F0D2A6" w14:textId="77777777">
        <w:trPr>
          <w:trHeight w:val="51"/>
        </w:trPr>
        <w:tc>
          <w:tcPr>
            <w:tcW w:w="1096" w:type="dxa"/>
            <w:shd w:val="clear" w:color="auto" w:fill="C6EFCE"/>
            <w:vAlign w:val="center"/>
          </w:tcPr>
          <w:p w14:paraId="081524F0" w14:textId="77777777" w:rsidR="00553430" w:rsidRDefault="00212577">
            <w:pPr>
              <w:pStyle w:val="P68B1DB1-Normal102"/>
              <w:spacing w:after="0" w:line="240" w:lineRule="auto"/>
              <w:jc w:val="center"/>
              <w:textAlignment w:val="baseline"/>
              <w:rPr>
                <w:noProof/>
              </w:rPr>
            </w:pPr>
            <w:r>
              <w:rPr>
                <w:noProof/>
              </w:rPr>
              <w:t>300</w:t>
            </w:r>
          </w:p>
        </w:tc>
        <w:tc>
          <w:tcPr>
            <w:tcW w:w="1639" w:type="dxa"/>
            <w:shd w:val="clear" w:color="auto" w:fill="C6EFCE"/>
            <w:vAlign w:val="center"/>
          </w:tcPr>
          <w:p w14:paraId="2E36B200" w14:textId="77777777" w:rsidR="00553430" w:rsidRDefault="00212577">
            <w:pPr>
              <w:pStyle w:val="P68B1DB1-Normal102"/>
              <w:spacing w:after="0" w:line="240" w:lineRule="auto"/>
              <w:jc w:val="center"/>
              <w:textAlignment w:val="baseline"/>
              <w:rPr>
                <w:noProof/>
              </w:rPr>
            </w:pPr>
            <w:r>
              <w:rPr>
                <w:noProof/>
              </w:rPr>
              <w:t>C4.2. R1</w:t>
            </w:r>
          </w:p>
        </w:tc>
        <w:tc>
          <w:tcPr>
            <w:tcW w:w="1274" w:type="dxa"/>
            <w:shd w:val="clear" w:color="auto" w:fill="C6EFCE"/>
            <w:vAlign w:val="center"/>
          </w:tcPr>
          <w:p w14:paraId="0357874A"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4FEDDAD4" w14:textId="77777777" w:rsidR="00553430" w:rsidRDefault="00212577">
            <w:pPr>
              <w:pStyle w:val="P68B1DB1-Normal102"/>
              <w:spacing w:after="0" w:line="240" w:lineRule="auto"/>
              <w:textAlignment w:val="baseline"/>
              <w:rPr>
                <w:noProof/>
              </w:rPr>
            </w:pPr>
            <w:r>
              <w:rPr>
                <w:noProof/>
              </w:rPr>
              <w:t>Adoption de modifications à la Loi sur l'assurance-pension</w:t>
            </w:r>
          </w:p>
        </w:tc>
      </w:tr>
      <w:tr w:rsidR="00553430" w14:paraId="7FB709FB" w14:textId="77777777">
        <w:trPr>
          <w:trHeight w:val="51"/>
        </w:trPr>
        <w:tc>
          <w:tcPr>
            <w:tcW w:w="1096" w:type="dxa"/>
            <w:shd w:val="clear" w:color="auto" w:fill="C6EFCE"/>
            <w:vAlign w:val="center"/>
          </w:tcPr>
          <w:p w14:paraId="1BCE3021" w14:textId="77777777" w:rsidR="00553430" w:rsidRDefault="00212577">
            <w:pPr>
              <w:pStyle w:val="P68B1DB1-Normal102"/>
              <w:spacing w:after="0" w:line="240" w:lineRule="auto"/>
              <w:jc w:val="center"/>
              <w:textAlignment w:val="baseline"/>
              <w:rPr>
                <w:noProof/>
              </w:rPr>
            </w:pPr>
            <w:r>
              <w:rPr>
                <w:noProof/>
              </w:rPr>
              <w:t>304</w:t>
            </w:r>
          </w:p>
        </w:tc>
        <w:tc>
          <w:tcPr>
            <w:tcW w:w="1639" w:type="dxa"/>
            <w:shd w:val="clear" w:color="auto" w:fill="C6EFCE"/>
            <w:vAlign w:val="center"/>
          </w:tcPr>
          <w:p w14:paraId="50192559" w14:textId="77777777" w:rsidR="00553430" w:rsidRDefault="00212577">
            <w:pPr>
              <w:pStyle w:val="P68B1DB1-Normal102"/>
              <w:spacing w:after="0" w:line="240" w:lineRule="auto"/>
              <w:jc w:val="center"/>
              <w:textAlignment w:val="baseline"/>
              <w:rPr>
                <w:noProof/>
              </w:rPr>
            </w:pPr>
            <w:r>
              <w:rPr>
                <w:noProof/>
              </w:rPr>
              <w:t>C4.3. R1</w:t>
            </w:r>
          </w:p>
        </w:tc>
        <w:tc>
          <w:tcPr>
            <w:tcW w:w="1274" w:type="dxa"/>
            <w:shd w:val="clear" w:color="auto" w:fill="C6EFCE"/>
            <w:vAlign w:val="center"/>
          </w:tcPr>
          <w:p w14:paraId="6FBAAC7C"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777F320" w14:textId="77777777" w:rsidR="00553430" w:rsidRDefault="00212577">
            <w:pPr>
              <w:pStyle w:val="P68B1DB1-Normal89"/>
              <w:spacing w:after="0" w:line="240" w:lineRule="auto"/>
              <w:textAlignment w:val="baseline"/>
              <w:rPr>
                <w:noProof/>
                <w:color w:val="000000"/>
              </w:rPr>
            </w:pPr>
            <w:r>
              <w:rPr>
                <w:noProof/>
                <w:color w:val="000000"/>
              </w:rPr>
              <w:t>Bénéficiaires de la prestation minimale garantie</w:t>
            </w:r>
            <w:r>
              <w:rPr>
                <w:noProof/>
              </w:rPr>
              <w:t xml:space="preserve"> </w:t>
            </w:r>
            <w:r>
              <w:rPr>
                <w:noProof/>
                <w:color w:val="000000"/>
              </w:rPr>
              <w:t xml:space="preserve">et de l’indemnisation </w:t>
            </w:r>
            <w:r>
              <w:rPr>
                <w:noProof/>
                <w:color w:val="000000"/>
              </w:rPr>
              <w:t>nationale des personnes âgées</w:t>
            </w:r>
          </w:p>
        </w:tc>
      </w:tr>
      <w:tr w:rsidR="00553430" w14:paraId="4CA13C4F" w14:textId="77777777">
        <w:trPr>
          <w:trHeight w:val="51"/>
        </w:trPr>
        <w:tc>
          <w:tcPr>
            <w:tcW w:w="1096" w:type="dxa"/>
            <w:shd w:val="clear" w:color="auto" w:fill="C6EFCE"/>
            <w:vAlign w:val="center"/>
          </w:tcPr>
          <w:p w14:paraId="2C06EFF3" w14:textId="77777777" w:rsidR="00553430" w:rsidRDefault="00212577">
            <w:pPr>
              <w:pStyle w:val="P68B1DB1-Normal102"/>
              <w:spacing w:after="0" w:line="240" w:lineRule="auto"/>
              <w:jc w:val="center"/>
              <w:textAlignment w:val="baseline"/>
              <w:rPr>
                <w:noProof/>
              </w:rPr>
            </w:pPr>
            <w:r>
              <w:rPr>
                <w:noProof/>
              </w:rPr>
              <w:t>307</w:t>
            </w:r>
          </w:p>
        </w:tc>
        <w:tc>
          <w:tcPr>
            <w:tcW w:w="1639" w:type="dxa"/>
            <w:shd w:val="clear" w:color="auto" w:fill="C6EFCE"/>
            <w:vAlign w:val="center"/>
          </w:tcPr>
          <w:p w14:paraId="21300A3B" w14:textId="77777777" w:rsidR="00553430" w:rsidRDefault="00212577">
            <w:pPr>
              <w:pStyle w:val="P68B1DB1-Normal102"/>
              <w:spacing w:after="0" w:line="240" w:lineRule="auto"/>
              <w:jc w:val="center"/>
              <w:textAlignment w:val="baseline"/>
              <w:rPr>
                <w:noProof/>
              </w:rPr>
            </w:pPr>
            <w:r>
              <w:rPr>
                <w:noProof/>
              </w:rPr>
              <w:t>C4.3. R1-I1</w:t>
            </w:r>
          </w:p>
        </w:tc>
        <w:tc>
          <w:tcPr>
            <w:tcW w:w="1274" w:type="dxa"/>
            <w:shd w:val="clear" w:color="auto" w:fill="C6EFCE"/>
            <w:vAlign w:val="center"/>
          </w:tcPr>
          <w:p w14:paraId="4B0541D0"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3BAB43D" w14:textId="77777777" w:rsidR="00553430" w:rsidRDefault="00212577">
            <w:pPr>
              <w:pStyle w:val="P68B1DB1-Normal102"/>
              <w:spacing w:after="0" w:line="240" w:lineRule="auto"/>
              <w:textAlignment w:val="baseline"/>
              <w:rPr>
                <w:noProof/>
              </w:rPr>
            </w:pPr>
            <w:r>
              <w:rPr>
                <w:noProof/>
              </w:rPr>
              <w:t>Accès des unités administratives locales aux données sur les prestations sociales pour chaque bénéficiaire individuel</w:t>
            </w:r>
          </w:p>
        </w:tc>
      </w:tr>
      <w:tr w:rsidR="00553430" w14:paraId="2DCE3911" w14:textId="77777777">
        <w:trPr>
          <w:trHeight w:val="51"/>
        </w:trPr>
        <w:tc>
          <w:tcPr>
            <w:tcW w:w="1096" w:type="dxa"/>
            <w:shd w:val="clear" w:color="auto" w:fill="C6EFCE"/>
            <w:vAlign w:val="center"/>
          </w:tcPr>
          <w:p w14:paraId="60938CB9" w14:textId="77777777" w:rsidR="00553430" w:rsidRDefault="00212577">
            <w:pPr>
              <w:pStyle w:val="P68B1DB1-Normal102"/>
              <w:spacing w:after="0" w:line="240" w:lineRule="auto"/>
              <w:jc w:val="center"/>
              <w:textAlignment w:val="baseline"/>
              <w:rPr>
                <w:noProof/>
              </w:rPr>
            </w:pPr>
            <w:r>
              <w:rPr>
                <w:noProof/>
              </w:rPr>
              <w:t>310</w:t>
            </w:r>
          </w:p>
        </w:tc>
        <w:tc>
          <w:tcPr>
            <w:tcW w:w="1639" w:type="dxa"/>
            <w:shd w:val="clear" w:color="auto" w:fill="C6EFCE"/>
            <w:vAlign w:val="center"/>
          </w:tcPr>
          <w:p w14:paraId="178A6FE0" w14:textId="77777777" w:rsidR="00553430" w:rsidRDefault="00212577">
            <w:pPr>
              <w:pStyle w:val="P68B1DB1-Normal102"/>
              <w:spacing w:after="0" w:line="240" w:lineRule="auto"/>
              <w:jc w:val="center"/>
              <w:textAlignment w:val="baseline"/>
              <w:rPr>
                <w:noProof/>
              </w:rPr>
            </w:pPr>
            <w:r>
              <w:rPr>
                <w:noProof/>
              </w:rPr>
              <w:t>C4.3. R2-I1</w:t>
            </w:r>
          </w:p>
        </w:tc>
        <w:tc>
          <w:tcPr>
            <w:tcW w:w="1274" w:type="dxa"/>
            <w:shd w:val="clear" w:color="auto" w:fill="C6EFCE"/>
            <w:vAlign w:val="center"/>
          </w:tcPr>
          <w:p w14:paraId="34F28F9C"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87C2618" w14:textId="77777777" w:rsidR="00553430" w:rsidRDefault="00212577">
            <w:pPr>
              <w:pStyle w:val="P68B1DB1-Normal102"/>
              <w:spacing w:after="0" w:line="240" w:lineRule="auto"/>
              <w:textAlignment w:val="baseline"/>
              <w:rPr>
                <w:noProof/>
              </w:rPr>
            </w:pPr>
            <w:r>
              <w:rPr>
                <w:noProof/>
              </w:rPr>
              <w:t>Emploi de professionnels du mentorat social</w:t>
            </w:r>
          </w:p>
        </w:tc>
      </w:tr>
      <w:tr w:rsidR="00553430" w14:paraId="24F69AD3" w14:textId="77777777">
        <w:trPr>
          <w:trHeight w:val="51"/>
        </w:trPr>
        <w:tc>
          <w:tcPr>
            <w:tcW w:w="1096" w:type="dxa"/>
            <w:shd w:val="clear" w:color="auto" w:fill="C6EFCE"/>
            <w:vAlign w:val="center"/>
          </w:tcPr>
          <w:p w14:paraId="5B700C8D" w14:textId="77777777" w:rsidR="00553430" w:rsidRDefault="00212577">
            <w:pPr>
              <w:pStyle w:val="P68B1DB1-Normal102"/>
              <w:spacing w:after="0" w:line="240" w:lineRule="auto"/>
              <w:jc w:val="center"/>
              <w:textAlignment w:val="baseline"/>
              <w:rPr>
                <w:noProof/>
              </w:rPr>
            </w:pPr>
            <w:r>
              <w:rPr>
                <w:noProof/>
              </w:rPr>
              <w:t>317</w:t>
            </w:r>
          </w:p>
        </w:tc>
        <w:tc>
          <w:tcPr>
            <w:tcW w:w="1639" w:type="dxa"/>
            <w:shd w:val="clear" w:color="auto" w:fill="C6EFCE"/>
            <w:vAlign w:val="center"/>
          </w:tcPr>
          <w:p w14:paraId="749E7315" w14:textId="77777777" w:rsidR="00553430" w:rsidRDefault="00212577">
            <w:pPr>
              <w:pStyle w:val="P68B1DB1-Normal102"/>
              <w:spacing w:after="0" w:line="240" w:lineRule="auto"/>
              <w:jc w:val="center"/>
              <w:textAlignment w:val="baseline"/>
              <w:rPr>
                <w:noProof/>
              </w:rPr>
            </w:pPr>
            <w:r>
              <w:rPr>
                <w:noProof/>
              </w:rPr>
              <w:t>C4.3. R3-I4</w:t>
            </w:r>
          </w:p>
        </w:tc>
        <w:tc>
          <w:tcPr>
            <w:tcW w:w="1274" w:type="dxa"/>
            <w:shd w:val="clear" w:color="auto" w:fill="C6EFCE"/>
            <w:vAlign w:val="center"/>
          </w:tcPr>
          <w:p w14:paraId="7DB1E21D"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C3C6B8C" w14:textId="77777777" w:rsidR="00553430" w:rsidRDefault="00212577">
            <w:pPr>
              <w:pStyle w:val="P68B1DB1-Normal102"/>
              <w:spacing w:after="0" w:line="240" w:lineRule="auto"/>
              <w:textAlignment w:val="baseline"/>
              <w:rPr>
                <w:noProof/>
              </w:rPr>
            </w:pPr>
            <w:r>
              <w:rPr>
                <w:noProof/>
              </w:rPr>
              <w:t>Construction de centres de soins institutionnels, à domicile et communautaires pour les personnes âgées</w:t>
            </w:r>
          </w:p>
        </w:tc>
      </w:tr>
      <w:tr w:rsidR="00553430" w14:paraId="73C300C7" w14:textId="77777777">
        <w:trPr>
          <w:trHeight w:val="51"/>
        </w:trPr>
        <w:tc>
          <w:tcPr>
            <w:tcW w:w="1096" w:type="dxa"/>
            <w:shd w:val="clear" w:color="auto" w:fill="C6EFCE"/>
            <w:vAlign w:val="center"/>
          </w:tcPr>
          <w:p w14:paraId="239E56A3" w14:textId="77777777" w:rsidR="00553430" w:rsidRDefault="00212577">
            <w:pPr>
              <w:pStyle w:val="P68B1DB1-Normal102"/>
              <w:spacing w:after="0" w:line="240" w:lineRule="auto"/>
              <w:jc w:val="center"/>
              <w:textAlignment w:val="baseline"/>
              <w:rPr>
                <w:noProof/>
              </w:rPr>
            </w:pPr>
            <w:r>
              <w:rPr>
                <w:noProof/>
              </w:rPr>
              <w:t>324</w:t>
            </w:r>
          </w:p>
        </w:tc>
        <w:tc>
          <w:tcPr>
            <w:tcW w:w="1639" w:type="dxa"/>
            <w:shd w:val="clear" w:color="auto" w:fill="C6EFCE"/>
            <w:vAlign w:val="center"/>
          </w:tcPr>
          <w:p w14:paraId="0C6E77B8" w14:textId="77777777" w:rsidR="00553430" w:rsidRDefault="00212577">
            <w:pPr>
              <w:pStyle w:val="P68B1DB1-Normal102"/>
              <w:spacing w:after="0" w:line="240" w:lineRule="auto"/>
              <w:jc w:val="center"/>
              <w:textAlignment w:val="baseline"/>
              <w:rPr>
                <w:noProof/>
              </w:rPr>
            </w:pPr>
            <w:r>
              <w:rPr>
                <w:noProof/>
              </w:rPr>
              <w:t>C5.1. R1-I5</w:t>
            </w:r>
          </w:p>
        </w:tc>
        <w:tc>
          <w:tcPr>
            <w:tcW w:w="1274" w:type="dxa"/>
            <w:shd w:val="clear" w:color="auto" w:fill="C6EFCE"/>
            <w:vAlign w:val="center"/>
          </w:tcPr>
          <w:p w14:paraId="04F392C8"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F52BA55" w14:textId="77777777" w:rsidR="00553430" w:rsidRDefault="00212577">
            <w:pPr>
              <w:pStyle w:val="P68B1DB1-Normal102"/>
              <w:spacing w:after="0" w:line="240" w:lineRule="auto"/>
              <w:textAlignment w:val="baseline"/>
              <w:rPr>
                <w:noProof/>
              </w:rPr>
            </w:pPr>
            <w:r>
              <w:rPr>
                <w:noProof/>
              </w:rPr>
              <w:t>Bâtiment central d'opération avec le contenu d'accompagnement de l'hôpital général de Varaždin</w:t>
            </w:r>
          </w:p>
        </w:tc>
      </w:tr>
      <w:tr w:rsidR="00553430" w14:paraId="0662CA6C" w14:textId="77777777">
        <w:trPr>
          <w:trHeight w:val="51"/>
        </w:trPr>
        <w:tc>
          <w:tcPr>
            <w:tcW w:w="1096" w:type="dxa"/>
            <w:shd w:val="clear" w:color="auto" w:fill="C6EFCE"/>
            <w:vAlign w:val="center"/>
          </w:tcPr>
          <w:p w14:paraId="1B01D173" w14:textId="77777777" w:rsidR="00553430" w:rsidRDefault="00212577">
            <w:pPr>
              <w:pStyle w:val="P68B1DB1-Normal102"/>
              <w:spacing w:after="0" w:line="240" w:lineRule="auto"/>
              <w:jc w:val="center"/>
              <w:textAlignment w:val="baseline"/>
              <w:rPr>
                <w:noProof/>
              </w:rPr>
            </w:pPr>
            <w:r>
              <w:rPr>
                <w:noProof/>
              </w:rPr>
              <w:t>328</w:t>
            </w:r>
          </w:p>
        </w:tc>
        <w:tc>
          <w:tcPr>
            <w:tcW w:w="1639" w:type="dxa"/>
            <w:shd w:val="clear" w:color="auto" w:fill="C6EFCE"/>
            <w:vAlign w:val="center"/>
          </w:tcPr>
          <w:p w14:paraId="2FCCE5B2" w14:textId="77777777" w:rsidR="00553430" w:rsidRDefault="00212577">
            <w:pPr>
              <w:pStyle w:val="P68B1DB1-Normal102"/>
              <w:spacing w:after="0" w:line="240" w:lineRule="auto"/>
              <w:jc w:val="center"/>
              <w:textAlignment w:val="baseline"/>
              <w:rPr>
                <w:noProof/>
              </w:rPr>
            </w:pPr>
            <w:r>
              <w:rPr>
                <w:noProof/>
              </w:rPr>
              <w:t>C5.1. R1-I9</w:t>
            </w:r>
          </w:p>
        </w:tc>
        <w:tc>
          <w:tcPr>
            <w:tcW w:w="1274" w:type="dxa"/>
            <w:shd w:val="clear" w:color="auto" w:fill="C6EFCE"/>
            <w:vAlign w:val="center"/>
          </w:tcPr>
          <w:p w14:paraId="6294AAFD"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7C709721" w14:textId="77777777" w:rsidR="00553430" w:rsidRDefault="00212577">
            <w:pPr>
              <w:pStyle w:val="P68B1DB1-Normal102"/>
              <w:spacing w:after="0" w:line="240" w:lineRule="auto"/>
              <w:textAlignment w:val="baseline"/>
              <w:rPr>
                <w:noProof/>
              </w:rPr>
            </w:pPr>
            <w:r>
              <w:rPr>
                <w:noProof/>
              </w:rPr>
              <w:t xml:space="preserve">Projet de </w:t>
            </w:r>
            <w:r>
              <w:rPr>
                <w:noProof/>
              </w:rPr>
              <w:t>développement du centre hospitalier clinique (KBC) Zagreb</w:t>
            </w:r>
          </w:p>
        </w:tc>
      </w:tr>
      <w:tr w:rsidR="00553430" w14:paraId="544BEA91" w14:textId="77777777">
        <w:trPr>
          <w:trHeight w:val="51"/>
        </w:trPr>
        <w:tc>
          <w:tcPr>
            <w:tcW w:w="1096" w:type="dxa"/>
            <w:shd w:val="clear" w:color="auto" w:fill="C6EFCE"/>
            <w:vAlign w:val="center"/>
          </w:tcPr>
          <w:p w14:paraId="16FC4769" w14:textId="77777777" w:rsidR="00553430" w:rsidRDefault="00212577">
            <w:pPr>
              <w:pStyle w:val="P68B1DB1-Normal102"/>
              <w:spacing w:after="0" w:line="240" w:lineRule="auto"/>
              <w:jc w:val="center"/>
              <w:textAlignment w:val="baseline"/>
              <w:rPr>
                <w:noProof/>
              </w:rPr>
            </w:pPr>
            <w:r>
              <w:rPr>
                <w:noProof/>
              </w:rPr>
              <w:t>329</w:t>
            </w:r>
          </w:p>
        </w:tc>
        <w:tc>
          <w:tcPr>
            <w:tcW w:w="1639" w:type="dxa"/>
            <w:shd w:val="clear" w:color="auto" w:fill="C6EFCE"/>
            <w:vAlign w:val="center"/>
          </w:tcPr>
          <w:p w14:paraId="674C4722" w14:textId="77777777" w:rsidR="00553430" w:rsidRDefault="00212577">
            <w:pPr>
              <w:pStyle w:val="P68B1DB1-Normal102"/>
              <w:spacing w:after="0" w:line="240" w:lineRule="auto"/>
              <w:jc w:val="center"/>
              <w:textAlignment w:val="baseline"/>
              <w:rPr>
                <w:noProof/>
              </w:rPr>
            </w:pPr>
            <w:r>
              <w:rPr>
                <w:noProof/>
              </w:rPr>
              <w:t>C5.1. R2</w:t>
            </w:r>
          </w:p>
        </w:tc>
        <w:tc>
          <w:tcPr>
            <w:tcW w:w="1274" w:type="dxa"/>
            <w:shd w:val="clear" w:color="auto" w:fill="C6EFCE"/>
            <w:vAlign w:val="center"/>
          </w:tcPr>
          <w:p w14:paraId="7451C1D5"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7F860A73" w14:textId="77777777" w:rsidR="00553430" w:rsidRDefault="00212577">
            <w:pPr>
              <w:pStyle w:val="P68B1DB1-Normal102"/>
              <w:spacing w:after="0" w:line="240" w:lineRule="auto"/>
              <w:textAlignment w:val="baseline"/>
              <w:rPr>
                <w:noProof/>
              </w:rPr>
            </w:pPr>
            <w:r>
              <w:rPr>
                <w:noProof/>
              </w:rPr>
              <w:t>Améliorer et harmoniser la qualité des soins de santé en élaborant des lignes directrices cliniques en ligne</w:t>
            </w:r>
          </w:p>
        </w:tc>
      </w:tr>
      <w:tr w:rsidR="00553430" w14:paraId="20833DAE" w14:textId="77777777">
        <w:trPr>
          <w:trHeight w:val="51"/>
        </w:trPr>
        <w:tc>
          <w:tcPr>
            <w:tcW w:w="1096" w:type="dxa"/>
            <w:shd w:val="clear" w:color="auto" w:fill="C6EFCE"/>
            <w:vAlign w:val="center"/>
          </w:tcPr>
          <w:p w14:paraId="7F72A233" w14:textId="77777777" w:rsidR="00553430" w:rsidRDefault="00212577">
            <w:pPr>
              <w:pStyle w:val="P68B1DB1-Normal102"/>
              <w:spacing w:after="0" w:line="240" w:lineRule="auto"/>
              <w:jc w:val="center"/>
              <w:textAlignment w:val="baseline"/>
              <w:rPr>
                <w:noProof/>
              </w:rPr>
            </w:pPr>
            <w:r>
              <w:rPr>
                <w:noProof/>
              </w:rPr>
              <w:t>331</w:t>
            </w:r>
          </w:p>
        </w:tc>
        <w:tc>
          <w:tcPr>
            <w:tcW w:w="1639" w:type="dxa"/>
            <w:shd w:val="clear" w:color="auto" w:fill="C6EFCE"/>
            <w:vAlign w:val="center"/>
          </w:tcPr>
          <w:p w14:paraId="6BC58373" w14:textId="77777777" w:rsidR="00553430" w:rsidRDefault="00212577">
            <w:pPr>
              <w:pStyle w:val="P68B1DB1-Normal102"/>
              <w:spacing w:after="0" w:line="240" w:lineRule="auto"/>
              <w:jc w:val="center"/>
              <w:textAlignment w:val="baseline"/>
              <w:rPr>
                <w:noProof/>
              </w:rPr>
            </w:pPr>
            <w:r>
              <w:rPr>
                <w:noProof/>
              </w:rPr>
              <w:t>C5.1. R2-I1</w:t>
            </w:r>
          </w:p>
        </w:tc>
        <w:tc>
          <w:tcPr>
            <w:tcW w:w="1274" w:type="dxa"/>
            <w:shd w:val="clear" w:color="auto" w:fill="C6EFCE"/>
            <w:vAlign w:val="center"/>
          </w:tcPr>
          <w:p w14:paraId="1350B59C"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A53EBA1" w14:textId="77777777" w:rsidR="00553430" w:rsidRDefault="00212577">
            <w:pPr>
              <w:pStyle w:val="P68B1DB1-Normal102"/>
              <w:spacing w:after="0" w:line="240" w:lineRule="auto"/>
              <w:textAlignment w:val="baseline"/>
              <w:rPr>
                <w:noProof/>
              </w:rPr>
            </w:pPr>
            <w:r>
              <w:rPr>
                <w:noProof/>
              </w:rPr>
              <w:t>Améliorer la qualité de la radiothérapie oncologique</w:t>
            </w:r>
          </w:p>
        </w:tc>
      </w:tr>
      <w:tr w:rsidR="00553430" w14:paraId="1C40E74C" w14:textId="77777777">
        <w:trPr>
          <w:trHeight w:val="51"/>
        </w:trPr>
        <w:tc>
          <w:tcPr>
            <w:tcW w:w="1096" w:type="dxa"/>
            <w:shd w:val="clear" w:color="auto" w:fill="C6EFCE"/>
            <w:vAlign w:val="center"/>
          </w:tcPr>
          <w:p w14:paraId="65E20CE8" w14:textId="77777777" w:rsidR="00553430" w:rsidRDefault="00212577">
            <w:pPr>
              <w:pStyle w:val="P68B1DB1-Normal102"/>
              <w:spacing w:after="0" w:line="240" w:lineRule="auto"/>
              <w:jc w:val="center"/>
              <w:textAlignment w:val="baseline"/>
              <w:rPr>
                <w:noProof/>
              </w:rPr>
            </w:pPr>
            <w:r>
              <w:rPr>
                <w:noProof/>
              </w:rPr>
              <w:t>332</w:t>
            </w:r>
          </w:p>
        </w:tc>
        <w:tc>
          <w:tcPr>
            <w:tcW w:w="1639" w:type="dxa"/>
            <w:shd w:val="clear" w:color="auto" w:fill="C6EFCE"/>
            <w:vAlign w:val="center"/>
          </w:tcPr>
          <w:p w14:paraId="2C16122C" w14:textId="77777777" w:rsidR="00553430" w:rsidRDefault="00212577">
            <w:pPr>
              <w:pStyle w:val="P68B1DB1-Normal102"/>
              <w:spacing w:after="0" w:line="240" w:lineRule="auto"/>
              <w:jc w:val="center"/>
              <w:textAlignment w:val="baseline"/>
              <w:rPr>
                <w:noProof/>
              </w:rPr>
            </w:pPr>
            <w:r>
              <w:rPr>
                <w:noProof/>
              </w:rPr>
              <w:t>C5.1. R2-I2</w:t>
            </w:r>
          </w:p>
        </w:tc>
        <w:tc>
          <w:tcPr>
            <w:tcW w:w="1274" w:type="dxa"/>
            <w:shd w:val="clear" w:color="auto" w:fill="C6EFCE"/>
            <w:vAlign w:val="center"/>
          </w:tcPr>
          <w:p w14:paraId="65C3FF6B"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B2A991E" w14:textId="17418DBD" w:rsidR="00553430" w:rsidRDefault="00212577">
            <w:pPr>
              <w:pStyle w:val="P68B1DB1-Normal102"/>
              <w:spacing w:after="0" w:line="240" w:lineRule="auto"/>
              <w:textAlignment w:val="baseline"/>
              <w:rPr>
                <w:noProof/>
              </w:rPr>
            </w:pPr>
            <w:r>
              <w:rPr>
                <w:noProof/>
              </w:rPr>
              <w:t>Plateforme informatique unique pour le suivi des patients oncologiques</w:t>
            </w:r>
          </w:p>
        </w:tc>
      </w:tr>
      <w:tr w:rsidR="00553430" w14:paraId="76E50B1B" w14:textId="77777777">
        <w:trPr>
          <w:trHeight w:val="51"/>
        </w:trPr>
        <w:tc>
          <w:tcPr>
            <w:tcW w:w="1096" w:type="dxa"/>
            <w:shd w:val="clear" w:color="auto" w:fill="C6EFCE"/>
            <w:vAlign w:val="center"/>
          </w:tcPr>
          <w:p w14:paraId="00F60875" w14:textId="77777777" w:rsidR="00553430" w:rsidRDefault="00212577">
            <w:pPr>
              <w:pStyle w:val="P68B1DB1-Normal102"/>
              <w:spacing w:after="0" w:line="240" w:lineRule="auto"/>
              <w:jc w:val="center"/>
              <w:textAlignment w:val="baseline"/>
              <w:rPr>
                <w:noProof/>
              </w:rPr>
            </w:pPr>
            <w:r>
              <w:rPr>
                <w:noProof/>
              </w:rPr>
              <w:t>334</w:t>
            </w:r>
          </w:p>
        </w:tc>
        <w:tc>
          <w:tcPr>
            <w:tcW w:w="1639" w:type="dxa"/>
            <w:shd w:val="clear" w:color="auto" w:fill="C6EFCE"/>
            <w:vAlign w:val="center"/>
          </w:tcPr>
          <w:p w14:paraId="79AF2CAB" w14:textId="77777777" w:rsidR="00553430" w:rsidRDefault="00212577">
            <w:pPr>
              <w:pStyle w:val="P68B1DB1-Normal102"/>
              <w:spacing w:after="0" w:line="240" w:lineRule="auto"/>
              <w:jc w:val="center"/>
              <w:textAlignment w:val="baseline"/>
              <w:rPr>
                <w:noProof/>
              </w:rPr>
            </w:pPr>
            <w:r>
              <w:rPr>
                <w:noProof/>
              </w:rPr>
              <w:t>C5.1. R3-I1</w:t>
            </w:r>
          </w:p>
        </w:tc>
        <w:tc>
          <w:tcPr>
            <w:tcW w:w="1274" w:type="dxa"/>
            <w:shd w:val="clear" w:color="auto" w:fill="C6EFCE"/>
            <w:vAlign w:val="center"/>
          </w:tcPr>
          <w:p w14:paraId="505196DB"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51522CD" w14:textId="77777777" w:rsidR="00553430" w:rsidRDefault="00212577">
            <w:pPr>
              <w:pStyle w:val="P68B1DB1-Normal102"/>
              <w:spacing w:after="0" w:line="240" w:lineRule="auto"/>
              <w:textAlignment w:val="baseline"/>
              <w:rPr>
                <w:noProof/>
              </w:rPr>
            </w:pPr>
            <w:r>
              <w:rPr>
                <w:noProof/>
              </w:rPr>
              <w:t>Formation médicale spécialisée au niveau de base primaire des soins de santé</w:t>
            </w:r>
          </w:p>
        </w:tc>
      </w:tr>
      <w:tr w:rsidR="00553430" w14:paraId="3AAF35D1" w14:textId="77777777">
        <w:trPr>
          <w:trHeight w:val="51"/>
        </w:trPr>
        <w:tc>
          <w:tcPr>
            <w:tcW w:w="1096" w:type="dxa"/>
            <w:shd w:val="clear" w:color="auto" w:fill="C6EFCE"/>
            <w:vAlign w:val="center"/>
          </w:tcPr>
          <w:p w14:paraId="4BE7F595" w14:textId="77777777" w:rsidR="00553430" w:rsidRDefault="00212577">
            <w:pPr>
              <w:pStyle w:val="P68B1DB1-Normal102"/>
              <w:spacing w:after="0" w:line="240" w:lineRule="auto"/>
              <w:jc w:val="center"/>
              <w:textAlignment w:val="baseline"/>
              <w:rPr>
                <w:noProof/>
              </w:rPr>
            </w:pPr>
            <w:r>
              <w:rPr>
                <w:noProof/>
              </w:rPr>
              <w:t>335</w:t>
            </w:r>
          </w:p>
        </w:tc>
        <w:tc>
          <w:tcPr>
            <w:tcW w:w="1639" w:type="dxa"/>
            <w:shd w:val="clear" w:color="auto" w:fill="C6EFCE"/>
            <w:vAlign w:val="center"/>
          </w:tcPr>
          <w:p w14:paraId="1CC528D4" w14:textId="77777777" w:rsidR="00553430" w:rsidRDefault="00212577">
            <w:pPr>
              <w:pStyle w:val="P68B1DB1-Normal102"/>
              <w:spacing w:after="0" w:line="240" w:lineRule="auto"/>
              <w:jc w:val="center"/>
              <w:textAlignment w:val="baseline"/>
              <w:rPr>
                <w:noProof/>
              </w:rPr>
            </w:pPr>
            <w:r>
              <w:rPr>
                <w:noProof/>
              </w:rPr>
              <w:t>C5.1. R3-I2</w:t>
            </w:r>
          </w:p>
        </w:tc>
        <w:tc>
          <w:tcPr>
            <w:tcW w:w="1274" w:type="dxa"/>
            <w:shd w:val="clear" w:color="auto" w:fill="C6EFCE"/>
            <w:vAlign w:val="center"/>
          </w:tcPr>
          <w:p w14:paraId="52BBFC5F"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0CD9A90" w14:textId="77777777" w:rsidR="00553430" w:rsidRDefault="00212577">
            <w:pPr>
              <w:pStyle w:val="P68B1DB1-Normal102"/>
              <w:spacing w:after="0" w:line="240" w:lineRule="auto"/>
              <w:textAlignment w:val="baseline"/>
              <w:rPr>
                <w:noProof/>
              </w:rPr>
            </w:pPr>
            <w:r>
              <w:rPr>
                <w:noProof/>
              </w:rPr>
              <w:t xml:space="preserve">Baccalauréat en formation de spécialiste en soins </w:t>
            </w:r>
            <w:r>
              <w:rPr>
                <w:noProof/>
              </w:rPr>
              <w:t>infirmiers en médecine d'urgence</w:t>
            </w:r>
          </w:p>
        </w:tc>
      </w:tr>
      <w:tr w:rsidR="00553430" w14:paraId="742509F9" w14:textId="77777777">
        <w:trPr>
          <w:trHeight w:val="51"/>
        </w:trPr>
        <w:tc>
          <w:tcPr>
            <w:tcW w:w="1096" w:type="dxa"/>
            <w:shd w:val="clear" w:color="auto" w:fill="C6EFCE"/>
            <w:vAlign w:val="center"/>
          </w:tcPr>
          <w:p w14:paraId="6EB072E8" w14:textId="77777777" w:rsidR="00553430" w:rsidRDefault="00212577">
            <w:pPr>
              <w:pStyle w:val="P68B1DB1-Normal102"/>
              <w:spacing w:after="0" w:line="240" w:lineRule="auto"/>
              <w:jc w:val="center"/>
              <w:textAlignment w:val="baseline"/>
              <w:rPr>
                <w:noProof/>
              </w:rPr>
            </w:pPr>
            <w:r>
              <w:rPr>
                <w:noProof/>
              </w:rPr>
              <w:t>340</w:t>
            </w:r>
          </w:p>
        </w:tc>
        <w:tc>
          <w:tcPr>
            <w:tcW w:w="1639" w:type="dxa"/>
            <w:shd w:val="clear" w:color="auto" w:fill="C6EFCE"/>
            <w:vAlign w:val="center"/>
          </w:tcPr>
          <w:p w14:paraId="02352246" w14:textId="77777777" w:rsidR="00553430" w:rsidRDefault="00212577">
            <w:pPr>
              <w:pStyle w:val="P68B1DB1-Normal102"/>
              <w:spacing w:after="0" w:line="240" w:lineRule="auto"/>
              <w:jc w:val="center"/>
              <w:textAlignment w:val="baseline"/>
              <w:rPr>
                <w:noProof/>
              </w:rPr>
            </w:pPr>
            <w:r>
              <w:rPr>
                <w:noProof/>
              </w:rPr>
              <w:t>C5.1. R4-I2</w:t>
            </w:r>
          </w:p>
        </w:tc>
        <w:tc>
          <w:tcPr>
            <w:tcW w:w="1274" w:type="dxa"/>
            <w:shd w:val="clear" w:color="auto" w:fill="C6EFCE"/>
            <w:vAlign w:val="center"/>
          </w:tcPr>
          <w:p w14:paraId="4B7091CC"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8962C0F" w14:textId="77777777" w:rsidR="00553430" w:rsidRDefault="00212577">
            <w:pPr>
              <w:pStyle w:val="P68B1DB1-Normal102"/>
              <w:spacing w:after="0" w:line="240" w:lineRule="auto"/>
              <w:textAlignment w:val="baseline"/>
              <w:rPr>
                <w:noProof/>
              </w:rPr>
            </w:pPr>
            <w:r>
              <w:rPr>
                <w:noProof/>
              </w:rPr>
              <w:t>Système de thérapie unitaire pour les formes solides de médicaments dans 40 hôpitaux croates</w:t>
            </w:r>
          </w:p>
        </w:tc>
      </w:tr>
      <w:tr w:rsidR="00553430" w14:paraId="3099DBD8" w14:textId="77777777">
        <w:trPr>
          <w:trHeight w:val="51"/>
        </w:trPr>
        <w:tc>
          <w:tcPr>
            <w:tcW w:w="1096" w:type="dxa"/>
            <w:shd w:val="clear" w:color="auto" w:fill="C6EFCE"/>
            <w:vAlign w:val="center"/>
          </w:tcPr>
          <w:p w14:paraId="4BFC7D15" w14:textId="77777777" w:rsidR="00553430" w:rsidRDefault="00212577">
            <w:pPr>
              <w:pStyle w:val="P68B1DB1-Normal102"/>
              <w:spacing w:after="0" w:line="240" w:lineRule="auto"/>
              <w:jc w:val="center"/>
              <w:textAlignment w:val="baseline"/>
              <w:rPr>
                <w:noProof/>
              </w:rPr>
            </w:pPr>
            <w:r>
              <w:rPr>
                <w:noProof/>
              </w:rPr>
              <w:t>341</w:t>
            </w:r>
          </w:p>
        </w:tc>
        <w:tc>
          <w:tcPr>
            <w:tcW w:w="1639" w:type="dxa"/>
            <w:shd w:val="clear" w:color="auto" w:fill="C6EFCE"/>
            <w:vAlign w:val="center"/>
          </w:tcPr>
          <w:p w14:paraId="30577090" w14:textId="77777777" w:rsidR="00553430" w:rsidRDefault="00212577">
            <w:pPr>
              <w:pStyle w:val="P68B1DB1-Normal102"/>
              <w:spacing w:after="0" w:line="240" w:lineRule="auto"/>
              <w:jc w:val="center"/>
              <w:textAlignment w:val="baseline"/>
              <w:rPr>
                <w:noProof/>
              </w:rPr>
            </w:pPr>
            <w:r>
              <w:rPr>
                <w:noProof/>
              </w:rPr>
              <w:t>C5.1. R4-I3</w:t>
            </w:r>
          </w:p>
        </w:tc>
        <w:tc>
          <w:tcPr>
            <w:tcW w:w="1274" w:type="dxa"/>
            <w:shd w:val="clear" w:color="auto" w:fill="C6EFCE"/>
            <w:vAlign w:val="center"/>
          </w:tcPr>
          <w:p w14:paraId="2586074D"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1D2D749" w14:textId="77777777" w:rsidR="00553430" w:rsidRDefault="00212577">
            <w:pPr>
              <w:pStyle w:val="P68B1DB1-Normal102"/>
              <w:spacing w:after="0" w:line="240" w:lineRule="auto"/>
              <w:textAlignment w:val="baseline"/>
              <w:rPr>
                <w:noProof/>
              </w:rPr>
            </w:pPr>
            <w:r>
              <w:rPr>
                <w:noProof/>
              </w:rPr>
              <w:t>Surveillance des médicaments dans le système hospitalier de la pharmacie au patient</w:t>
            </w:r>
          </w:p>
        </w:tc>
      </w:tr>
      <w:tr w:rsidR="00553430" w14:paraId="3611AA0F" w14:textId="77777777">
        <w:trPr>
          <w:trHeight w:val="51"/>
        </w:trPr>
        <w:tc>
          <w:tcPr>
            <w:tcW w:w="1096" w:type="dxa"/>
            <w:shd w:val="clear" w:color="auto" w:fill="C6EFCE"/>
            <w:vAlign w:val="center"/>
          </w:tcPr>
          <w:p w14:paraId="1993BC85" w14:textId="77777777" w:rsidR="00553430" w:rsidRDefault="00212577">
            <w:pPr>
              <w:pStyle w:val="P68B1DB1-Normal102"/>
              <w:spacing w:after="0" w:line="240" w:lineRule="auto"/>
              <w:jc w:val="center"/>
              <w:textAlignment w:val="baseline"/>
              <w:rPr>
                <w:noProof/>
              </w:rPr>
            </w:pPr>
            <w:r>
              <w:rPr>
                <w:noProof/>
              </w:rPr>
              <w:t>344</w:t>
            </w:r>
          </w:p>
        </w:tc>
        <w:tc>
          <w:tcPr>
            <w:tcW w:w="1639" w:type="dxa"/>
            <w:shd w:val="clear" w:color="auto" w:fill="C6EFCE"/>
            <w:vAlign w:val="center"/>
          </w:tcPr>
          <w:p w14:paraId="53B405FE" w14:textId="77777777" w:rsidR="00553430" w:rsidRDefault="00212577">
            <w:pPr>
              <w:pStyle w:val="P68B1DB1-Normal102"/>
              <w:spacing w:after="0" w:line="240" w:lineRule="auto"/>
              <w:jc w:val="center"/>
              <w:textAlignment w:val="baseline"/>
              <w:rPr>
                <w:noProof/>
              </w:rPr>
            </w:pPr>
            <w:r>
              <w:rPr>
                <w:noProof/>
              </w:rPr>
              <w:t>C5.1. R4-I5</w:t>
            </w:r>
          </w:p>
        </w:tc>
        <w:tc>
          <w:tcPr>
            <w:tcW w:w="1274" w:type="dxa"/>
            <w:shd w:val="clear" w:color="auto" w:fill="C6EFCE"/>
            <w:vAlign w:val="center"/>
          </w:tcPr>
          <w:p w14:paraId="3C56CCA5"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8F5BAF1" w14:textId="77777777" w:rsidR="00553430" w:rsidRDefault="00212577">
            <w:pPr>
              <w:pStyle w:val="P68B1DB1-Normal102"/>
              <w:spacing w:after="0" w:line="240" w:lineRule="auto"/>
              <w:textAlignment w:val="baseline"/>
              <w:rPr>
                <w:noProof/>
              </w:rPr>
            </w:pPr>
            <w:r>
              <w:rPr>
                <w:noProof/>
              </w:rPr>
              <w:t>Surveiller les résultats du traitement des patients chroniques non hospitaliers dans les pharmacies publiques</w:t>
            </w:r>
          </w:p>
        </w:tc>
      </w:tr>
      <w:tr w:rsidR="00553430" w14:paraId="609F954A" w14:textId="77777777">
        <w:trPr>
          <w:trHeight w:val="51"/>
        </w:trPr>
        <w:tc>
          <w:tcPr>
            <w:tcW w:w="1096" w:type="dxa"/>
            <w:shd w:val="clear" w:color="auto" w:fill="C6EFCE"/>
            <w:vAlign w:val="center"/>
          </w:tcPr>
          <w:p w14:paraId="5EB5DA9D" w14:textId="77777777" w:rsidR="00553430" w:rsidRDefault="00212577">
            <w:pPr>
              <w:pStyle w:val="P68B1DB1-Normal102"/>
              <w:spacing w:after="0" w:line="240" w:lineRule="auto"/>
              <w:jc w:val="center"/>
              <w:textAlignment w:val="baseline"/>
              <w:rPr>
                <w:noProof/>
              </w:rPr>
            </w:pPr>
            <w:r>
              <w:rPr>
                <w:noProof/>
              </w:rPr>
              <w:t>354</w:t>
            </w:r>
          </w:p>
        </w:tc>
        <w:tc>
          <w:tcPr>
            <w:tcW w:w="1639" w:type="dxa"/>
            <w:shd w:val="clear" w:color="auto" w:fill="C6EFCE"/>
            <w:vAlign w:val="center"/>
          </w:tcPr>
          <w:p w14:paraId="019098B9" w14:textId="77777777" w:rsidR="00553430" w:rsidRDefault="00212577">
            <w:pPr>
              <w:pStyle w:val="P68B1DB1-Normal102"/>
              <w:spacing w:after="0" w:line="240" w:lineRule="auto"/>
              <w:jc w:val="center"/>
              <w:textAlignment w:val="baseline"/>
              <w:rPr>
                <w:noProof/>
              </w:rPr>
            </w:pPr>
            <w:r>
              <w:rPr>
                <w:noProof/>
              </w:rPr>
              <w:t>C6.1. R1-I1</w:t>
            </w:r>
          </w:p>
        </w:tc>
        <w:tc>
          <w:tcPr>
            <w:tcW w:w="1274" w:type="dxa"/>
            <w:shd w:val="clear" w:color="auto" w:fill="C6EFCE"/>
            <w:vAlign w:val="center"/>
          </w:tcPr>
          <w:p w14:paraId="233FA2F6"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B5B8238" w14:textId="77777777" w:rsidR="00553430" w:rsidRDefault="00212577">
            <w:pPr>
              <w:pStyle w:val="P68B1DB1-Normal102"/>
              <w:spacing w:after="0" w:line="240" w:lineRule="auto"/>
              <w:textAlignment w:val="baseline"/>
              <w:rPr>
                <w:noProof/>
              </w:rPr>
            </w:pPr>
            <w:r>
              <w:rPr>
                <w:noProof/>
              </w:rPr>
              <w:t>Rénovation énergétique des immeubles collectifs</w:t>
            </w:r>
          </w:p>
        </w:tc>
      </w:tr>
      <w:tr w:rsidR="00553430" w14:paraId="6812D9FB" w14:textId="77777777">
        <w:trPr>
          <w:trHeight w:val="51"/>
        </w:trPr>
        <w:tc>
          <w:tcPr>
            <w:tcW w:w="1096" w:type="dxa"/>
            <w:shd w:val="clear" w:color="auto" w:fill="C6EFCE"/>
            <w:vAlign w:val="center"/>
          </w:tcPr>
          <w:p w14:paraId="652F3277" w14:textId="77777777" w:rsidR="00553430" w:rsidRDefault="00212577">
            <w:pPr>
              <w:pStyle w:val="P68B1DB1-Normal102"/>
              <w:spacing w:after="0" w:line="240" w:lineRule="auto"/>
              <w:jc w:val="center"/>
              <w:textAlignment w:val="baseline"/>
              <w:rPr>
                <w:noProof/>
              </w:rPr>
            </w:pPr>
            <w:r>
              <w:rPr>
                <w:noProof/>
              </w:rPr>
              <w:t>355</w:t>
            </w:r>
          </w:p>
        </w:tc>
        <w:tc>
          <w:tcPr>
            <w:tcW w:w="1639" w:type="dxa"/>
            <w:shd w:val="clear" w:color="auto" w:fill="C6EFCE"/>
            <w:vAlign w:val="center"/>
          </w:tcPr>
          <w:p w14:paraId="5EAFDF5D" w14:textId="77777777" w:rsidR="00553430" w:rsidRDefault="00212577">
            <w:pPr>
              <w:pStyle w:val="P68B1DB1-Normal102"/>
              <w:spacing w:after="0" w:line="240" w:lineRule="auto"/>
              <w:jc w:val="center"/>
              <w:textAlignment w:val="baseline"/>
              <w:rPr>
                <w:noProof/>
              </w:rPr>
            </w:pPr>
            <w:r>
              <w:rPr>
                <w:noProof/>
              </w:rPr>
              <w:t>C6.1. R1-I1</w:t>
            </w:r>
          </w:p>
        </w:tc>
        <w:tc>
          <w:tcPr>
            <w:tcW w:w="1274" w:type="dxa"/>
            <w:shd w:val="clear" w:color="auto" w:fill="C6EFCE"/>
            <w:vAlign w:val="center"/>
          </w:tcPr>
          <w:p w14:paraId="1C18CE5A"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EB104D2" w14:textId="77777777" w:rsidR="00553430" w:rsidRDefault="00212577">
            <w:pPr>
              <w:pStyle w:val="P68B1DB1-Normal102"/>
              <w:spacing w:after="0" w:line="240" w:lineRule="auto"/>
              <w:textAlignment w:val="baseline"/>
              <w:rPr>
                <w:noProof/>
              </w:rPr>
            </w:pPr>
            <w:r>
              <w:rPr>
                <w:noProof/>
              </w:rPr>
              <w:t>Rénovation énergétique des bâtiments publics</w:t>
            </w:r>
          </w:p>
        </w:tc>
      </w:tr>
      <w:tr w:rsidR="00553430" w14:paraId="7D86DFC2" w14:textId="77777777">
        <w:trPr>
          <w:trHeight w:val="51"/>
        </w:trPr>
        <w:tc>
          <w:tcPr>
            <w:tcW w:w="1096" w:type="dxa"/>
            <w:shd w:val="clear" w:color="auto" w:fill="C6EFCE"/>
            <w:vAlign w:val="center"/>
          </w:tcPr>
          <w:p w14:paraId="36416F64" w14:textId="77777777" w:rsidR="00553430" w:rsidRDefault="00212577">
            <w:pPr>
              <w:pStyle w:val="P68B1DB1-Normal102"/>
              <w:spacing w:after="0" w:line="240" w:lineRule="auto"/>
              <w:jc w:val="center"/>
              <w:textAlignment w:val="baseline"/>
              <w:rPr>
                <w:noProof/>
              </w:rPr>
            </w:pPr>
            <w:r>
              <w:rPr>
                <w:noProof/>
              </w:rPr>
              <w:t>358</w:t>
            </w:r>
          </w:p>
        </w:tc>
        <w:tc>
          <w:tcPr>
            <w:tcW w:w="1639" w:type="dxa"/>
            <w:shd w:val="clear" w:color="auto" w:fill="C6EFCE"/>
            <w:vAlign w:val="center"/>
          </w:tcPr>
          <w:p w14:paraId="075B16D0" w14:textId="77777777" w:rsidR="00553430" w:rsidRDefault="00212577">
            <w:pPr>
              <w:pStyle w:val="P68B1DB1-Normal102"/>
              <w:spacing w:after="0" w:line="240" w:lineRule="auto"/>
              <w:jc w:val="center"/>
              <w:textAlignment w:val="baseline"/>
              <w:rPr>
                <w:noProof/>
              </w:rPr>
            </w:pPr>
            <w:r>
              <w:rPr>
                <w:noProof/>
              </w:rPr>
              <w:t>C6.1. R1-I3</w:t>
            </w:r>
          </w:p>
        </w:tc>
        <w:tc>
          <w:tcPr>
            <w:tcW w:w="1274" w:type="dxa"/>
            <w:shd w:val="clear" w:color="auto" w:fill="C6EFCE"/>
            <w:vAlign w:val="center"/>
          </w:tcPr>
          <w:p w14:paraId="4C86E7FA"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E7E476C" w14:textId="77777777" w:rsidR="00553430" w:rsidRDefault="00212577">
            <w:pPr>
              <w:pStyle w:val="P68B1DB1-Normal102"/>
              <w:spacing w:after="0" w:line="240" w:lineRule="auto"/>
              <w:textAlignment w:val="baseline"/>
              <w:rPr>
                <w:noProof/>
              </w:rPr>
            </w:pPr>
            <w:r>
              <w:rPr>
                <w:noProof/>
              </w:rPr>
              <w:t>Rénovation énergétique des bâtiments ayant le statut de bien culturel</w:t>
            </w:r>
          </w:p>
        </w:tc>
      </w:tr>
      <w:tr w:rsidR="00553430" w14:paraId="37142B92" w14:textId="77777777">
        <w:trPr>
          <w:trHeight w:val="51"/>
        </w:trPr>
        <w:tc>
          <w:tcPr>
            <w:tcW w:w="1096" w:type="dxa"/>
            <w:shd w:val="clear" w:color="auto" w:fill="C6EFCE"/>
            <w:vAlign w:val="center"/>
          </w:tcPr>
          <w:p w14:paraId="3A431A7A" w14:textId="77777777" w:rsidR="00553430" w:rsidRDefault="00212577">
            <w:pPr>
              <w:pStyle w:val="P68B1DB1-Normal102"/>
              <w:spacing w:after="0" w:line="240" w:lineRule="auto"/>
              <w:jc w:val="center"/>
              <w:textAlignment w:val="baseline"/>
              <w:rPr>
                <w:noProof/>
              </w:rPr>
            </w:pPr>
            <w:r>
              <w:rPr>
                <w:noProof/>
              </w:rPr>
              <w:t>360</w:t>
            </w:r>
          </w:p>
        </w:tc>
        <w:tc>
          <w:tcPr>
            <w:tcW w:w="1639" w:type="dxa"/>
            <w:shd w:val="clear" w:color="auto" w:fill="C6EFCE"/>
            <w:vAlign w:val="center"/>
          </w:tcPr>
          <w:p w14:paraId="3B5B7DAE" w14:textId="77777777" w:rsidR="00553430" w:rsidRDefault="00212577">
            <w:pPr>
              <w:pStyle w:val="P68B1DB1-Normal102"/>
              <w:spacing w:after="0" w:line="240" w:lineRule="auto"/>
              <w:jc w:val="center"/>
              <w:textAlignment w:val="baseline"/>
              <w:rPr>
                <w:noProof/>
              </w:rPr>
            </w:pPr>
            <w:r>
              <w:rPr>
                <w:noProof/>
              </w:rPr>
              <w:t>C6.1. R2</w:t>
            </w:r>
          </w:p>
        </w:tc>
        <w:tc>
          <w:tcPr>
            <w:tcW w:w="1274" w:type="dxa"/>
            <w:shd w:val="clear" w:color="auto" w:fill="C6EFCE"/>
            <w:vAlign w:val="center"/>
          </w:tcPr>
          <w:p w14:paraId="3FF1615D"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2A310EDE" w14:textId="77777777" w:rsidR="00553430" w:rsidRDefault="00212577">
            <w:pPr>
              <w:pStyle w:val="P68B1DB1-Normal102"/>
              <w:spacing w:after="0" w:line="240" w:lineRule="auto"/>
              <w:textAlignment w:val="baseline"/>
              <w:rPr>
                <w:noProof/>
              </w:rPr>
            </w:pPr>
            <w:r>
              <w:rPr>
                <w:noProof/>
              </w:rPr>
              <w:t>Certification de formation</w:t>
            </w:r>
          </w:p>
        </w:tc>
      </w:tr>
      <w:tr w:rsidR="00553430" w14:paraId="74093EDC" w14:textId="77777777">
        <w:trPr>
          <w:trHeight w:val="51"/>
        </w:trPr>
        <w:tc>
          <w:tcPr>
            <w:tcW w:w="1096" w:type="dxa"/>
            <w:shd w:val="clear" w:color="auto" w:fill="C6EFCE"/>
            <w:vAlign w:val="center"/>
          </w:tcPr>
          <w:p w14:paraId="1BD86079" w14:textId="77777777" w:rsidR="00553430" w:rsidRDefault="00212577">
            <w:pPr>
              <w:pStyle w:val="P68B1DB1-Normal102"/>
              <w:spacing w:after="0" w:line="240" w:lineRule="auto"/>
              <w:jc w:val="center"/>
              <w:textAlignment w:val="baseline"/>
              <w:rPr>
                <w:noProof/>
              </w:rPr>
            </w:pPr>
            <w:r>
              <w:rPr>
                <w:noProof/>
              </w:rPr>
              <w:t>364</w:t>
            </w:r>
          </w:p>
        </w:tc>
        <w:tc>
          <w:tcPr>
            <w:tcW w:w="1639" w:type="dxa"/>
            <w:shd w:val="clear" w:color="auto" w:fill="C6EFCE"/>
            <w:vAlign w:val="center"/>
          </w:tcPr>
          <w:p w14:paraId="56F9D307" w14:textId="77777777" w:rsidR="00553430" w:rsidRDefault="00212577">
            <w:pPr>
              <w:pStyle w:val="P68B1DB1-Normal102"/>
              <w:spacing w:after="0" w:line="240" w:lineRule="auto"/>
              <w:jc w:val="center"/>
              <w:textAlignment w:val="baseline"/>
              <w:rPr>
                <w:noProof/>
              </w:rPr>
            </w:pPr>
            <w:r>
              <w:rPr>
                <w:noProof/>
              </w:rPr>
              <w:t>C6.1. R3</w:t>
            </w:r>
          </w:p>
        </w:tc>
        <w:tc>
          <w:tcPr>
            <w:tcW w:w="1274" w:type="dxa"/>
            <w:shd w:val="clear" w:color="auto" w:fill="C6EFCE"/>
            <w:vAlign w:val="center"/>
          </w:tcPr>
          <w:p w14:paraId="4921A1E9"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A4D56D7" w14:textId="77777777" w:rsidR="00553430" w:rsidRDefault="00212577">
            <w:pPr>
              <w:pStyle w:val="P68B1DB1-Normal102"/>
              <w:spacing w:after="0" w:line="240" w:lineRule="auto"/>
              <w:textAlignment w:val="baseline"/>
              <w:rPr>
                <w:noProof/>
              </w:rPr>
            </w:pPr>
            <w:r>
              <w:rPr>
                <w:noProof/>
              </w:rPr>
              <w:t xml:space="preserve">Formation complète des fonctionnaires pour la fourniture de services de guichet unique </w:t>
            </w:r>
          </w:p>
        </w:tc>
      </w:tr>
      <w:tr w:rsidR="00553430" w14:paraId="74B77985" w14:textId="77777777">
        <w:trPr>
          <w:trHeight w:val="51"/>
        </w:trPr>
        <w:tc>
          <w:tcPr>
            <w:tcW w:w="1096" w:type="dxa"/>
            <w:shd w:val="clear" w:color="auto" w:fill="C6EFCE"/>
            <w:vAlign w:val="center"/>
          </w:tcPr>
          <w:p w14:paraId="21BD6613" w14:textId="77777777" w:rsidR="00553430" w:rsidRDefault="00212577">
            <w:pPr>
              <w:pStyle w:val="P68B1DB1-Normal102"/>
              <w:spacing w:after="0" w:line="240" w:lineRule="auto"/>
              <w:jc w:val="center"/>
              <w:textAlignment w:val="baseline"/>
              <w:rPr>
                <w:noProof/>
              </w:rPr>
            </w:pPr>
            <w:r>
              <w:rPr>
                <w:noProof/>
              </w:rPr>
              <w:t>367</w:t>
            </w:r>
          </w:p>
        </w:tc>
        <w:tc>
          <w:tcPr>
            <w:tcW w:w="1639" w:type="dxa"/>
            <w:shd w:val="clear" w:color="auto" w:fill="C6EFCE"/>
            <w:vAlign w:val="center"/>
          </w:tcPr>
          <w:p w14:paraId="7A01ACF5" w14:textId="77777777" w:rsidR="00553430" w:rsidRDefault="00212577">
            <w:pPr>
              <w:pStyle w:val="P68B1DB1-Normal102"/>
              <w:spacing w:after="0" w:line="240" w:lineRule="auto"/>
              <w:jc w:val="center"/>
              <w:textAlignment w:val="baseline"/>
              <w:rPr>
                <w:noProof/>
              </w:rPr>
            </w:pPr>
            <w:r>
              <w:rPr>
                <w:noProof/>
              </w:rPr>
              <w:t>C6.1. R4-I1</w:t>
            </w:r>
          </w:p>
        </w:tc>
        <w:tc>
          <w:tcPr>
            <w:tcW w:w="1274" w:type="dxa"/>
            <w:shd w:val="clear" w:color="auto" w:fill="C6EFCE"/>
            <w:vAlign w:val="center"/>
          </w:tcPr>
          <w:p w14:paraId="2D552CD7"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7A5F512" w14:textId="77777777" w:rsidR="00553430" w:rsidRDefault="00212577">
            <w:pPr>
              <w:pStyle w:val="P68B1DB1-Normal102"/>
              <w:spacing w:after="0" w:line="240" w:lineRule="auto"/>
              <w:textAlignment w:val="baseline"/>
              <w:rPr>
                <w:noProof/>
              </w:rPr>
            </w:pPr>
            <w:r>
              <w:rPr>
                <w:noProof/>
              </w:rPr>
              <w:t>Formation pour les employés de l'Enquête sismologique</w:t>
            </w:r>
          </w:p>
        </w:tc>
      </w:tr>
      <w:tr w:rsidR="00553430" w14:paraId="017C21CE" w14:textId="77777777">
        <w:trPr>
          <w:trHeight w:val="51"/>
        </w:trPr>
        <w:tc>
          <w:tcPr>
            <w:tcW w:w="1096" w:type="dxa"/>
            <w:shd w:val="clear" w:color="auto" w:fill="C6EFCE"/>
            <w:vAlign w:val="center"/>
          </w:tcPr>
          <w:p w14:paraId="3DBDD62F" w14:textId="77777777" w:rsidR="00553430" w:rsidRDefault="00212577">
            <w:pPr>
              <w:pStyle w:val="P68B1DB1-Normal102"/>
              <w:spacing w:after="0" w:line="240" w:lineRule="auto"/>
              <w:jc w:val="center"/>
              <w:textAlignment w:val="baseline"/>
              <w:rPr>
                <w:noProof/>
              </w:rPr>
            </w:pPr>
            <w:r>
              <w:rPr>
                <w:noProof/>
              </w:rPr>
              <w:t>370</w:t>
            </w:r>
          </w:p>
        </w:tc>
        <w:tc>
          <w:tcPr>
            <w:tcW w:w="1639" w:type="dxa"/>
            <w:shd w:val="clear" w:color="auto" w:fill="C6EFCE"/>
            <w:vAlign w:val="center"/>
          </w:tcPr>
          <w:p w14:paraId="36CE8E16" w14:textId="77777777" w:rsidR="00553430" w:rsidRDefault="00212577">
            <w:pPr>
              <w:pStyle w:val="P68B1DB1-Normal102"/>
              <w:spacing w:after="0" w:line="240" w:lineRule="auto"/>
              <w:jc w:val="center"/>
              <w:textAlignment w:val="baseline"/>
              <w:rPr>
                <w:noProof/>
              </w:rPr>
            </w:pPr>
            <w:r>
              <w:rPr>
                <w:noProof/>
              </w:rPr>
              <w:t>C6.1. R5</w:t>
            </w:r>
          </w:p>
        </w:tc>
        <w:tc>
          <w:tcPr>
            <w:tcW w:w="1274" w:type="dxa"/>
            <w:shd w:val="clear" w:color="auto" w:fill="C6EFCE"/>
            <w:vAlign w:val="center"/>
          </w:tcPr>
          <w:p w14:paraId="2D2DA0A2"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A783AFF" w14:textId="6E05CA00" w:rsidR="00553430" w:rsidRDefault="00212577">
            <w:pPr>
              <w:pStyle w:val="P68B1DB1-Normal102"/>
              <w:spacing w:after="0" w:line="240" w:lineRule="auto"/>
              <w:textAlignment w:val="baseline"/>
              <w:rPr>
                <w:noProof/>
              </w:rPr>
            </w:pPr>
            <w:r>
              <w:rPr>
                <w:noProof/>
              </w:rPr>
              <w:t xml:space="preserve">Finalisation d'un projet pilote identifié à travers des stratégies de rénovation urbaine verte </w:t>
            </w:r>
          </w:p>
        </w:tc>
      </w:tr>
      <w:tr w:rsidR="00553430" w14:paraId="63270BF1" w14:textId="77777777">
        <w:trPr>
          <w:trHeight w:val="51"/>
        </w:trPr>
        <w:tc>
          <w:tcPr>
            <w:tcW w:w="1096" w:type="dxa"/>
            <w:shd w:val="clear" w:color="auto" w:fill="C6EFCE"/>
            <w:vAlign w:val="center"/>
          </w:tcPr>
          <w:p w14:paraId="12299529" w14:textId="77777777" w:rsidR="00553430" w:rsidRDefault="00212577">
            <w:pPr>
              <w:pStyle w:val="P68B1DB1-Normal102"/>
              <w:spacing w:after="0" w:line="240" w:lineRule="auto"/>
              <w:jc w:val="center"/>
              <w:textAlignment w:val="baseline"/>
              <w:rPr>
                <w:noProof/>
              </w:rPr>
            </w:pPr>
            <w:r>
              <w:rPr>
                <w:noProof/>
              </w:rPr>
              <w:t>376</w:t>
            </w:r>
          </w:p>
        </w:tc>
        <w:tc>
          <w:tcPr>
            <w:tcW w:w="1639" w:type="dxa"/>
            <w:shd w:val="clear" w:color="auto" w:fill="C6EFCE"/>
            <w:vAlign w:val="center"/>
          </w:tcPr>
          <w:p w14:paraId="604BF7A5" w14:textId="77777777" w:rsidR="00553430" w:rsidRDefault="00212577">
            <w:pPr>
              <w:pStyle w:val="P68B1DB1-Normal102"/>
              <w:spacing w:after="0" w:line="240" w:lineRule="auto"/>
              <w:jc w:val="center"/>
              <w:textAlignment w:val="baseline"/>
              <w:rPr>
                <w:noProof/>
                <w:u w:val="single"/>
              </w:rPr>
            </w:pPr>
            <w:r>
              <w:rPr>
                <w:noProof/>
              </w:rPr>
              <w:t>C1.2 R1-I1</w:t>
            </w:r>
          </w:p>
        </w:tc>
        <w:tc>
          <w:tcPr>
            <w:tcW w:w="1274" w:type="dxa"/>
            <w:shd w:val="clear" w:color="auto" w:fill="C6EFCE"/>
            <w:vAlign w:val="center"/>
          </w:tcPr>
          <w:p w14:paraId="5D6871A8" w14:textId="77777777" w:rsidR="00553430" w:rsidRDefault="00212577">
            <w:pPr>
              <w:pStyle w:val="P68B1DB1-Normal141"/>
              <w:spacing w:after="0" w:line="240" w:lineRule="auto"/>
              <w:jc w:val="center"/>
              <w:textAlignment w:val="baseline"/>
              <w:rPr>
                <w:noProof/>
              </w:rPr>
            </w:pPr>
            <w:r>
              <w:rPr>
                <w:noProof/>
              </w:rPr>
              <w:t>T</w:t>
            </w:r>
          </w:p>
        </w:tc>
        <w:tc>
          <w:tcPr>
            <w:tcW w:w="5347" w:type="dxa"/>
            <w:shd w:val="clear" w:color="auto" w:fill="C6EFCE"/>
            <w:vAlign w:val="center"/>
          </w:tcPr>
          <w:p w14:paraId="0ADD342B" w14:textId="77777777" w:rsidR="00553430" w:rsidRDefault="00212577">
            <w:pPr>
              <w:pStyle w:val="P68B1DB1-Normal102"/>
              <w:spacing w:after="0" w:line="240" w:lineRule="auto"/>
              <w:textAlignment w:val="baseline"/>
              <w:rPr>
                <w:noProof/>
                <w:u w:val="single"/>
              </w:rPr>
            </w:pPr>
            <w:r>
              <w:rPr>
                <w:noProof/>
              </w:rPr>
              <w:t>Nombre de compteurs intelligents</w:t>
            </w:r>
            <w:r>
              <w:rPr>
                <w:noProof/>
                <w:u w:val="single"/>
              </w:rPr>
              <w:t xml:space="preserve"> installés</w:t>
            </w:r>
          </w:p>
        </w:tc>
      </w:tr>
      <w:tr w:rsidR="00553430" w14:paraId="08A015A3" w14:textId="77777777">
        <w:trPr>
          <w:trHeight w:val="51"/>
        </w:trPr>
        <w:tc>
          <w:tcPr>
            <w:tcW w:w="1096" w:type="dxa"/>
            <w:shd w:val="clear" w:color="auto" w:fill="C6EFCE"/>
            <w:vAlign w:val="center"/>
          </w:tcPr>
          <w:p w14:paraId="6C0210D6" w14:textId="77777777" w:rsidR="00553430" w:rsidRDefault="00212577">
            <w:pPr>
              <w:pStyle w:val="P68B1DB1-Normal102"/>
              <w:spacing w:after="0" w:line="240" w:lineRule="auto"/>
              <w:jc w:val="center"/>
              <w:textAlignment w:val="baseline"/>
              <w:rPr>
                <w:noProof/>
              </w:rPr>
            </w:pPr>
            <w:r>
              <w:rPr>
                <w:noProof/>
              </w:rPr>
              <w:t>377</w:t>
            </w:r>
          </w:p>
        </w:tc>
        <w:tc>
          <w:tcPr>
            <w:tcW w:w="1639" w:type="dxa"/>
            <w:shd w:val="clear" w:color="auto" w:fill="C6EFCE"/>
            <w:vAlign w:val="center"/>
          </w:tcPr>
          <w:p w14:paraId="264CDE5A" w14:textId="77777777" w:rsidR="00553430" w:rsidRDefault="00212577">
            <w:pPr>
              <w:pStyle w:val="P68B1DB1-Normal102"/>
              <w:spacing w:after="0" w:line="240" w:lineRule="auto"/>
              <w:jc w:val="center"/>
              <w:textAlignment w:val="baseline"/>
              <w:rPr>
                <w:noProof/>
                <w:u w:val="single"/>
              </w:rPr>
            </w:pPr>
            <w:r>
              <w:rPr>
                <w:noProof/>
              </w:rPr>
              <w:t>C1.2 R1-I1</w:t>
            </w:r>
          </w:p>
        </w:tc>
        <w:tc>
          <w:tcPr>
            <w:tcW w:w="1274" w:type="dxa"/>
            <w:shd w:val="clear" w:color="auto" w:fill="C6EFCE"/>
            <w:vAlign w:val="center"/>
          </w:tcPr>
          <w:p w14:paraId="6DFAD8DE" w14:textId="77777777" w:rsidR="00553430" w:rsidRDefault="00212577">
            <w:pPr>
              <w:pStyle w:val="P68B1DB1-Normal141"/>
              <w:spacing w:after="0" w:line="240" w:lineRule="auto"/>
              <w:jc w:val="center"/>
              <w:textAlignment w:val="baseline"/>
              <w:rPr>
                <w:noProof/>
              </w:rPr>
            </w:pPr>
            <w:r>
              <w:rPr>
                <w:noProof/>
              </w:rPr>
              <w:t>M</w:t>
            </w:r>
          </w:p>
        </w:tc>
        <w:tc>
          <w:tcPr>
            <w:tcW w:w="5347" w:type="dxa"/>
            <w:shd w:val="clear" w:color="auto" w:fill="C6EFCE"/>
            <w:vAlign w:val="center"/>
          </w:tcPr>
          <w:p w14:paraId="4B5EA300" w14:textId="77777777" w:rsidR="00553430" w:rsidRDefault="00212577">
            <w:pPr>
              <w:pStyle w:val="P68B1DB1-Normal102"/>
              <w:spacing w:after="0" w:line="240" w:lineRule="auto"/>
              <w:textAlignment w:val="baseline"/>
              <w:rPr>
                <w:noProof/>
                <w:u w:val="single"/>
              </w:rPr>
            </w:pPr>
            <w:r>
              <w:rPr>
                <w:noProof/>
              </w:rPr>
              <w:t xml:space="preserve">Nouvelle </w:t>
            </w:r>
            <w:r>
              <w:rPr>
                <w:noProof/>
              </w:rPr>
              <w:t>capacité de stockage de la batterie d'énergie</w:t>
            </w:r>
          </w:p>
        </w:tc>
      </w:tr>
      <w:tr w:rsidR="00553430" w14:paraId="0A556640" w14:textId="77777777">
        <w:trPr>
          <w:trHeight w:val="51"/>
        </w:trPr>
        <w:tc>
          <w:tcPr>
            <w:tcW w:w="1096" w:type="dxa"/>
            <w:shd w:val="clear" w:color="auto" w:fill="C6EFCE"/>
            <w:vAlign w:val="center"/>
          </w:tcPr>
          <w:p w14:paraId="006AD181" w14:textId="77777777" w:rsidR="00553430" w:rsidRDefault="00212577">
            <w:pPr>
              <w:pStyle w:val="P68B1DB1-Normal102"/>
              <w:spacing w:after="0" w:line="240" w:lineRule="auto"/>
              <w:jc w:val="center"/>
              <w:textAlignment w:val="baseline"/>
              <w:rPr>
                <w:noProof/>
              </w:rPr>
            </w:pPr>
            <w:r>
              <w:rPr>
                <w:noProof/>
              </w:rPr>
              <w:t>380</w:t>
            </w:r>
          </w:p>
        </w:tc>
        <w:tc>
          <w:tcPr>
            <w:tcW w:w="1639" w:type="dxa"/>
            <w:shd w:val="clear" w:color="auto" w:fill="C6EFCE"/>
            <w:vAlign w:val="center"/>
          </w:tcPr>
          <w:p w14:paraId="1CF3F9B0" w14:textId="77777777" w:rsidR="00553430" w:rsidRDefault="00212577">
            <w:pPr>
              <w:pStyle w:val="P68B1DB1-Normal102"/>
              <w:spacing w:after="0" w:line="240" w:lineRule="auto"/>
              <w:jc w:val="center"/>
              <w:textAlignment w:val="baseline"/>
              <w:rPr>
                <w:noProof/>
              </w:rPr>
            </w:pPr>
            <w:r>
              <w:rPr>
                <w:noProof/>
              </w:rPr>
              <w:t>C1.3. R2-I1</w:t>
            </w:r>
          </w:p>
        </w:tc>
        <w:tc>
          <w:tcPr>
            <w:tcW w:w="1274" w:type="dxa"/>
            <w:shd w:val="clear" w:color="auto" w:fill="C6EFCE"/>
            <w:vAlign w:val="center"/>
          </w:tcPr>
          <w:p w14:paraId="56BE94C7"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85E7257" w14:textId="77777777" w:rsidR="00553430" w:rsidRDefault="00212577">
            <w:pPr>
              <w:pStyle w:val="P68B1DB1-Normal102"/>
              <w:spacing w:after="0" w:line="240" w:lineRule="auto"/>
              <w:textAlignment w:val="baseline"/>
              <w:rPr>
                <w:noProof/>
              </w:rPr>
            </w:pPr>
            <w:r>
              <w:rPr>
                <w:noProof/>
              </w:rPr>
              <w:t>Équipements pour le traitement des biodéchets</w:t>
            </w:r>
          </w:p>
        </w:tc>
      </w:tr>
      <w:tr w:rsidR="00553430" w14:paraId="44E8E193" w14:textId="77777777">
        <w:trPr>
          <w:trHeight w:val="51"/>
        </w:trPr>
        <w:tc>
          <w:tcPr>
            <w:tcW w:w="1096" w:type="dxa"/>
            <w:shd w:val="clear" w:color="auto" w:fill="C6EFCE"/>
            <w:vAlign w:val="center"/>
          </w:tcPr>
          <w:p w14:paraId="09405548" w14:textId="77777777" w:rsidR="00553430" w:rsidRDefault="00212577">
            <w:pPr>
              <w:pStyle w:val="P68B1DB1-Normal102"/>
              <w:spacing w:after="0" w:line="240" w:lineRule="auto"/>
              <w:jc w:val="center"/>
              <w:textAlignment w:val="baseline"/>
              <w:rPr>
                <w:noProof/>
              </w:rPr>
            </w:pPr>
            <w:r>
              <w:rPr>
                <w:noProof/>
              </w:rPr>
              <w:t>381</w:t>
            </w:r>
          </w:p>
        </w:tc>
        <w:tc>
          <w:tcPr>
            <w:tcW w:w="1639" w:type="dxa"/>
            <w:shd w:val="clear" w:color="auto" w:fill="C6EFCE"/>
            <w:vAlign w:val="center"/>
          </w:tcPr>
          <w:p w14:paraId="04146F32" w14:textId="77777777" w:rsidR="00553430" w:rsidRDefault="00212577">
            <w:pPr>
              <w:pStyle w:val="P68B1DB1-Normal102"/>
              <w:spacing w:after="0" w:line="240" w:lineRule="auto"/>
              <w:jc w:val="center"/>
              <w:textAlignment w:val="baseline"/>
              <w:rPr>
                <w:noProof/>
              </w:rPr>
            </w:pPr>
            <w:r>
              <w:rPr>
                <w:noProof/>
              </w:rPr>
              <w:t>C1.3. R2-I1</w:t>
            </w:r>
          </w:p>
        </w:tc>
        <w:tc>
          <w:tcPr>
            <w:tcW w:w="1274" w:type="dxa"/>
            <w:shd w:val="clear" w:color="auto" w:fill="C6EFCE"/>
            <w:vAlign w:val="center"/>
          </w:tcPr>
          <w:p w14:paraId="1EFA81F2"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B57DDE9" w14:textId="3942103F" w:rsidR="00553430" w:rsidRDefault="00212577">
            <w:pPr>
              <w:pStyle w:val="P68B1DB1-Normal102"/>
              <w:spacing w:after="0" w:line="240" w:lineRule="auto"/>
              <w:textAlignment w:val="baseline"/>
              <w:rPr>
                <w:noProof/>
              </w:rPr>
            </w:pPr>
            <w:r>
              <w:rPr>
                <w:noProof/>
              </w:rPr>
              <w:t xml:space="preserve">Construction de stations de transfert de déchets </w:t>
            </w:r>
          </w:p>
        </w:tc>
      </w:tr>
      <w:tr w:rsidR="00553430" w14:paraId="3B3759A1" w14:textId="77777777">
        <w:trPr>
          <w:trHeight w:val="51"/>
        </w:trPr>
        <w:tc>
          <w:tcPr>
            <w:tcW w:w="1096" w:type="dxa"/>
            <w:shd w:val="clear" w:color="auto" w:fill="C6EFCE"/>
            <w:vAlign w:val="center"/>
          </w:tcPr>
          <w:p w14:paraId="3522AB81" w14:textId="77777777" w:rsidR="00553430" w:rsidRDefault="00212577">
            <w:pPr>
              <w:pStyle w:val="P68B1DB1-Normal102"/>
              <w:spacing w:after="0" w:line="240" w:lineRule="auto"/>
              <w:jc w:val="center"/>
              <w:textAlignment w:val="baseline"/>
              <w:rPr>
                <w:noProof/>
              </w:rPr>
            </w:pPr>
            <w:r>
              <w:rPr>
                <w:noProof/>
              </w:rPr>
              <w:t>396</w:t>
            </w:r>
          </w:p>
        </w:tc>
        <w:tc>
          <w:tcPr>
            <w:tcW w:w="1639" w:type="dxa"/>
            <w:shd w:val="clear" w:color="auto" w:fill="C6EFCE"/>
            <w:vAlign w:val="center"/>
          </w:tcPr>
          <w:p w14:paraId="0E1A4B4F" w14:textId="77777777" w:rsidR="00553430" w:rsidRDefault="00212577">
            <w:pPr>
              <w:pStyle w:val="P68B1DB1-Normal102"/>
              <w:spacing w:after="0" w:line="240" w:lineRule="auto"/>
              <w:jc w:val="center"/>
              <w:textAlignment w:val="baseline"/>
              <w:rPr>
                <w:noProof/>
              </w:rPr>
            </w:pPr>
            <w:r>
              <w:rPr>
                <w:noProof/>
              </w:rPr>
              <w:t>C3.1. R1-I3</w:t>
            </w:r>
          </w:p>
        </w:tc>
        <w:tc>
          <w:tcPr>
            <w:tcW w:w="1274" w:type="dxa"/>
            <w:shd w:val="clear" w:color="auto" w:fill="C6EFCE"/>
            <w:vAlign w:val="center"/>
          </w:tcPr>
          <w:p w14:paraId="21C7C834"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85836B4" w14:textId="77777777" w:rsidR="00553430" w:rsidRDefault="00212577">
            <w:pPr>
              <w:pStyle w:val="P68B1DB1-Normal102"/>
              <w:spacing w:after="0" w:line="240" w:lineRule="auto"/>
              <w:textAlignment w:val="baseline"/>
              <w:rPr>
                <w:noProof/>
              </w:rPr>
            </w:pPr>
            <w:r>
              <w:rPr>
                <w:noProof/>
              </w:rPr>
              <w:t>Nombre de salles de classe de l ' enseignement secondaire</w:t>
            </w:r>
            <w:r>
              <w:rPr>
                <w:noProof/>
              </w:rPr>
              <w:t xml:space="preserve"> rénovées ou construites</w:t>
            </w:r>
          </w:p>
        </w:tc>
      </w:tr>
      <w:tr w:rsidR="00553430" w14:paraId="421CC919" w14:textId="77777777">
        <w:trPr>
          <w:trHeight w:val="265"/>
        </w:trPr>
        <w:tc>
          <w:tcPr>
            <w:tcW w:w="1096" w:type="dxa"/>
            <w:shd w:val="clear" w:color="auto" w:fill="C6EFCE"/>
            <w:vAlign w:val="center"/>
          </w:tcPr>
          <w:p w14:paraId="55763ED8" w14:textId="77777777" w:rsidR="00553430" w:rsidRDefault="00212577">
            <w:pPr>
              <w:pStyle w:val="P68B1DB1-Normal102"/>
              <w:spacing w:after="0" w:line="240" w:lineRule="auto"/>
              <w:jc w:val="center"/>
              <w:textAlignment w:val="baseline"/>
              <w:rPr>
                <w:noProof/>
              </w:rPr>
            </w:pPr>
            <w:r>
              <w:rPr>
                <w:noProof/>
              </w:rPr>
              <w:t>401</w:t>
            </w:r>
          </w:p>
        </w:tc>
        <w:tc>
          <w:tcPr>
            <w:tcW w:w="1639" w:type="dxa"/>
            <w:shd w:val="clear" w:color="auto" w:fill="C6EFCE"/>
            <w:vAlign w:val="center"/>
          </w:tcPr>
          <w:p w14:paraId="3455B7A4" w14:textId="77777777" w:rsidR="00553430" w:rsidRDefault="00212577">
            <w:pPr>
              <w:pStyle w:val="P68B1DB1-Normal102"/>
              <w:spacing w:after="0" w:line="276" w:lineRule="auto"/>
              <w:jc w:val="center"/>
              <w:rPr>
                <w:noProof/>
              </w:rPr>
            </w:pPr>
            <w:r>
              <w:rPr>
                <w:noProof/>
              </w:rPr>
              <w:t xml:space="preserve">C6.1. R2 </w:t>
            </w:r>
          </w:p>
        </w:tc>
        <w:tc>
          <w:tcPr>
            <w:tcW w:w="1274" w:type="dxa"/>
            <w:shd w:val="clear" w:color="auto" w:fill="C6EFCE"/>
            <w:vAlign w:val="center"/>
          </w:tcPr>
          <w:p w14:paraId="5772D9E1"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tcPr>
          <w:p w14:paraId="6C1D7BA1" w14:textId="77777777" w:rsidR="00553430" w:rsidRDefault="00212577">
            <w:pPr>
              <w:pStyle w:val="P68B1DB1-Normal102"/>
              <w:spacing w:after="0" w:line="276" w:lineRule="auto"/>
              <w:rPr>
                <w:noProof/>
              </w:rPr>
            </w:pPr>
            <w:r>
              <w:rPr>
                <w:noProof/>
              </w:rPr>
              <w:t>Inscription au nouveau module du programme de master proposé</w:t>
            </w:r>
          </w:p>
        </w:tc>
      </w:tr>
      <w:tr w:rsidR="00553430" w14:paraId="79560F78" w14:textId="77777777">
        <w:trPr>
          <w:trHeight w:val="265"/>
        </w:trPr>
        <w:tc>
          <w:tcPr>
            <w:tcW w:w="1096" w:type="dxa"/>
            <w:shd w:val="clear" w:color="auto" w:fill="C6EFCE"/>
            <w:vAlign w:val="center"/>
          </w:tcPr>
          <w:p w14:paraId="655B966D" w14:textId="77777777" w:rsidR="00553430" w:rsidRDefault="00212577">
            <w:pPr>
              <w:pStyle w:val="P68B1DB1-Normal102"/>
              <w:spacing w:after="0" w:line="240" w:lineRule="auto"/>
              <w:jc w:val="center"/>
              <w:textAlignment w:val="baseline"/>
              <w:rPr>
                <w:noProof/>
              </w:rPr>
            </w:pPr>
            <w:r>
              <w:rPr>
                <w:noProof/>
              </w:rPr>
              <w:t>413</w:t>
            </w:r>
          </w:p>
        </w:tc>
        <w:tc>
          <w:tcPr>
            <w:tcW w:w="1639" w:type="dxa"/>
            <w:shd w:val="clear" w:color="auto" w:fill="C6EFCE"/>
            <w:vAlign w:val="center"/>
          </w:tcPr>
          <w:p w14:paraId="05A6C558" w14:textId="77777777" w:rsidR="00553430" w:rsidRDefault="00212577">
            <w:pPr>
              <w:pStyle w:val="P68B1DB1-Normal102"/>
              <w:spacing w:after="0" w:line="276" w:lineRule="auto"/>
              <w:jc w:val="center"/>
              <w:rPr>
                <w:noProof/>
              </w:rPr>
            </w:pPr>
            <w:r>
              <w:rPr>
                <w:noProof/>
              </w:rPr>
              <w:t>C7.1 R1-I3</w:t>
            </w:r>
          </w:p>
        </w:tc>
        <w:tc>
          <w:tcPr>
            <w:tcW w:w="1274" w:type="dxa"/>
            <w:shd w:val="clear" w:color="auto" w:fill="C6EFCE"/>
            <w:vAlign w:val="center"/>
          </w:tcPr>
          <w:p w14:paraId="69ED6A1A"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tcPr>
          <w:p w14:paraId="540C5CEF" w14:textId="77777777" w:rsidR="00553430" w:rsidRDefault="00212577">
            <w:pPr>
              <w:pStyle w:val="P68B1DB1-Normal102"/>
              <w:spacing w:after="0" w:line="276" w:lineRule="auto"/>
              <w:rPr>
                <w:noProof/>
              </w:rPr>
            </w:pPr>
            <w:r>
              <w:rPr>
                <w:noProof/>
              </w:rPr>
              <w:t>Travaux de forage géothermique réalisés</w:t>
            </w:r>
          </w:p>
        </w:tc>
      </w:tr>
      <w:tr w:rsidR="00553430" w14:paraId="4AC5BBAA" w14:textId="77777777">
        <w:trPr>
          <w:trHeight w:val="265"/>
        </w:trPr>
        <w:tc>
          <w:tcPr>
            <w:tcW w:w="1096" w:type="dxa"/>
            <w:shd w:val="clear" w:color="auto" w:fill="C6EFCE"/>
            <w:vAlign w:val="center"/>
          </w:tcPr>
          <w:p w14:paraId="759C55D8" w14:textId="77777777" w:rsidR="00553430" w:rsidRDefault="00212577">
            <w:pPr>
              <w:pStyle w:val="P68B1DB1-Normal102"/>
              <w:spacing w:after="0" w:line="240" w:lineRule="auto"/>
              <w:jc w:val="center"/>
              <w:textAlignment w:val="baseline"/>
              <w:rPr>
                <w:noProof/>
              </w:rPr>
            </w:pPr>
            <w:r>
              <w:rPr>
                <w:noProof/>
              </w:rPr>
              <w:t>414</w:t>
            </w:r>
          </w:p>
        </w:tc>
        <w:tc>
          <w:tcPr>
            <w:tcW w:w="1639" w:type="dxa"/>
            <w:shd w:val="clear" w:color="auto" w:fill="C6EFCE"/>
            <w:vAlign w:val="center"/>
          </w:tcPr>
          <w:p w14:paraId="09962500" w14:textId="77777777" w:rsidR="00553430" w:rsidRDefault="00212577">
            <w:pPr>
              <w:pStyle w:val="P68B1DB1-Normal102"/>
              <w:spacing w:after="0" w:line="276" w:lineRule="auto"/>
              <w:jc w:val="center"/>
              <w:rPr>
                <w:noProof/>
              </w:rPr>
            </w:pPr>
            <w:r>
              <w:rPr>
                <w:noProof/>
              </w:rPr>
              <w:t>C7.1 I1</w:t>
            </w:r>
          </w:p>
        </w:tc>
        <w:tc>
          <w:tcPr>
            <w:tcW w:w="1274" w:type="dxa"/>
            <w:shd w:val="clear" w:color="auto" w:fill="C6EFCE"/>
            <w:vAlign w:val="center"/>
          </w:tcPr>
          <w:p w14:paraId="60162945"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tcPr>
          <w:p w14:paraId="4D3A25B7" w14:textId="77777777" w:rsidR="00553430" w:rsidRDefault="00212577">
            <w:pPr>
              <w:pStyle w:val="P68B1DB1-Normal102"/>
              <w:spacing w:after="0" w:line="276" w:lineRule="auto"/>
              <w:rPr>
                <w:noProof/>
              </w:rPr>
            </w:pPr>
            <w:r>
              <w:rPr>
                <w:noProof/>
              </w:rPr>
              <w:t xml:space="preserve">103 autobus à carburant de substitution (électriques et/ou à hydrogène) </w:t>
            </w:r>
          </w:p>
        </w:tc>
      </w:tr>
      <w:tr w:rsidR="00553430" w14:paraId="1BEE0C92" w14:textId="77777777">
        <w:trPr>
          <w:trHeight w:val="265"/>
        </w:trPr>
        <w:tc>
          <w:tcPr>
            <w:tcW w:w="1096" w:type="dxa"/>
            <w:shd w:val="clear" w:color="auto" w:fill="C6EFCE"/>
            <w:vAlign w:val="center"/>
          </w:tcPr>
          <w:p w14:paraId="1EBD4EF6" w14:textId="77777777" w:rsidR="00553430" w:rsidRDefault="00212577">
            <w:pPr>
              <w:pStyle w:val="P68B1DB1-Normal102"/>
              <w:spacing w:after="0" w:line="240" w:lineRule="auto"/>
              <w:jc w:val="center"/>
              <w:textAlignment w:val="baseline"/>
              <w:rPr>
                <w:noProof/>
              </w:rPr>
            </w:pPr>
            <w:r>
              <w:rPr>
                <w:noProof/>
              </w:rPr>
              <w:t>415</w:t>
            </w:r>
          </w:p>
        </w:tc>
        <w:tc>
          <w:tcPr>
            <w:tcW w:w="1639" w:type="dxa"/>
            <w:shd w:val="clear" w:color="auto" w:fill="C6EFCE"/>
            <w:vAlign w:val="center"/>
          </w:tcPr>
          <w:p w14:paraId="5F8B03EA" w14:textId="77777777" w:rsidR="00553430" w:rsidRDefault="00212577">
            <w:pPr>
              <w:pStyle w:val="P68B1DB1-Normal102"/>
              <w:spacing w:after="0" w:line="276" w:lineRule="auto"/>
              <w:jc w:val="center"/>
              <w:rPr>
                <w:noProof/>
              </w:rPr>
            </w:pPr>
            <w:r>
              <w:rPr>
                <w:noProof/>
              </w:rPr>
              <w:t>C7.1 I1</w:t>
            </w:r>
          </w:p>
        </w:tc>
        <w:tc>
          <w:tcPr>
            <w:tcW w:w="1274" w:type="dxa"/>
            <w:shd w:val="clear" w:color="auto" w:fill="C6EFCE"/>
            <w:vAlign w:val="center"/>
          </w:tcPr>
          <w:p w14:paraId="73220BF6"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tcPr>
          <w:p w14:paraId="7C31C20B" w14:textId="77777777" w:rsidR="00553430" w:rsidRDefault="00212577">
            <w:pPr>
              <w:pStyle w:val="P68B1DB1-Normal102"/>
              <w:spacing w:after="0" w:line="276" w:lineRule="auto"/>
              <w:rPr>
                <w:noProof/>
              </w:rPr>
            </w:pPr>
            <w:r>
              <w:rPr>
                <w:noProof/>
              </w:rPr>
              <w:t>Une unité d’énergie hydrogène pour l’alimentation des locomotives électriques situées dans un wagon séparé (HERMES)</w:t>
            </w:r>
          </w:p>
        </w:tc>
      </w:tr>
      <w:tr w:rsidR="00553430" w14:paraId="5C17961A" w14:textId="77777777">
        <w:trPr>
          <w:trHeight w:val="389"/>
        </w:trPr>
        <w:tc>
          <w:tcPr>
            <w:tcW w:w="1096" w:type="dxa"/>
            <w:shd w:val="clear" w:color="auto" w:fill="C6EFCE"/>
            <w:vAlign w:val="center"/>
          </w:tcPr>
          <w:p w14:paraId="1664F829" w14:textId="77777777" w:rsidR="00553430" w:rsidRDefault="00212577">
            <w:pPr>
              <w:pStyle w:val="P68B1DB1-Normal66"/>
              <w:spacing w:after="0" w:line="240" w:lineRule="auto"/>
              <w:jc w:val="center"/>
              <w:textAlignment w:val="baseline"/>
              <w:rPr>
                <w:noProof/>
              </w:rPr>
            </w:pPr>
            <w:r>
              <w:rPr>
                <w:noProof/>
              </w:rPr>
              <w:t>429</w:t>
            </w:r>
          </w:p>
        </w:tc>
        <w:tc>
          <w:tcPr>
            <w:tcW w:w="1639" w:type="dxa"/>
            <w:shd w:val="clear" w:color="auto" w:fill="C6EFCE"/>
            <w:vAlign w:val="center"/>
          </w:tcPr>
          <w:p w14:paraId="3A90FC6F" w14:textId="77777777" w:rsidR="00553430" w:rsidRDefault="00212577">
            <w:pPr>
              <w:pStyle w:val="P68B1DB1-Normal66"/>
              <w:spacing w:after="0" w:line="276" w:lineRule="auto"/>
              <w:jc w:val="center"/>
              <w:rPr>
                <w:noProof/>
              </w:rPr>
            </w:pPr>
            <w:r>
              <w:rPr>
                <w:noProof/>
              </w:rPr>
              <w:t>C7.2 R1</w:t>
            </w:r>
          </w:p>
        </w:tc>
        <w:tc>
          <w:tcPr>
            <w:tcW w:w="1274" w:type="dxa"/>
            <w:shd w:val="clear" w:color="auto" w:fill="C6EFCE"/>
            <w:vAlign w:val="center"/>
          </w:tcPr>
          <w:p w14:paraId="6731095C" w14:textId="77777777" w:rsidR="00553430" w:rsidRDefault="00212577">
            <w:pPr>
              <w:pStyle w:val="P68B1DB1-Normal66"/>
              <w:spacing w:after="0" w:line="240" w:lineRule="auto"/>
              <w:jc w:val="center"/>
              <w:textAlignment w:val="baseline"/>
              <w:rPr>
                <w:noProof/>
              </w:rPr>
            </w:pPr>
            <w:r>
              <w:rPr>
                <w:noProof/>
              </w:rPr>
              <w:t>T</w:t>
            </w:r>
          </w:p>
        </w:tc>
        <w:tc>
          <w:tcPr>
            <w:tcW w:w="5347" w:type="dxa"/>
            <w:shd w:val="clear" w:color="auto" w:fill="C6EFCE"/>
          </w:tcPr>
          <w:p w14:paraId="5F4102DC" w14:textId="77777777" w:rsidR="00553430" w:rsidRDefault="00212577">
            <w:pPr>
              <w:pStyle w:val="P68B1DB1-Normal66"/>
              <w:spacing w:after="0" w:line="276" w:lineRule="auto"/>
              <w:rPr>
                <w:noProof/>
              </w:rPr>
            </w:pPr>
            <w:r>
              <w:rPr>
                <w:noProof/>
              </w:rPr>
              <w:t xml:space="preserve">Ateliers participatifs organisés </w:t>
            </w:r>
          </w:p>
        </w:tc>
      </w:tr>
      <w:tr w:rsidR="00553430" w14:paraId="72759D9E" w14:textId="77777777">
        <w:trPr>
          <w:trHeight w:val="254"/>
        </w:trPr>
        <w:tc>
          <w:tcPr>
            <w:tcW w:w="1096" w:type="dxa"/>
            <w:tcBorders>
              <w:top w:val="single" w:sz="4" w:space="0" w:color="auto"/>
              <w:left w:val="single" w:sz="4" w:space="0" w:color="auto"/>
              <w:bottom w:val="single" w:sz="4" w:space="0" w:color="auto"/>
              <w:right w:val="single" w:sz="4" w:space="0" w:color="auto"/>
            </w:tcBorders>
            <w:shd w:val="clear" w:color="auto" w:fill="C6EFCE"/>
          </w:tcPr>
          <w:p w14:paraId="0FE637AB" w14:textId="77777777" w:rsidR="00553430" w:rsidRDefault="00212577">
            <w:pPr>
              <w:pStyle w:val="P68B1DB1-Normal66"/>
              <w:spacing w:after="0" w:line="240" w:lineRule="auto"/>
              <w:jc w:val="center"/>
              <w:textAlignment w:val="baseline"/>
              <w:rPr>
                <w:noProof/>
              </w:rPr>
            </w:pPr>
            <w:r>
              <w:rPr>
                <w:noProof/>
              </w:rPr>
              <w:t>430</w:t>
            </w:r>
          </w:p>
        </w:tc>
        <w:tc>
          <w:tcPr>
            <w:tcW w:w="1639" w:type="dxa"/>
            <w:tcBorders>
              <w:top w:val="single" w:sz="4" w:space="0" w:color="auto"/>
              <w:left w:val="single" w:sz="4" w:space="0" w:color="auto"/>
              <w:bottom w:val="single" w:sz="4" w:space="0" w:color="auto"/>
              <w:right w:val="single" w:sz="4" w:space="0" w:color="auto"/>
            </w:tcBorders>
            <w:shd w:val="clear" w:color="auto" w:fill="C6EFCE"/>
          </w:tcPr>
          <w:p w14:paraId="0DF254E5" w14:textId="77777777" w:rsidR="00553430" w:rsidRDefault="00212577">
            <w:pPr>
              <w:pStyle w:val="P68B1DB1-Normal66"/>
              <w:spacing w:after="0" w:line="276" w:lineRule="auto"/>
              <w:jc w:val="center"/>
              <w:rPr>
                <w:noProof/>
              </w:rPr>
            </w:pPr>
            <w:r>
              <w:rPr>
                <w:noProof/>
              </w:rPr>
              <w:t>C7.2 R2</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24AF8A64" w14:textId="77777777" w:rsidR="00553430" w:rsidRDefault="00212577">
            <w:pPr>
              <w:pStyle w:val="P68B1DB1-Normal66"/>
              <w:spacing w:after="0" w:line="240" w:lineRule="auto"/>
              <w:jc w:val="center"/>
              <w:textAlignment w:val="baseline"/>
              <w:rPr>
                <w:noProof/>
              </w:rPr>
            </w:pPr>
            <w:r>
              <w:rPr>
                <w:noProof/>
              </w:rPr>
              <w:t>T</w:t>
            </w:r>
          </w:p>
        </w:tc>
        <w:tc>
          <w:tcPr>
            <w:tcW w:w="5347" w:type="dxa"/>
            <w:tcBorders>
              <w:top w:val="single" w:sz="4" w:space="0" w:color="auto"/>
              <w:left w:val="single" w:sz="4" w:space="0" w:color="auto"/>
              <w:bottom w:val="single" w:sz="4" w:space="0" w:color="auto"/>
              <w:right w:val="single" w:sz="4" w:space="0" w:color="auto"/>
            </w:tcBorders>
            <w:shd w:val="clear" w:color="auto" w:fill="C6EFCE"/>
          </w:tcPr>
          <w:p w14:paraId="7D5CF6D1" w14:textId="77777777" w:rsidR="00553430" w:rsidRDefault="00212577">
            <w:pPr>
              <w:pStyle w:val="P68B1DB1-Normal66"/>
              <w:spacing w:after="0" w:line="276" w:lineRule="auto"/>
              <w:rPr>
                <w:noProof/>
              </w:rPr>
            </w:pPr>
            <w:r>
              <w:rPr>
                <w:noProof/>
              </w:rPr>
              <w:t>Adoption de stratégies de rénovation urbaine verte</w:t>
            </w:r>
          </w:p>
        </w:tc>
      </w:tr>
      <w:tr w:rsidR="00553430" w14:paraId="01B801DF" w14:textId="77777777">
        <w:trPr>
          <w:trHeight w:val="555"/>
        </w:trPr>
        <w:tc>
          <w:tcPr>
            <w:tcW w:w="1096" w:type="dxa"/>
            <w:shd w:val="clear" w:color="auto" w:fill="C6EFCE"/>
            <w:vAlign w:val="center"/>
          </w:tcPr>
          <w:p w14:paraId="252CB39B" w14:textId="77777777" w:rsidR="00553430" w:rsidRDefault="00212577">
            <w:pPr>
              <w:pStyle w:val="P68B1DB1-Normal102"/>
              <w:spacing w:after="0" w:line="240" w:lineRule="auto"/>
              <w:jc w:val="center"/>
              <w:textAlignment w:val="baseline"/>
              <w:rPr>
                <w:noProof/>
              </w:rPr>
            </w:pPr>
            <w:r>
              <w:rPr>
                <w:noProof/>
              </w:rPr>
              <w:t>431</w:t>
            </w:r>
          </w:p>
        </w:tc>
        <w:tc>
          <w:tcPr>
            <w:tcW w:w="1639" w:type="dxa"/>
            <w:shd w:val="clear" w:color="auto" w:fill="C6EFCE"/>
            <w:vAlign w:val="center"/>
          </w:tcPr>
          <w:p w14:paraId="3EF308DE" w14:textId="77777777" w:rsidR="00553430" w:rsidRDefault="00212577">
            <w:pPr>
              <w:pStyle w:val="P68B1DB1-Normal102"/>
              <w:spacing w:after="0" w:line="276" w:lineRule="auto"/>
              <w:jc w:val="center"/>
              <w:rPr>
                <w:noProof/>
              </w:rPr>
            </w:pPr>
            <w:r>
              <w:rPr>
                <w:noProof/>
              </w:rPr>
              <w:t>C7.2 R2</w:t>
            </w:r>
          </w:p>
        </w:tc>
        <w:tc>
          <w:tcPr>
            <w:tcW w:w="1274" w:type="dxa"/>
            <w:shd w:val="clear" w:color="auto" w:fill="C6EFCE"/>
            <w:vAlign w:val="center"/>
          </w:tcPr>
          <w:p w14:paraId="0CA7F209"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tcPr>
          <w:p w14:paraId="21FCFE64" w14:textId="77777777" w:rsidR="00553430" w:rsidRDefault="00212577">
            <w:pPr>
              <w:pStyle w:val="P68B1DB1-Normal102"/>
              <w:spacing w:after="0" w:line="276" w:lineRule="auto"/>
              <w:rPr>
                <w:noProof/>
              </w:rPr>
            </w:pPr>
            <w:r>
              <w:rPr>
                <w:noProof/>
              </w:rPr>
              <w:t xml:space="preserve">Finalisation des projets pilotes identifiés dans le cadre des stratégies de rénovation urbaine verte </w:t>
            </w:r>
          </w:p>
        </w:tc>
      </w:tr>
      <w:tr w:rsidR="00553430" w14:paraId="2628FBE6" w14:textId="77777777">
        <w:trPr>
          <w:trHeight w:val="42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0B2C7CB1" w14:textId="77777777" w:rsidR="00553430" w:rsidRDefault="00212577">
            <w:pPr>
              <w:pStyle w:val="P68B1DB1-Normal102"/>
              <w:spacing w:after="0" w:line="240" w:lineRule="auto"/>
              <w:jc w:val="center"/>
              <w:textAlignment w:val="baseline"/>
              <w:rPr>
                <w:rFonts w:eastAsia="Calibri"/>
                <w:noProof/>
              </w:rPr>
            </w:pPr>
            <w:r>
              <w:rPr>
                <w:noProof/>
              </w:rPr>
              <w:t>442</w:t>
            </w:r>
          </w:p>
        </w:tc>
        <w:tc>
          <w:tcPr>
            <w:tcW w:w="1639" w:type="dxa"/>
            <w:tcBorders>
              <w:top w:val="single" w:sz="4" w:space="0" w:color="auto"/>
              <w:left w:val="single" w:sz="4" w:space="0" w:color="auto"/>
              <w:bottom w:val="single" w:sz="4" w:space="0" w:color="auto"/>
              <w:right w:val="single" w:sz="4" w:space="0" w:color="auto"/>
            </w:tcBorders>
            <w:shd w:val="clear" w:color="auto" w:fill="C6EFCE"/>
            <w:vAlign w:val="center"/>
          </w:tcPr>
          <w:p w14:paraId="44B83A04" w14:textId="77777777" w:rsidR="00553430" w:rsidRDefault="00212577">
            <w:pPr>
              <w:pStyle w:val="P68B1DB1-Normal102"/>
              <w:spacing w:after="0" w:line="276" w:lineRule="auto"/>
              <w:jc w:val="center"/>
              <w:rPr>
                <w:rFonts w:eastAsia="Calibri"/>
                <w:noProof/>
              </w:rPr>
            </w:pPr>
            <w:r>
              <w:rPr>
                <w:noProof/>
              </w:rPr>
              <w:t>C2.4 R2</w:t>
            </w:r>
          </w:p>
        </w:tc>
        <w:tc>
          <w:tcPr>
            <w:tcW w:w="1274" w:type="dxa"/>
            <w:tcBorders>
              <w:top w:val="single" w:sz="4" w:space="0" w:color="auto"/>
              <w:left w:val="single" w:sz="4" w:space="0" w:color="auto"/>
              <w:bottom w:val="single" w:sz="4" w:space="0" w:color="auto"/>
              <w:right w:val="single" w:sz="4" w:space="0" w:color="auto"/>
            </w:tcBorders>
            <w:shd w:val="clear" w:color="auto" w:fill="C6EFCE"/>
            <w:vAlign w:val="center"/>
          </w:tcPr>
          <w:p w14:paraId="6A968043" w14:textId="77777777" w:rsidR="00553430" w:rsidRDefault="00212577">
            <w:pPr>
              <w:pStyle w:val="P68B1DB1-Normal102"/>
              <w:spacing w:after="0" w:line="240" w:lineRule="auto"/>
              <w:jc w:val="center"/>
              <w:textAlignment w:val="baseline"/>
              <w:rPr>
                <w:rFonts w:eastAsia="Calibri"/>
                <w:noProof/>
              </w:rPr>
            </w:pPr>
            <w:r>
              <w:rPr>
                <w:noProof/>
              </w:rPr>
              <w:t>M</w:t>
            </w:r>
          </w:p>
        </w:tc>
        <w:tc>
          <w:tcPr>
            <w:tcW w:w="5347" w:type="dxa"/>
            <w:tcBorders>
              <w:top w:val="single" w:sz="4" w:space="0" w:color="auto"/>
              <w:left w:val="single" w:sz="4" w:space="0" w:color="auto"/>
              <w:bottom w:val="single" w:sz="4" w:space="0" w:color="auto"/>
              <w:right w:val="single" w:sz="4" w:space="0" w:color="auto"/>
            </w:tcBorders>
            <w:shd w:val="clear" w:color="auto" w:fill="C6EFCE"/>
            <w:vAlign w:val="center"/>
          </w:tcPr>
          <w:p w14:paraId="2AC36C93" w14:textId="77777777" w:rsidR="00553430" w:rsidRDefault="00212577">
            <w:pPr>
              <w:pStyle w:val="P68B1DB1-Normal102"/>
              <w:spacing w:after="0" w:line="276" w:lineRule="auto"/>
              <w:rPr>
                <w:rFonts w:eastAsia="Calibri"/>
                <w:noProof/>
              </w:rPr>
            </w:pPr>
            <w:r>
              <w:rPr>
                <w:noProof/>
              </w:rPr>
              <w:t>Politique de propriété des entreprises publiques</w:t>
            </w:r>
          </w:p>
        </w:tc>
      </w:tr>
      <w:tr w:rsidR="00553430" w14:paraId="274A21FC" w14:textId="77777777">
        <w:trPr>
          <w:trHeight w:val="555"/>
        </w:trPr>
        <w:tc>
          <w:tcPr>
            <w:tcW w:w="1096" w:type="dxa"/>
            <w:tcBorders>
              <w:top w:val="single" w:sz="4" w:space="0" w:color="auto"/>
              <w:left w:val="single" w:sz="4" w:space="0" w:color="auto"/>
              <w:bottom w:val="single" w:sz="4" w:space="0" w:color="auto"/>
              <w:right w:val="single" w:sz="4" w:space="0" w:color="auto"/>
            </w:tcBorders>
            <w:shd w:val="clear" w:color="auto" w:fill="C6EFCE"/>
          </w:tcPr>
          <w:p w14:paraId="0D547EC0" w14:textId="77777777" w:rsidR="00553430" w:rsidRDefault="00212577">
            <w:pPr>
              <w:pStyle w:val="P68B1DB1-Normal66"/>
              <w:spacing w:after="0" w:line="240" w:lineRule="auto"/>
              <w:jc w:val="center"/>
              <w:textAlignment w:val="baseline"/>
              <w:rPr>
                <w:noProof/>
              </w:rPr>
            </w:pPr>
            <w:r>
              <w:rPr>
                <w:noProof/>
              </w:rPr>
              <w:t>444</w:t>
            </w:r>
          </w:p>
        </w:tc>
        <w:tc>
          <w:tcPr>
            <w:tcW w:w="1639" w:type="dxa"/>
            <w:tcBorders>
              <w:top w:val="single" w:sz="4" w:space="0" w:color="auto"/>
              <w:left w:val="single" w:sz="4" w:space="0" w:color="auto"/>
              <w:bottom w:val="single" w:sz="4" w:space="0" w:color="auto"/>
              <w:right w:val="single" w:sz="4" w:space="0" w:color="auto"/>
            </w:tcBorders>
            <w:shd w:val="clear" w:color="auto" w:fill="C6EFCE"/>
          </w:tcPr>
          <w:p w14:paraId="7D8F3734" w14:textId="77777777" w:rsidR="00553430" w:rsidRDefault="00212577">
            <w:pPr>
              <w:pStyle w:val="P68B1DB1-Normal66"/>
              <w:spacing w:after="0" w:line="276" w:lineRule="auto"/>
              <w:jc w:val="center"/>
              <w:rPr>
                <w:noProof/>
              </w:rPr>
            </w:pPr>
            <w:r>
              <w:rPr>
                <w:noProof/>
              </w:rPr>
              <w:t>C1.1.1. R4-I5</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7A45D394" w14:textId="77777777" w:rsidR="00553430" w:rsidRDefault="00212577">
            <w:pPr>
              <w:pStyle w:val="P68B1DB1-Normal66"/>
              <w:spacing w:after="0" w:line="240" w:lineRule="auto"/>
              <w:jc w:val="center"/>
              <w:textAlignment w:val="baseline"/>
              <w:rPr>
                <w:noProof/>
              </w:rPr>
            </w:pPr>
            <w:r>
              <w:rPr>
                <w:noProof/>
              </w:rPr>
              <w:t>M</w:t>
            </w:r>
          </w:p>
        </w:tc>
        <w:tc>
          <w:tcPr>
            <w:tcW w:w="5347" w:type="dxa"/>
            <w:tcBorders>
              <w:top w:val="single" w:sz="4" w:space="0" w:color="auto"/>
              <w:left w:val="single" w:sz="4" w:space="0" w:color="auto"/>
              <w:bottom w:val="single" w:sz="4" w:space="0" w:color="auto"/>
              <w:right w:val="single" w:sz="4" w:space="0" w:color="auto"/>
            </w:tcBorders>
            <w:shd w:val="clear" w:color="auto" w:fill="C6EFCE"/>
          </w:tcPr>
          <w:p w14:paraId="63D2C12F" w14:textId="77777777" w:rsidR="00553430" w:rsidRDefault="00212577">
            <w:pPr>
              <w:pStyle w:val="P68B1DB1-Normal66"/>
              <w:spacing w:after="0" w:line="276" w:lineRule="auto"/>
              <w:rPr>
                <w:noProof/>
              </w:rPr>
            </w:pPr>
            <w:r>
              <w:rPr>
                <w:noProof/>
              </w:rPr>
              <w:t xml:space="preserve">Politique d’investissement pour les investissements numériques </w:t>
            </w:r>
            <w:r>
              <w:rPr>
                <w:noProof/>
              </w:rPr>
              <w:t>stratégiques et les investissements verts stratégiques</w:t>
            </w:r>
          </w:p>
        </w:tc>
      </w:tr>
      <w:tr w:rsidR="00553430" w14:paraId="584B6EAB" w14:textId="77777777">
        <w:trPr>
          <w:trHeight w:val="549"/>
        </w:trPr>
        <w:tc>
          <w:tcPr>
            <w:tcW w:w="1096" w:type="dxa"/>
            <w:shd w:val="clear" w:color="auto" w:fill="C6EFCE"/>
            <w:vAlign w:val="center"/>
          </w:tcPr>
          <w:p w14:paraId="62068854" w14:textId="77777777" w:rsidR="00553430" w:rsidRDefault="00212577">
            <w:pPr>
              <w:pStyle w:val="P68B1DB1-Normal102"/>
              <w:spacing w:after="0" w:line="240" w:lineRule="auto"/>
              <w:jc w:val="center"/>
              <w:textAlignment w:val="baseline"/>
              <w:rPr>
                <w:noProof/>
              </w:rPr>
            </w:pPr>
            <w:r>
              <w:rPr>
                <w:noProof/>
              </w:rPr>
              <w:t>445</w:t>
            </w:r>
          </w:p>
        </w:tc>
        <w:tc>
          <w:tcPr>
            <w:tcW w:w="1639" w:type="dxa"/>
            <w:shd w:val="clear" w:color="auto" w:fill="C6EFCE"/>
            <w:vAlign w:val="center"/>
          </w:tcPr>
          <w:p w14:paraId="2FA8D8CE" w14:textId="77777777" w:rsidR="00553430" w:rsidRDefault="00212577">
            <w:pPr>
              <w:pStyle w:val="P68B1DB1-Normal102"/>
              <w:spacing w:after="0" w:line="276" w:lineRule="auto"/>
              <w:jc w:val="center"/>
              <w:rPr>
                <w:noProof/>
              </w:rPr>
            </w:pPr>
            <w:r>
              <w:rPr>
                <w:noProof/>
              </w:rPr>
              <w:t>C1.1.1. R4-I5</w:t>
            </w:r>
          </w:p>
        </w:tc>
        <w:tc>
          <w:tcPr>
            <w:tcW w:w="1274" w:type="dxa"/>
            <w:shd w:val="clear" w:color="auto" w:fill="C6EFCE"/>
            <w:vAlign w:val="center"/>
          </w:tcPr>
          <w:p w14:paraId="7B922BF3" w14:textId="77777777" w:rsidR="00553430" w:rsidRDefault="00212577">
            <w:pPr>
              <w:pStyle w:val="P68B1DB1-Normal102"/>
              <w:spacing w:after="0" w:line="240" w:lineRule="auto"/>
              <w:jc w:val="center"/>
              <w:textAlignment w:val="baseline"/>
              <w:rPr>
                <w:noProof/>
              </w:rPr>
            </w:pPr>
            <w:r>
              <w:rPr>
                <w:noProof/>
              </w:rPr>
              <w:t>M</w:t>
            </w:r>
          </w:p>
        </w:tc>
        <w:tc>
          <w:tcPr>
            <w:tcW w:w="5347" w:type="dxa"/>
            <w:shd w:val="clear" w:color="auto" w:fill="C6EFCE"/>
          </w:tcPr>
          <w:p w14:paraId="31AD16AB" w14:textId="77777777" w:rsidR="00553430" w:rsidRDefault="00212577">
            <w:pPr>
              <w:pStyle w:val="P68B1DB1-Normal102"/>
              <w:spacing w:after="0" w:line="276" w:lineRule="auto"/>
              <w:rPr>
                <w:noProof/>
              </w:rPr>
            </w:pPr>
            <w:r>
              <w:rPr>
                <w:noProof/>
              </w:rPr>
              <w:t>Injection de fonds propres pour les investissements numériques stratégiques et les investissements verts stratégiques</w:t>
            </w:r>
          </w:p>
        </w:tc>
      </w:tr>
      <w:tr w:rsidR="00553430" w14:paraId="74FE4358" w14:textId="77777777">
        <w:trPr>
          <w:trHeight w:val="563"/>
        </w:trPr>
        <w:tc>
          <w:tcPr>
            <w:tcW w:w="1096" w:type="dxa"/>
            <w:shd w:val="clear" w:color="auto" w:fill="C6EFCE"/>
            <w:vAlign w:val="center"/>
          </w:tcPr>
          <w:p w14:paraId="60E17A13" w14:textId="77777777" w:rsidR="00553430" w:rsidRDefault="00212577">
            <w:pPr>
              <w:pStyle w:val="P68B1DB1-Normal102"/>
              <w:spacing w:after="0" w:line="240" w:lineRule="auto"/>
              <w:jc w:val="center"/>
              <w:textAlignment w:val="baseline"/>
              <w:rPr>
                <w:noProof/>
              </w:rPr>
            </w:pPr>
            <w:r>
              <w:rPr>
                <w:noProof/>
              </w:rPr>
              <w:t>448</w:t>
            </w:r>
          </w:p>
        </w:tc>
        <w:tc>
          <w:tcPr>
            <w:tcW w:w="1639" w:type="dxa"/>
            <w:shd w:val="clear" w:color="auto" w:fill="C6EFCE"/>
            <w:vAlign w:val="center"/>
          </w:tcPr>
          <w:p w14:paraId="45151094" w14:textId="77777777" w:rsidR="00553430" w:rsidRDefault="00212577">
            <w:pPr>
              <w:pStyle w:val="P68B1DB1-Normal102"/>
              <w:spacing w:after="0" w:line="276" w:lineRule="auto"/>
              <w:jc w:val="center"/>
              <w:rPr>
                <w:noProof/>
              </w:rPr>
            </w:pPr>
            <w:r>
              <w:rPr>
                <w:noProof/>
              </w:rPr>
              <w:t>C7.2 I3</w:t>
            </w:r>
          </w:p>
        </w:tc>
        <w:tc>
          <w:tcPr>
            <w:tcW w:w="1274" w:type="dxa"/>
            <w:shd w:val="clear" w:color="auto" w:fill="C6EFCE"/>
            <w:vAlign w:val="center"/>
          </w:tcPr>
          <w:p w14:paraId="5429EA43" w14:textId="77777777" w:rsidR="00553430" w:rsidRDefault="00212577">
            <w:pPr>
              <w:pStyle w:val="P68B1DB1-Normal102"/>
              <w:spacing w:after="0" w:line="240" w:lineRule="auto"/>
              <w:jc w:val="center"/>
              <w:textAlignment w:val="baseline"/>
              <w:rPr>
                <w:noProof/>
              </w:rPr>
            </w:pPr>
            <w:r>
              <w:rPr>
                <w:noProof/>
              </w:rPr>
              <w:t>T</w:t>
            </w:r>
          </w:p>
        </w:tc>
        <w:tc>
          <w:tcPr>
            <w:tcW w:w="5347" w:type="dxa"/>
            <w:shd w:val="clear" w:color="auto" w:fill="C6EFCE"/>
          </w:tcPr>
          <w:p w14:paraId="670CE6C7" w14:textId="77777777" w:rsidR="00553430" w:rsidRDefault="00212577">
            <w:pPr>
              <w:pStyle w:val="P68B1DB1-Normal102"/>
              <w:spacing w:after="0" w:line="276" w:lineRule="auto"/>
              <w:rPr>
                <w:noProof/>
              </w:rPr>
            </w:pPr>
            <w:r>
              <w:rPr>
                <w:noProof/>
              </w:rPr>
              <w:t xml:space="preserve">Rénovation énergétique et post-séisme des </w:t>
            </w:r>
            <w:r>
              <w:rPr>
                <w:noProof/>
              </w:rPr>
              <w:t>bâtiments publics endommagés par les tremblements de terre</w:t>
            </w:r>
          </w:p>
        </w:tc>
      </w:tr>
      <w:tr w:rsidR="00553430" w14:paraId="50F3342D" w14:textId="77777777">
        <w:trPr>
          <w:trHeight w:val="51"/>
        </w:trPr>
        <w:tc>
          <w:tcPr>
            <w:tcW w:w="1096" w:type="dxa"/>
            <w:shd w:val="clear" w:color="auto" w:fill="C6EFCE"/>
          </w:tcPr>
          <w:p w14:paraId="596A8C1D" w14:textId="77777777" w:rsidR="00553430" w:rsidRDefault="00553430">
            <w:pPr>
              <w:spacing w:after="0" w:line="240" w:lineRule="auto"/>
              <w:jc w:val="center"/>
              <w:textAlignment w:val="baseline"/>
              <w:rPr>
                <w:rFonts w:ascii="Times New Roman" w:hAnsi="Times New Roman" w:cs="Times New Roman"/>
                <w:noProof/>
                <w:color w:val="000000"/>
                <w:sz w:val="20"/>
                <w:szCs w:val="20"/>
              </w:rPr>
            </w:pPr>
          </w:p>
        </w:tc>
        <w:tc>
          <w:tcPr>
            <w:tcW w:w="1639" w:type="dxa"/>
            <w:shd w:val="clear" w:color="auto" w:fill="C6EFCE"/>
          </w:tcPr>
          <w:p w14:paraId="678E2C32" w14:textId="77777777" w:rsidR="00553430" w:rsidRDefault="00553430">
            <w:pPr>
              <w:spacing w:after="0" w:line="240" w:lineRule="auto"/>
              <w:jc w:val="both"/>
              <w:textAlignment w:val="baseline"/>
              <w:rPr>
                <w:rFonts w:ascii="Times New Roman" w:hAnsi="Times New Roman" w:cs="Times New Roman"/>
                <w:noProof/>
                <w:color w:val="000000"/>
                <w:sz w:val="20"/>
                <w:szCs w:val="20"/>
              </w:rPr>
            </w:pPr>
          </w:p>
        </w:tc>
        <w:tc>
          <w:tcPr>
            <w:tcW w:w="1274" w:type="dxa"/>
            <w:shd w:val="clear" w:color="auto" w:fill="C6EFCE"/>
          </w:tcPr>
          <w:p w14:paraId="54425713" w14:textId="77777777" w:rsidR="00553430" w:rsidRDefault="00212577">
            <w:pPr>
              <w:pStyle w:val="P68B1DB1-Normal102"/>
              <w:spacing w:after="0" w:line="240" w:lineRule="auto"/>
              <w:jc w:val="both"/>
              <w:textAlignment w:val="baseline"/>
              <w:rPr>
                <w:noProof/>
              </w:rPr>
            </w:pPr>
            <w:r>
              <w:rPr>
                <w:noProof/>
              </w:rPr>
              <w:t>Montant des acomptes provisionnels</w:t>
            </w:r>
          </w:p>
        </w:tc>
        <w:tc>
          <w:tcPr>
            <w:tcW w:w="5347" w:type="dxa"/>
            <w:shd w:val="clear" w:color="auto" w:fill="C6EFCE"/>
            <w:vAlign w:val="center"/>
          </w:tcPr>
          <w:p w14:paraId="101356BC" w14:textId="3AD091DC" w:rsidR="00553430" w:rsidRDefault="00212577">
            <w:pPr>
              <w:pStyle w:val="P68B1DB1-Normal102"/>
              <w:spacing w:after="0" w:line="240" w:lineRule="auto"/>
              <w:jc w:val="both"/>
              <w:textAlignment w:val="baseline"/>
              <w:rPr>
                <w:noProof/>
              </w:rPr>
            </w:pPr>
            <w:r>
              <w:rPr>
                <w:noProof/>
              </w:rPr>
              <w:t>1 015 269 647 EUR</w:t>
            </w:r>
          </w:p>
        </w:tc>
      </w:tr>
    </w:tbl>
    <w:p w14:paraId="1D257FEF" w14:textId="77777777" w:rsidR="00553430" w:rsidRDefault="00553430">
      <w:pPr>
        <w:spacing w:after="0" w:line="240" w:lineRule="auto"/>
        <w:jc w:val="both"/>
        <w:textAlignment w:val="baseline"/>
        <w:rPr>
          <w:rFonts w:ascii="Times New Roman" w:eastAsia="Times New Roman" w:hAnsi="Times New Roman" w:cs="Times New Roman"/>
          <w:noProof/>
          <w:szCs w:val="24"/>
        </w:rPr>
      </w:pPr>
    </w:p>
    <w:p w14:paraId="7165D2AC" w14:textId="00515CA4" w:rsidR="00553430" w:rsidRDefault="00212577">
      <w:pPr>
        <w:pStyle w:val="P68B1DB1-Normal142"/>
        <w:rPr>
          <w:noProof/>
        </w:rPr>
      </w:pPr>
      <w:r>
        <w:rPr>
          <w:noProof/>
        </w:rPr>
        <w:br w:type="page"/>
      </w:r>
    </w:p>
    <w:p w14:paraId="6A501255" w14:textId="3B69773E" w:rsidR="00553430" w:rsidRDefault="00212577">
      <w:pPr>
        <w:pStyle w:val="P68B1DB1-Normal143"/>
        <w:spacing w:after="0" w:line="240" w:lineRule="auto"/>
        <w:ind w:left="710"/>
        <w:jc w:val="both"/>
        <w:textAlignment w:val="baseline"/>
        <w:rPr>
          <w:noProof/>
        </w:rPr>
      </w:pPr>
      <w:r>
        <w:rPr>
          <w:noProof/>
        </w:rPr>
        <w:t xml:space="preserve">2. Prêt </w:t>
      </w:r>
    </w:p>
    <w:p w14:paraId="1CDC3ED7" w14:textId="77777777" w:rsidR="00553430" w:rsidRDefault="00553430">
      <w:pPr>
        <w:spacing w:after="0" w:line="240" w:lineRule="auto"/>
        <w:jc w:val="both"/>
        <w:textAlignment w:val="baseline"/>
        <w:rPr>
          <w:rFonts w:ascii="Times New Roman" w:eastAsia="Times New Roman" w:hAnsi="Times New Roman" w:cs="Times New Roman"/>
          <w:noProof/>
          <w:szCs w:val="24"/>
        </w:rPr>
      </w:pPr>
    </w:p>
    <w:p w14:paraId="48639087" w14:textId="77777777" w:rsidR="00553430" w:rsidRDefault="00212577">
      <w:pPr>
        <w:pStyle w:val="P68B1DB1-Normal142"/>
        <w:spacing w:after="0" w:line="240" w:lineRule="auto"/>
        <w:ind w:firstLine="710"/>
        <w:jc w:val="both"/>
        <w:textAlignment w:val="baseline"/>
        <w:rPr>
          <w:noProof/>
          <w:sz w:val="18"/>
          <w:szCs w:val="18"/>
        </w:rPr>
      </w:pPr>
      <w:r>
        <w:rPr>
          <w:noProof/>
        </w:rPr>
        <w:t>Les tranches visées à l'article 3, paragraphe 2, sont organisées de la manière suivante: </w:t>
      </w:r>
    </w:p>
    <w:p w14:paraId="2EAC5D64" w14:textId="77777777" w:rsidR="00553430" w:rsidRDefault="00212577">
      <w:pPr>
        <w:pStyle w:val="P68B1DB1-Normal142"/>
        <w:spacing w:after="0" w:line="240" w:lineRule="auto"/>
        <w:jc w:val="both"/>
        <w:textAlignment w:val="baseline"/>
        <w:rPr>
          <w:noProof/>
          <w:sz w:val="18"/>
          <w:szCs w:val="18"/>
        </w:rPr>
      </w:pPr>
      <w:r>
        <w:rPr>
          <w:noProof/>
        </w:rPr>
        <w:t> </w:t>
      </w:r>
    </w:p>
    <w:p w14:paraId="258790B5" w14:textId="77777777" w:rsidR="00553430" w:rsidRDefault="00212577">
      <w:pPr>
        <w:pStyle w:val="P68B1DB1-Normal142"/>
        <w:numPr>
          <w:ilvl w:val="0"/>
          <w:numId w:val="81"/>
        </w:numPr>
        <w:spacing w:line="240" w:lineRule="auto"/>
        <w:jc w:val="both"/>
        <w:textAlignment w:val="baseline"/>
        <w:rPr>
          <w:noProof/>
        </w:rPr>
      </w:pPr>
      <w:r>
        <w:rPr>
          <w:noProof/>
        </w:rPr>
        <w:t xml:space="preserve">Première tranche (soutien sous </w:t>
      </w:r>
      <w:r>
        <w:rPr>
          <w:noProof/>
        </w:rPr>
        <w:t>forme de prêt): </w:t>
      </w:r>
    </w:p>
    <w:tbl>
      <w:tblPr>
        <w:tblW w:w="9379"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6"/>
        <w:gridCol w:w="1642"/>
        <w:gridCol w:w="1276"/>
        <w:gridCol w:w="5365"/>
      </w:tblGrid>
      <w:tr w:rsidR="00553430" w14:paraId="39EF72DF" w14:textId="77777777">
        <w:trPr>
          <w:trHeight w:val="1029"/>
          <w:tblHeader/>
        </w:trPr>
        <w:tc>
          <w:tcPr>
            <w:tcW w:w="1096" w:type="dxa"/>
            <w:shd w:val="clear" w:color="auto" w:fill="BDD7EE"/>
            <w:vAlign w:val="center"/>
            <w:hideMark/>
          </w:tcPr>
          <w:p w14:paraId="5CC73F40" w14:textId="77777777" w:rsidR="00553430" w:rsidRDefault="00212577">
            <w:pPr>
              <w:pStyle w:val="P68B1DB1-Normal76"/>
              <w:spacing w:after="0" w:line="240" w:lineRule="auto"/>
              <w:jc w:val="center"/>
              <w:textAlignment w:val="baseline"/>
              <w:rPr>
                <w:noProof/>
              </w:rPr>
            </w:pPr>
            <w:r>
              <w:rPr>
                <w:b/>
                <w:noProof/>
              </w:rPr>
              <w:t>Numéro séquentiel</w:t>
            </w:r>
            <w:r>
              <w:rPr>
                <w:noProof/>
              </w:rPr>
              <w:t> </w:t>
            </w:r>
          </w:p>
        </w:tc>
        <w:tc>
          <w:tcPr>
            <w:tcW w:w="1642" w:type="dxa"/>
            <w:shd w:val="clear" w:color="auto" w:fill="BDD7EE"/>
            <w:vAlign w:val="center"/>
            <w:hideMark/>
          </w:tcPr>
          <w:p w14:paraId="62D26FBC" w14:textId="77777777" w:rsidR="00553430" w:rsidRDefault="00212577">
            <w:pPr>
              <w:pStyle w:val="P68B1DB1-Normal76"/>
              <w:spacing w:after="0" w:line="240" w:lineRule="auto"/>
              <w:jc w:val="center"/>
              <w:textAlignment w:val="baseline"/>
              <w:rPr>
                <w:noProof/>
              </w:rPr>
            </w:pPr>
            <w:r>
              <w:rPr>
                <w:b/>
                <w:noProof/>
              </w:rPr>
              <w:t>Mesure connexe (réforme ou investissement)</w:t>
            </w:r>
            <w:r>
              <w:rPr>
                <w:noProof/>
              </w:rPr>
              <w:t> </w:t>
            </w:r>
          </w:p>
        </w:tc>
        <w:tc>
          <w:tcPr>
            <w:tcW w:w="1276" w:type="dxa"/>
            <w:shd w:val="clear" w:color="auto" w:fill="BDD7EE"/>
            <w:vAlign w:val="center"/>
            <w:hideMark/>
          </w:tcPr>
          <w:p w14:paraId="3E15784E" w14:textId="77777777" w:rsidR="00553430" w:rsidRDefault="00212577">
            <w:pPr>
              <w:pStyle w:val="P68B1DB1-Normal76"/>
              <w:spacing w:after="0" w:line="240" w:lineRule="auto"/>
              <w:jc w:val="center"/>
              <w:textAlignment w:val="baseline"/>
              <w:rPr>
                <w:noProof/>
              </w:rPr>
            </w:pPr>
            <w:r>
              <w:rPr>
                <w:b/>
                <w:noProof/>
              </w:rPr>
              <w:t>Étape/cible</w:t>
            </w:r>
            <w:r>
              <w:rPr>
                <w:noProof/>
              </w:rPr>
              <w:t> </w:t>
            </w:r>
          </w:p>
        </w:tc>
        <w:tc>
          <w:tcPr>
            <w:tcW w:w="5365" w:type="dxa"/>
            <w:shd w:val="clear" w:color="auto" w:fill="BDD7EE"/>
            <w:vAlign w:val="center"/>
            <w:hideMark/>
          </w:tcPr>
          <w:p w14:paraId="58B52F96" w14:textId="77777777" w:rsidR="00553430" w:rsidRDefault="00212577">
            <w:pPr>
              <w:pStyle w:val="P68B1DB1-Normal76"/>
              <w:spacing w:after="0" w:line="240" w:lineRule="auto"/>
              <w:jc w:val="center"/>
              <w:textAlignment w:val="baseline"/>
              <w:rPr>
                <w:noProof/>
              </w:rPr>
            </w:pPr>
            <w:r>
              <w:rPr>
                <w:b/>
                <w:noProof/>
              </w:rPr>
              <w:t>Nom</w:t>
            </w:r>
            <w:r>
              <w:rPr>
                <w:noProof/>
              </w:rPr>
              <w:t> </w:t>
            </w:r>
          </w:p>
        </w:tc>
      </w:tr>
      <w:tr w:rsidR="00553430" w14:paraId="2E2B4A4A" w14:textId="77777777">
        <w:trPr>
          <w:trHeight w:val="343"/>
        </w:trPr>
        <w:tc>
          <w:tcPr>
            <w:tcW w:w="1096" w:type="dxa"/>
            <w:shd w:val="clear" w:color="auto" w:fill="C6EFCE"/>
            <w:vAlign w:val="center"/>
          </w:tcPr>
          <w:p w14:paraId="3216A5A3" w14:textId="77777777" w:rsidR="00553430" w:rsidRDefault="00212577">
            <w:pPr>
              <w:pStyle w:val="P68B1DB1-Normal102"/>
              <w:spacing w:after="0" w:line="240" w:lineRule="auto"/>
              <w:jc w:val="center"/>
              <w:textAlignment w:val="baseline"/>
              <w:rPr>
                <w:noProof/>
              </w:rPr>
            </w:pPr>
            <w:r>
              <w:rPr>
                <w:noProof/>
              </w:rPr>
              <w:t>55</w:t>
            </w:r>
          </w:p>
        </w:tc>
        <w:tc>
          <w:tcPr>
            <w:tcW w:w="1642" w:type="dxa"/>
            <w:shd w:val="clear" w:color="auto" w:fill="C6EFCE"/>
            <w:vAlign w:val="center"/>
          </w:tcPr>
          <w:p w14:paraId="29DD22C7" w14:textId="77777777" w:rsidR="00553430" w:rsidRDefault="00212577">
            <w:pPr>
              <w:pStyle w:val="P68B1DB1-Normal102"/>
              <w:spacing w:after="0" w:line="240" w:lineRule="auto"/>
              <w:jc w:val="center"/>
              <w:textAlignment w:val="baseline"/>
              <w:rPr>
                <w:noProof/>
              </w:rPr>
            </w:pPr>
            <w:r>
              <w:rPr>
                <w:noProof/>
              </w:rPr>
              <w:t>C7.1 R1-I5</w:t>
            </w:r>
          </w:p>
        </w:tc>
        <w:tc>
          <w:tcPr>
            <w:tcW w:w="1276" w:type="dxa"/>
            <w:shd w:val="clear" w:color="auto" w:fill="C6EFCE"/>
            <w:vAlign w:val="center"/>
          </w:tcPr>
          <w:p w14:paraId="238BE77D" w14:textId="77777777" w:rsidR="00553430" w:rsidRDefault="00212577">
            <w:pPr>
              <w:pStyle w:val="P68B1DB1-Normal102"/>
              <w:spacing w:after="0" w:line="240" w:lineRule="auto"/>
              <w:jc w:val="center"/>
              <w:textAlignment w:val="baseline"/>
              <w:rPr>
                <w:noProof/>
              </w:rPr>
            </w:pPr>
            <w:r>
              <w:rPr>
                <w:noProof/>
              </w:rPr>
              <w:t>M</w:t>
            </w:r>
          </w:p>
        </w:tc>
        <w:tc>
          <w:tcPr>
            <w:tcW w:w="5365" w:type="dxa"/>
            <w:shd w:val="clear" w:color="auto" w:fill="C6EFCE"/>
          </w:tcPr>
          <w:p w14:paraId="493C6CEB" w14:textId="77777777" w:rsidR="00553430" w:rsidRDefault="00212577">
            <w:pPr>
              <w:pStyle w:val="P68B1DB1-Normal102"/>
              <w:spacing w:after="0" w:line="240" w:lineRule="auto"/>
              <w:jc w:val="both"/>
              <w:textAlignment w:val="baseline"/>
              <w:rPr>
                <w:noProof/>
              </w:rPr>
            </w:pPr>
            <w:r>
              <w:rPr>
                <w:noProof/>
              </w:rPr>
              <w:t>Adoption d'un plan pour la production et l'utilisation de biocarburants dans les transports</w:t>
            </w:r>
          </w:p>
        </w:tc>
      </w:tr>
      <w:tr w:rsidR="00553430" w14:paraId="1145E6A6" w14:textId="77777777">
        <w:trPr>
          <w:trHeight w:val="343"/>
        </w:trPr>
        <w:tc>
          <w:tcPr>
            <w:tcW w:w="1096" w:type="dxa"/>
            <w:shd w:val="clear" w:color="auto" w:fill="C6EFCE"/>
            <w:vAlign w:val="center"/>
            <w:hideMark/>
          </w:tcPr>
          <w:p w14:paraId="4DCDC755" w14:textId="77777777" w:rsidR="00553430" w:rsidRDefault="00212577">
            <w:pPr>
              <w:pStyle w:val="P68B1DB1-Normal102"/>
              <w:spacing w:after="0" w:line="240" w:lineRule="auto"/>
              <w:jc w:val="center"/>
              <w:textAlignment w:val="baseline"/>
              <w:rPr>
                <w:noProof/>
              </w:rPr>
            </w:pPr>
            <w:r>
              <w:rPr>
                <w:noProof/>
              </w:rPr>
              <w:t>405</w:t>
            </w:r>
          </w:p>
        </w:tc>
        <w:tc>
          <w:tcPr>
            <w:tcW w:w="1642" w:type="dxa"/>
            <w:shd w:val="clear" w:color="auto" w:fill="C6EFCE"/>
            <w:vAlign w:val="center"/>
            <w:hideMark/>
          </w:tcPr>
          <w:p w14:paraId="6A64E889" w14:textId="77777777" w:rsidR="00553430" w:rsidRDefault="00212577">
            <w:pPr>
              <w:pStyle w:val="P68B1DB1-Normal102"/>
              <w:spacing w:after="0" w:line="240" w:lineRule="auto"/>
              <w:jc w:val="center"/>
              <w:textAlignment w:val="baseline"/>
              <w:rPr>
                <w:noProof/>
              </w:rPr>
            </w:pPr>
            <w:r>
              <w:rPr>
                <w:noProof/>
              </w:rPr>
              <w:t>C6.1 R1 -I4</w:t>
            </w:r>
          </w:p>
        </w:tc>
        <w:tc>
          <w:tcPr>
            <w:tcW w:w="1276" w:type="dxa"/>
            <w:shd w:val="clear" w:color="auto" w:fill="C6EFCE"/>
            <w:vAlign w:val="center"/>
            <w:hideMark/>
          </w:tcPr>
          <w:p w14:paraId="3C39B5BF" w14:textId="77777777" w:rsidR="00553430" w:rsidRDefault="00212577">
            <w:pPr>
              <w:pStyle w:val="P68B1DB1-Normal102"/>
              <w:spacing w:after="0" w:line="240" w:lineRule="auto"/>
              <w:jc w:val="center"/>
              <w:textAlignment w:val="baseline"/>
              <w:rPr>
                <w:noProof/>
              </w:rPr>
            </w:pPr>
            <w:r>
              <w:rPr>
                <w:noProof/>
              </w:rPr>
              <w:t>M</w:t>
            </w:r>
          </w:p>
        </w:tc>
        <w:tc>
          <w:tcPr>
            <w:tcW w:w="5365" w:type="dxa"/>
            <w:shd w:val="clear" w:color="auto" w:fill="C6EFCE"/>
            <w:hideMark/>
          </w:tcPr>
          <w:p w14:paraId="0CFE4265" w14:textId="77777777" w:rsidR="00553430" w:rsidRDefault="00212577">
            <w:pPr>
              <w:pStyle w:val="P68B1DB1-Normal102"/>
              <w:spacing w:after="0" w:line="240" w:lineRule="auto"/>
              <w:jc w:val="both"/>
              <w:textAlignment w:val="baseline"/>
              <w:rPr>
                <w:noProof/>
              </w:rPr>
            </w:pPr>
            <w:r>
              <w:rPr>
                <w:noProof/>
              </w:rPr>
              <w:t xml:space="preserve">Lignes directrices pour la </w:t>
            </w:r>
            <w:r>
              <w:rPr>
                <w:noProof/>
              </w:rPr>
              <w:t>rénovation énergétique des bâtiments ayant le statut de bien culturel</w:t>
            </w:r>
          </w:p>
        </w:tc>
      </w:tr>
      <w:tr w:rsidR="00553430" w14:paraId="5FEDA8BE" w14:textId="77777777">
        <w:trPr>
          <w:trHeight w:val="343"/>
        </w:trPr>
        <w:tc>
          <w:tcPr>
            <w:tcW w:w="1096" w:type="dxa"/>
            <w:shd w:val="clear" w:color="auto" w:fill="C6EFCE"/>
            <w:vAlign w:val="center"/>
          </w:tcPr>
          <w:p w14:paraId="41AE2C7F" w14:textId="77777777" w:rsidR="00553430" w:rsidRDefault="00212577">
            <w:pPr>
              <w:pStyle w:val="P68B1DB1-Normal102"/>
              <w:spacing w:after="0" w:line="240" w:lineRule="auto"/>
              <w:jc w:val="center"/>
              <w:textAlignment w:val="baseline"/>
              <w:rPr>
                <w:noProof/>
              </w:rPr>
            </w:pPr>
            <w:r>
              <w:rPr>
                <w:noProof/>
              </w:rPr>
              <w:t>421</w:t>
            </w:r>
          </w:p>
        </w:tc>
        <w:tc>
          <w:tcPr>
            <w:tcW w:w="1642" w:type="dxa"/>
            <w:shd w:val="clear" w:color="auto" w:fill="C6EFCE"/>
            <w:vAlign w:val="center"/>
          </w:tcPr>
          <w:p w14:paraId="51EDD4D5" w14:textId="77777777" w:rsidR="00553430" w:rsidRDefault="00212577">
            <w:pPr>
              <w:pStyle w:val="P68B1DB1-Normal102"/>
              <w:spacing w:after="0" w:line="240" w:lineRule="auto"/>
              <w:jc w:val="center"/>
              <w:textAlignment w:val="baseline"/>
              <w:rPr>
                <w:noProof/>
              </w:rPr>
            </w:pPr>
            <w:r>
              <w:rPr>
                <w:noProof/>
              </w:rPr>
              <w:t>C7.1 I3</w:t>
            </w:r>
          </w:p>
        </w:tc>
        <w:tc>
          <w:tcPr>
            <w:tcW w:w="1276" w:type="dxa"/>
            <w:shd w:val="clear" w:color="auto" w:fill="C6EFCE"/>
            <w:vAlign w:val="center"/>
          </w:tcPr>
          <w:p w14:paraId="2C0AE145" w14:textId="77777777" w:rsidR="00553430" w:rsidRDefault="00212577">
            <w:pPr>
              <w:pStyle w:val="P68B1DB1-Normal102"/>
              <w:spacing w:after="0" w:line="240" w:lineRule="auto"/>
              <w:jc w:val="center"/>
              <w:textAlignment w:val="baseline"/>
              <w:rPr>
                <w:noProof/>
              </w:rPr>
            </w:pPr>
            <w:r>
              <w:rPr>
                <w:noProof/>
              </w:rPr>
              <w:t>M</w:t>
            </w:r>
          </w:p>
        </w:tc>
        <w:tc>
          <w:tcPr>
            <w:tcW w:w="5365" w:type="dxa"/>
            <w:shd w:val="clear" w:color="auto" w:fill="C6EFCE"/>
          </w:tcPr>
          <w:p w14:paraId="3870F181" w14:textId="77777777" w:rsidR="00553430" w:rsidRDefault="00212577">
            <w:pPr>
              <w:pStyle w:val="P68B1DB1-Normal102"/>
              <w:spacing w:after="0" w:line="240" w:lineRule="auto"/>
              <w:jc w:val="both"/>
              <w:textAlignment w:val="baseline"/>
              <w:rPr>
                <w:noProof/>
              </w:rPr>
            </w:pPr>
            <w:r>
              <w:rPr>
                <w:noProof/>
              </w:rPr>
              <w:t>Contrat d'équipement pour l'agrandissement du terminal GNL sur l'île de Krk</w:t>
            </w:r>
          </w:p>
        </w:tc>
      </w:tr>
      <w:tr w:rsidR="00553430" w14:paraId="7D92CB50" w14:textId="77777777">
        <w:trPr>
          <w:trHeight w:val="343"/>
        </w:trPr>
        <w:tc>
          <w:tcPr>
            <w:tcW w:w="1096" w:type="dxa"/>
            <w:shd w:val="clear" w:color="auto" w:fill="C6EFCE"/>
            <w:vAlign w:val="center"/>
          </w:tcPr>
          <w:p w14:paraId="3B6F7AC8" w14:textId="77777777" w:rsidR="00553430" w:rsidRDefault="00212577">
            <w:pPr>
              <w:pStyle w:val="P68B1DB1-Normal102"/>
              <w:spacing w:after="0" w:line="240" w:lineRule="auto"/>
              <w:jc w:val="center"/>
              <w:textAlignment w:val="baseline"/>
              <w:rPr>
                <w:noProof/>
              </w:rPr>
            </w:pPr>
            <w:r>
              <w:rPr>
                <w:noProof/>
              </w:rPr>
              <w:t>423</w:t>
            </w:r>
          </w:p>
        </w:tc>
        <w:tc>
          <w:tcPr>
            <w:tcW w:w="1642" w:type="dxa"/>
            <w:shd w:val="clear" w:color="auto" w:fill="C6EFCE"/>
            <w:vAlign w:val="center"/>
          </w:tcPr>
          <w:p w14:paraId="3EC62ADD" w14:textId="77777777" w:rsidR="00553430" w:rsidRDefault="00212577">
            <w:pPr>
              <w:pStyle w:val="P68B1DB1-Normal102"/>
              <w:spacing w:after="0" w:line="240" w:lineRule="auto"/>
              <w:jc w:val="center"/>
              <w:textAlignment w:val="baseline"/>
              <w:rPr>
                <w:noProof/>
              </w:rPr>
            </w:pPr>
            <w:r>
              <w:rPr>
                <w:noProof/>
              </w:rPr>
              <w:t>C7.1 I3</w:t>
            </w:r>
          </w:p>
        </w:tc>
        <w:tc>
          <w:tcPr>
            <w:tcW w:w="1276" w:type="dxa"/>
            <w:shd w:val="clear" w:color="auto" w:fill="C6EFCE"/>
            <w:vAlign w:val="center"/>
          </w:tcPr>
          <w:p w14:paraId="536742D1" w14:textId="77777777" w:rsidR="00553430" w:rsidRDefault="00212577">
            <w:pPr>
              <w:pStyle w:val="P68B1DB1-Normal102"/>
              <w:spacing w:after="0" w:line="240" w:lineRule="auto"/>
              <w:jc w:val="center"/>
              <w:textAlignment w:val="baseline"/>
              <w:rPr>
                <w:noProof/>
              </w:rPr>
            </w:pPr>
            <w:r>
              <w:rPr>
                <w:noProof/>
              </w:rPr>
              <w:t>M</w:t>
            </w:r>
          </w:p>
        </w:tc>
        <w:tc>
          <w:tcPr>
            <w:tcW w:w="5365" w:type="dxa"/>
            <w:shd w:val="clear" w:color="auto" w:fill="C6EFCE"/>
          </w:tcPr>
          <w:p w14:paraId="3B7B204C" w14:textId="77777777" w:rsidR="00553430" w:rsidRDefault="00212577">
            <w:pPr>
              <w:pStyle w:val="P68B1DB1-Normal102"/>
              <w:spacing w:after="0" w:line="240" w:lineRule="auto"/>
              <w:jc w:val="both"/>
              <w:textAlignment w:val="baseline"/>
              <w:rPr>
                <w:noProof/>
              </w:rPr>
            </w:pPr>
            <w:r>
              <w:rPr>
                <w:noProof/>
              </w:rPr>
              <w:t>Contrat de travaux d’agrandissement du gazoduc Zlobin – Bosiljevo</w:t>
            </w:r>
          </w:p>
        </w:tc>
      </w:tr>
      <w:tr w:rsidR="00553430" w14:paraId="3F722D1C" w14:textId="77777777">
        <w:trPr>
          <w:trHeight w:val="343"/>
        </w:trPr>
        <w:tc>
          <w:tcPr>
            <w:tcW w:w="1096" w:type="dxa"/>
            <w:shd w:val="clear" w:color="auto" w:fill="C6EFCE"/>
            <w:vAlign w:val="bottom"/>
            <w:hideMark/>
          </w:tcPr>
          <w:p w14:paraId="038EB5C0" w14:textId="77777777" w:rsidR="00553430" w:rsidRDefault="00212577">
            <w:pPr>
              <w:pStyle w:val="P68B1DB1-Normal135"/>
              <w:spacing w:after="0" w:line="240" w:lineRule="auto"/>
              <w:jc w:val="center"/>
              <w:textAlignment w:val="baseline"/>
              <w:rPr>
                <w:noProof/>
              </w:rPr>
            </w:pPr>
            <w:r>
              <w:rPr>
                <w:noProof/>
              </w:rPr>
              <w:t> </w:t>
            </w:r>
          </w:p>
        </w:tc>
        <w:tc>
          <w:tcPr>
            <w:tcW w:w="1642" w:type="dxa"/>
            <w:shd w:val="clear" w:color="auto" w:fill="C6EFCE"/>
            <w:vAlign w:val="bottom"/>
            <w:hideMark/>
          </w:tcPr>
          <w:p w14:paraId="14DF39A1" w14:textId="77777777" w:rsidR="00553430" w:rsidRDefault="00212577">
            <w:pPr>
              <w:pStyle w:val="P68B1DB1-Normal135"/>
              <w:spacing w:after="0" w:line="240" w:lineRule="auto"/>
              <w:jc w:val="both"/>
              <w:textAlignment w:val="baseline"/>
              <w:rPr>
                <w:noProof/>
              </w:rPr>
            </w:pPr>
            <w:r>
              <w:rPr>
                <w:noProof/>
              </w:rPr>
              <w:t> </w:t>
            </w:r>
          </w:p>
        </w:tc>
        <w:tc>
          <w:tcPr>
            <w:tcW w:w="1276" w:type="dxa"/>
            <w:shd w:val="clear" w:color="auto" w:fill="C6EFCE"/>
            <w:vAlign w:val="bottom"/>
            <w:hideMark/>
          </w:tcPr>
          <w:p w14:paraId="52B295C7" w14:textId="77777777" w:rsidR="00553430" w:rsidRDefault="00212577">
            <w:pPr>
              <w:pStyle w:val="P68B1DB1-Normal76"/>
              <w:spacing w:after="0" w:line="240" w:lineRule="auto"/>
              <w:jc w:val="both"/>
              <w:textAlignment w:val="baseline"/>
              <w:rPr>
                <w:noProof/>
              </w:rPr>
            </w:pPr>
            <w:r>
              <w:rPr>
                <w:noProof/>
              </w:rPr>
              <w:t xml:space="preserve">Montant </w:t>
            </w:r>
            <w:r>
              <w:rPr>
                <w:noProof/>
              </w:rPr>
              <w:t>des acomptes provisionnels </w:t>
            </w:r>
          </w:p>
        </w:tc>
        <w:tc>
          <w:tcPr>
            <w:tcW w:w="5365" w:type="dxa"/>
            <w:shd w:val="clear" w:color="auto" w:fill="C6EFCE"/>
            <w:vAlign w:val="bottom"/>
            <w:hideMark/>
          </w:tcPr>
          <w:p w14:paraId="2828C74A" w14:textId="77777777" w:rsidR="00553430" w:rsidRDefault="00212577">
            <w:pPr>
              <w:pStyle w:val="P68B1DB1-Normal144"/>
              <w:spacing w:after="0" w:line="240" w:lineRule="auto"/>
              <w:jc w:val="both"/>
              <w:textAlignment w:val="baseline"/>
              <w:rPr>
                <w:noProof/>
                <w:sz w:val="20"/>
                <w:szCs w:val="20"/>
              </w:rPr>
            </w:pPr>
            <w:r>
              <w:rPr>
                <w:noProof/>
                <w:sz w:val="24"/>
                <w:szCs w:val="28"/>
              </w:rPr>
              <w:t> </w:t>
            </w:r>
            <w:r>
              <w:rPr>
                <w:noProof/>
                <w:sz w:val="20"/>
                <w:szCs w:val="20"/>
              </w:rPr>
              <w:t>303</w:t>
            </w:r>
            <w:r>
              <w:rPr>
                <w:noProof/>
                <w:sz w:val="24"/>
                <w:szCs w:val="28"/>
              </w:rPr>
              <w:t> </w:t>
            </w:r>
            <w:r>
              <w:rPr>
                <w:noProof/>
                <w:sz w:val="20"/>
                <w:szCs w:val="20"/>
              </w:rPr>
              <w:t>868</w:t>
            </w:r>
            <w:r>
              <w:rPr>
                <w:noProof/>
                <w:sz w:val="24"/>
                <w:szCs w:val="28"/>
              </w:rPr>
              <w:t> </w:t>
            </w:r>
            <w:r>
              <w:rPr>
                <w:noProof/>
                <w:sz w:val="20"/>
                <w:szCs w:val="20"/>
              </w:rPr>
              <w:t>355 EUR</w:t>
            </w:r>
          </w:p>
        </w:tc>
      </w:tr>
    </w:tbl>
    <w:p w14:paraId="1A39731A" w14:textId="77777777" w:rsidR="00553430" w:rsidRDefault="00212577">
      <w:pPr>
        <w:pStyle w:val="P68B1DB1-Normal142"/>
        <w:spacing w:line="240" w:lineRule="auto"/>
        <w:jc w:val="both"/>
        <w:textAlignment w:val="baseline"/>
        <w:rPr>
          <w:noProof/>
        </w:rPr>
      </w:pPr>
      <w:r>
        <w:rPr>
          <w:noProof/>
        </w:rPr>
        <w:t> </w:t>
      </w:r>
    </w:p>
    <w:p w14:paraId="29015D73" w14:textId="06808BF6" w:rsidR="00553430" w:rsidRDefault="00212577">
      <w:pPr>
        <w:pStyle w:val="P68B1DB1-Normal83"/>
        <w:numPr>
          <w:ilvl w:val="0"/>
          <w:numId w:val="81"/>
        </w:numPr>
        <w:spacing w:line="240" w:lineRule="auto"/>
        <w:contextualSpacing/>
        <w:jc w:val="both"/>
        <w:textAlignment w:val="baseline"/>
        <w:rPr>
          <w:noProof/>
        </w:rPr>
      </w:pPr>
      <w:r>
        <w:rPr>
          <w:noProof/>
        </w:rPr>
        <w:t xml:space="preserve">Deuxième tranche (soutien sous forme de prêt): </w:t>
      </w:r>
    </w:p>
    <w:p w14:paraId="346AD6AD" w14:textId="77777777" w:rsidR="00553430" w:rsidRDefault="00553430">
      <w:pPr>
        <w:spacing w:after="0" w:line="240" w:lineRule="auto"/>
        <w:ind w:left="720"/>
        <w:jc w:val="both"/>
        <w:textAlignment w:val="baseline"/>
        <w:rPr>
          <w:rFonts w:ascii="Times New Roman" w:eastAsia="Times New Roman" w:hAnsi="Times New Roman" w:cs="Times New Roman"/>
          <w:noProof/>
          <w:szCs w:val="24"/>
        </w:rPr>
      </w:pPr>
    </w:p>
    <w:tbl>
      <w:tblPr>
        <w:tblW w:w="9379"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6"/>
        <w:gridCol w:w="1642"/>
        <w:gridCol w:w="1276"/>
        <w:gridCol w:w="5365"/>
      </w:tblGrid>
      <w:tr w:rsidR="00553430" w14:paraId="5646D97E" w14:textId="77777777">
        <w:trPr>
          <w:trHeight w:val="1029"/>
        </w:trPr>
        <w:tc>
          <w:tcPr>
            <w:tcW w:w="1096" w:type="dxa"/>
            <w:shd w:val="clear" w:color="auto" w:fill="BDD7EE"/>
            <w:vAlign w:val="center"/>
            <w:hideMark/>
          </w:tcPr>
          <w:p w14:paraId="01BA72C8" w14:textId="77777777" w:rsidR="00553430" w:rsidRDefault="00212577">
            <w:pPr>
              <w:pStyle w:val="P68B1DB1-Normal76"/>
              <w:spacing w:after="0" w:line="240" w:lineRule="auto"/>
              <w:jc w:val="center"/>
              <w:textAlignment w:val="baseline"/>
              <w:rPr>
                <w:noProof/>
              </w:rPr>
            </w:pPr>
            <w:r>
              <w:rPr>
                <w:b/>
                <w:noProof/>
              </w:rPr>
              <w:t>Numéro séquentiel</w:t>
            </w:r>
            <w:r>
              <w:rPr>
                <w:noProof/>
              </w:rPr>
              <w:t> </w:t>
            </w:r>
          </w:p>
        </w:tc>
        <w:tc>
          <w:tcPr>
            <w:tcW w:w="1642" w:type="dxa"/>
            <w:shd w:val="clear" w:color="auto" w:fill="BDD7EE"/>
            <w:vAlign w:val="center"/>
            <w:hideMark/>
          </w:tcPr>
          <w:p w14:paraId="68D22484" w14:textId="77777777" w:rsidR="00553430" w:rsidRDefault="00212577">
            <w:pPr>
              <w:pStyle w:val="P68B1DB1-Normal76"/>
              <w:spacing w:after="0" w:line="240" w:lineRule="auto"/>
              <w:jc w:val="center"/>
              <w:textAlignment w:val="baseline"/>
              <w:rPr>
                <w:noProof/>
              </w:rPr>
            </w:pPr>
            <w:r>
              <w:rPr>
                <w:b/>
                <w:noProof/>
              </w:rPr>
              <w:t>Mesure connexe (réforme ou investissement)</w:t>
            </w:r>
            <w:r>
              <w:rPr>
                <w:noProof/>
              </w:rPr>
              <w:t> </w:t>
            </w:r>
          </w:p>
        </w:tc>
        <w:tc>
          <w:tcPr>
            <w:tcW w:w="1276" w:type="dxa"/>
            <w:shd w:val="clear" w:color="auto" w:fill="BDD7EE"/>
            <w:vAlign w:val="center"/>
            <w:hideMark/>
          </w:tcPr>
          <w:p w14:paraId="60CFCF32" w14:textId="77777777" w:rsidR="00553430" w:rsidRDefault="00212577">
            <w:pPr>
              <w:pStyle w:val="P68B1DB1-Normal76"/>
              <w:spacing w:after="0" w:line="240" w:lineRule="auto"/>
              <w:jc w:val="center"/>
              <w:textAlignment w:val="baseline"/>
              <w:rPr>
                <w:noProof/>
              </w:rPr>
            </w:pPr>
            <w:r>
              <w:rPr>
                <w:b/>
                <w:noProof/>
              </w:rPr>
              <w:t>Étape/cible</w:t>
            </w:r>
            <w:r>
              <w:rPr>
                <w:noProof/>
              </w:rPr>
              <w:t> </w:t>
            </w:r>
          </w:p>
        </w:tc>
        <w:tc>
          <w:tcPr>
            <w:tcW w:w="5365" w:type="dxa"/>
            <w:shd w:val="clear" w:color="auto" w:fill="BDD7EE"/>
            <w:vAlign w:val="center"/>
            <w:hideMark/>
          </w:tcPr>
          <w:p w14:paraId="1F4C8995" w14:textId="77777777" w:rsidR="00553430" w:rsidRDefault="00212577">
            <w:pPr>
              <w:pStyle w:val="P68B1DB1-Normal76"/>
              <w:spacing w:after="0" w:line="240" w:lineRule="auto"/>
              <w:jc w:val="center"/>
              <w:textAlignment w:val="baseline"/>
              <w:rPr>
                <w:noProof/>
              </w:rPr>
            </w:pPr>
            <w:r>
              <w:rPr>
                <w:b/>
                <w:noProof/>
              </w:rPr>
              <w:t>Nom</w:t>
            </w:r>
            <w:r>
              <w:rPr>
                <w:noProof/>
              </w:rPr>
              <w:t> </w:t>
            </w:r>
          </w:p>
        </w:tc>
      </w:tr>
      <w:tr w:rsidR="00553430" w14:paraId="3A7E924D" w14:textId="77777777">
        <w:trPr>
          <w:trHeight w:val="343"/>
        </w:trPr>
        <w:tc>
          <w:tcPr>
            <w:tcW w:w="1096" w:type="dxa"/>
            <w:shd w:val="clear" w:color="auto" w:fill="C6EFCE"/>
            <w:vAlign w:val="center"/>
            <w:hideMark/>
          </w:tcPr>
          <w:p w14:paraId="771291BC" w14:textId="77777777" w:rsidR="00553430" w:rsidRDefault="00212577">
            <w:pPr>
              <w:pStyle w:val="P68B1DB1-Normal76"/>
              <w:spacing w:after="0" w:line="240" w:lineRule="auto"/>
              <w:jc w:val="center"/>
              <w:textAlignment w:val="baseline"/>
              <w:rPr>
                <w:noProof/>
              </w:rPr>
            </w:pPr>
            <w:r>
              <w:rPr>
                <w:noProof/>
              </w:rPr>
              <w:t>382</w:t>
            </w:r>
          </w:p>
        </w:tc>
        <w:tc>
          <w:tcPr>
            <w:tcW w:w="1642" w:type="dxa"/>
            <w:shd w:val="clear" w:color="auto" w:fill="C6EFCE"/>
            <w:vAlign w:val="center"/>
            <w:hideMark/>
          </w:tcPr>
          <w:p w14:paraId="1E6DC6C5" w14:textId="77777777" w:rsidR="00553430" w:rsidRDefault="00212577">
            <w:pPr>
              <w:pStyle w:val="P68B1DB1-Normal76"/>
              <w:spacing w:after="0" w:line="240" w:lineRule="auto"/>
              <w:jc w:val="center"/>
              <w:textAlignment w:val="baseline"/>
              <w:rPr>
                <w:noProof/>
              </w:rPr>
            </w:pPr>
            <w:r>
              <w:rPr>
                <w:noProof/>
              </w:rPr>
              <w:t>C1.3. R3</w:t>
            </w:r>
          </w:p>
        </w:tc>
        <w:tc>
          <w:tcPr>
            <w:tcW w:w="1276" w:type="dxa"/>
            <w:shd w:val="clear" w:color="auto" w:fill="C6EFCE"/>
            <w:vAlign w:val="center"/>
            <w:hideMark/>
          </w:tcPr>
          <w:p w14:paraId="746F3593" w14:textId="77777777" w:rsidR="00553430" w:rsidRDefault="00212577">
            <w:pPr>
              <w:pStyle w:val="P68B1DB1-Normal76"/>
              <w:spacing w:after="0" w:line="240" w:lineRule="auto"/>
              <w:jc w:val="center"/>
              <w:textAlignment w:val="baseline"/>
              <w:rPr>
                <w:noProof/>
              </w:rPr>
            </w:pPr>
            <w:r>
              <w:rPr>
                <w:noProof/>
              </w:rPr>
              <w:t>M</w:t>
            </w:r>
          </w:p>
        </w:tc>
        <w:tc>
          <w:tcPr>
            <w:tcW w:w="5365" w:type="dxa"/>
            <w:shd w:val="clear" w:color="auto" w:fill="C6EFCE"/>
            <w:vAlign w:val="bottom"/>
            <w:hideMark/>
          </w:tcPr>
          <w:p w14:paraId="69674994" w14:textId="77777777" w:rsidR="00553430" w:rsidRDefault="00212577">
            <w:pPr>
              <w:pStyle w:val="P68B1DB1-Normal76"/>
              <w:spacing w:after="0" w:line="240" w:lineRule="auto"/>
              <w:jc w:val="both"/>
              <w:textAlignment w:val="baseline"/>
              <w:rPr>
                <w:noProof/>
              </w:rPr>
            </w:pPr>
            <w:r>
              <w:rPr>
                <w:noProof/>
              </w:rPr>
              <w:t xml:space="preserve"> Adoption du Plan d'action national pour la réduction des </w:t>
            </w:r>
            <w:r>
              <w:rPr>
                <w:noProof/>
              </w:rPr>
              <w:t>pertes en eau</w:t>
            </w:r>
          </w:p>
        </w:tc>
      </w:tr>
      <w:tr w:rsidR="00553430" w14:paraId="5E7BD177" w14:textId="77777777">
        <w:trPr>
          <w:trHeight w:val="343"/>
        </w:trPr>
        <w:tc>
          <w:tcPr>
            <w:tcW w:w="1096" w:type="dxa"/>
            <w:shd w:val="clear" w:color="auto" w:fill="C6EFCE"/>
            <w:vAlign w:val="center"/>
            <w:hideMark/>
          </w:tcPr>
          <w:p w14:paraId="24BF5E27" w14:textId="77777777" w:rsidR="00553430" w:rsidRDefault="00212577">
            <w:pPr>
              <w:pStyle w:val="P68B1DB1-Normal76"/>
              <w:spacing w:after="0" w:line="240" w:lineRule="auto"/>
              <w:jc w:val="center"/>
              <w:textAlignment w:val="baseline"/>
              <w:rPr>
                <w:noProof/>
              </w:rPr>
            </w:pPr>
            <w:r>
              <w:rPr>
                <w:noProof/>
              </w:rPr>
              <w:t>385</w:t>
            </w:r>
          </w:p>
        </w:tc>
        <w:tc>
          <w:tcPr>
            <w:tcW w:w="1642" w:type="dxa"/>
            <w:shd w:val="clear" w:color="auto" w:fill="C6EFCE"/>
            <w:vAlign w:val="center"/>
            <w:hideMark/>
          </w:tcPr>
          <w:p w14:paraId="5C8BD143" w14:textId="77777777" w:rsidR="00553430" w:rsidRDefault="00212577">
            <w:pPr>
              <w:pStyle w:val="P68B1DB1-Normal76"/>
              <w:spacing w:after="0" w:line="240" w:lineRule="auto"/>
              <w:jc w:val="center"/>
              <w:textAlignment w:val="baseline"/>
              <w:rPr>
                <w:noProof/>
              </w:rPr>
            </w:pPr>
            <w:r>
              <w:rPr>
                <w:noProof/>
              </w:rPr>
              <w:t>C1.3. R3</w:t>
            </w:r>
          </w:p>
        </w:tc>
        <w:tc>
          <w:tcPr>
            <w:tcW w:w="1276" w:type="dxa"/>
            <w:shd w:val="clear" w:color="auto" w:fill="C6EFCE"/>
            <w:vAlign w:val="center"/>
            <w:hideMark/>
          </w:tcPr>
          <w:p w14:paraId="7AE7E209" w14:textId="77777777" w:rsidR="00553430" w:rsidRDefault="00212577">
            <w:pPr>
              <w:pStyle w:val="P68B1DB1-Normal76"/>
              <w:spacing w:after="0" w:line="240" w:lineRule="auto"/>
              <w:jc w:val="center"/>
              <w:textAlignment w:val="baseline"/>
              <w:rPr>
                <w:noProof/>
              </w:rPr>
            </w:pPr>
            <w:r>
              <w:rPr>
                <w:noProof/>
              </w:rPr>
              <w:t>M</w:t>
            </w:r>
          </w:p>
        </w:tc>
        <w:tc>
          <w:tcPr>
            <w:tcW w:w="5365" w:type="dxa"/>
            <w:shd w:val="clear" w:color="auto" w:fill="C6EFCE"/>
            <w:vAlign w:val="bottom"/>
            <w:hideMark/>
          </w:tcPr>
          <w:p w14:paraId="2CD76649" w14:textId="77777777" w:rsidR="00553430" w:rsidRDefault="00212577">
            <w:pPr>
              <w:pStyle w:val="P68B1DB1-Normal76"/>
              <w:spacing w:after="0" w:line="240" w:lineRule="auto"/>
              <w:jc w:val="both"/>
              <w:textAlignment w:val="baseline"/>
              <w:rPr>
                <w:noProof/>
              </w:rPr>
            </w:pPr>
            <w:r>
              <w:rPr>
                <w:noProof/>
              </w:rPr>
              <w:t> Entrée en vigueur du règlement relatif au Conseil des services de l'eau</w:t>
            </w:r>
          </w:p>
        </w:tc>
      </w:tr>
      <w:tr w:rsidR="00553430" w14:paraId="2EAEC6C9" w14:textId="77777777">
        <w:trPr>
          <w:trHeight w:val="343"/>
        </w:trPr>
        <w:tc>
          <w:tcPr>
            <w:tcW w:w="1096" w:type="dxa"/>
            <w:shd w:val="clear" w:color="auto" w:fill="C6EFCE"/>
            <w:vAlign w:val="center"/>
          </w:tcPr>
          <w:p w14:paraId="4F1F9EFE" w14:textId="77777777" w:rsidR="00553430" w:rsidRDefault="00212577">
            <w:pPr>
              <w:pStyle w:val="P68B1DB1-Normal76"/>
              <w:spacing w:after="0" w:line="240" w:lineRule="auto"/>
              <w:jc w:val="center"/>
              <w:textAlignment w:val="baseline"/>
              <w:rPr>
                <w:noProof/>
              </w:rPr>
            </w:pPr>
            <w:r>
              <w:rPr>
                <w:noProof/>
              </w:rPr>
              <w:t>393</w:t>
            </w:r>
          </w:p>
        </w:tc>
        <w:tc>
          <w:tcPr>
            <w:tcW w:w="1642" w:type="dxa"/>
            <w:shd w:val="clear" w:color="auto" w:fill="C6EFCE"/>
            <w:vAlign w:val="center"/>
          </w:tcPr>
          <w:p w14:paraId="0B234B2C" w14:textId="77777777" w:rsidR="00553430" w:rsidRDefault="00212577">
            <w:pPr>
              <w:pStyle w:val="P68B1DB1-Normal76"/>
              <w:spacing w:after="0" w:line="240" w:lineRule="auto"/>
              <w:jc w:val="center"/>
              <w:textAlignment w:val="baseline"/>
              <w:rPr>
                <w:noProof/>
              </w:rPr>
            </w:pPr>
            <w:r>
              <w:rPr>
                <w:noProof/>
              </w:rPr>
              <w:t>C2.2 R5</w:t>
            </w:r>
          </w:p>
        </w:tc>
        <w:tc>
          <w:tcPr>
            <w:tcW w:w="1276" w:type="dxa"/>
            <w:shd w:val="clear" w:color="auto" w:fill="C6EFCE"/>
            <w:vAlign w:val="center"/>
          </w:tcPr>
          <w:p w14:paraId="640782BE" w14:textId="77777777" w:rsidR="00553430" w:rsidRDefault="00212577">
            <w:pPr>
              <w:pStyle w:val="P68B1DB1-Normal76"/>
              <w:spacing w:after="0" w:line="240" w:lineRule="auto"/>
              <w:jc w:val="center"/>
              <w:textAlignment w:val="baseline"/>
              <w:rPr>
                <w:noProof/>
              </w:rPr>
            </w:pPr>
            <w:r>
              <w:rPr>
                <w:noProof/>
              </w:rPr>
              <w:t>M</w:t>
            </w:r>
          </w:p>
        </w:tc>
        <w:tc>
          <w:tcPr>
            <w:tcW w:w="5365" w:type="dxa"/>
            <w:shd w:val="clear" w:color="auto" w:fill="C6EFCE"/>
            <w:vAlign w:val="bottom"/>
          </w:tcPr>
          <w:p w14:paraId="0F2F8FDD" w14:textId="77777777" w:rsidR="00553430" w:rsidRDefault="00212577">
            <w:pPr>
              <w:pStyle w:val="P68B1DB1-Normal76"/>
              <w:spacing w:after="0" w:line="240" w:lineRule="auto"/>
              <w:jc w:val="both"/>
              <w:textAlignment w:val="baseline"/>
              <w:rPr>
                <w:noProof/>
              </w:rPr>
            </w:pPr>
            <w:r>
              <w:rPr>
                <w:noProof/>
              </w:rPr>
              <w:t>Entrée en vigueur des règlements réglementant les nouveaux modèles salariaux et le système centralisé de sélection dans les services civil</w:t>
            </w:r>
            <w:r>
              <w:rPr>
                <w:noProof/>
              </w:rPr>
              <w:t>s et publics</w:t>
            </w:r>
          </w:p>
        </w:tc>
      </w:tr>
      <w:tr w:rsidR="00553430" w14:paraId="536CD860" w14:textId="77777777">
        <w:trPr>
          <w:trHeight w:val="343"/>
        </w:trPr>
        <w:tc>
          <w:tcPr>
            <w:tcW w:w="1096" w:type="dxa"/>
            <w:shd w:val="clear" w:color="auto" w:fill="C6EFCE"/>
            <w:vAlign w:val="center"/>
          </w:tcPr>
          <w:p w14:paraId="020CDB06" w14:textId="77777777" w:rsidR="00553430" w:rsidRDefault="00212577">
            <w:pPr>
              <w:pStyle w:val="P68B1DB1-Normal76"/>
              <w:spacing w:after="0" w:line="240" w:lineRule="auto"/>
              <w:jc w:val="center"/>
              <w:textAlignment w:val="baseline"/>
              <w:rPr>
                <w:noProof/>
              </w:rPr>
            </w:pPr>
            <w:r>
              <w:rPr>
                <w:noProof/>
              </w:rPr>
              <w:t>425</w:t>
            </w:r>
          </w:p>
        </w:tc>
        <w:tc>
          <w:tcPr>
            <w:tcW w:w="1642" w:type="dxa"/>
            <w:shd w:val="clear" w:color="auto" w:fill="C6EFCE"/>
            <w:vAlign w:val="center"/>
          </w:tcPr>
          <w:p w14:paraId="423B2C07" w14:textId="77777777" w:rsidR="00553430" w:rsidRDefault="00212577">
            <w:pPr>
              <w:pStyle w:val="P68B1DB1-Normal76"/>
              <w:spacing w:after="0" w:line="240" w:lineRule="auto"/>
              <w:jc w:val="center"/>
              <w:textAlignment w:val="baseline"/>
              <w:rPr>
                <w:noProof/>
              </w:rPr>
            </w:pPr>
            <w:r>
              <w:rPr>
                <w:noProof/>
              </w:rPr>
              <w:t>C7.1 I3</w:t>
            </w:r>
          </w:p>
        </w:tc>
        <w:tc>
          <w:tcPr>
            <w:tcW w:w="1276" w:type="dxa"/>
            <w:shd w:val="clear" w:color="auto" w:fill="C6EFCE"/>
            <w:vAlign w:val="center"/>
          </w:tcPr>
          <w:p w14:paraId="7314E0E2" w14:textId="77777777" w:rsidR="00553430" w:rsidRDefault="00212577">
            <w:pPr>
              <w:pStyle w:val="P68B1DB1-Normal76"/>
              <w:spacing w:after="0" w:line="240" w:lineRule="auto"/>
              <w:jc w:val="center"/>
              <w:textAlignment w:val="baseline"/>
              <w:rPr>
                <w:noProof/>
              </w:rPr>
            </w:pPr>
            <w:r>
              <w:rPr>
                <w:noProof/>
              </w:rPr>
              <w:t>M</w:t>
            </w:r>
          </w:p>
        </w:tc>
        <w:tc>
          <w:tcPr>
            <w:tcW w:w="5365" w:type="dxa"/>
            <w:shd w:val="clear" w:color="auto" w:fill="C6EFCE"/>
          </w:tcPr>
          <w:p w14:paraId="030434DE" w14:textId="77777777" w:rsidR="00553430" w:rsidRDefault="00212577">
            <w:pPr>
              <w:pStyle w:val="P68B1DB1-Normal76"/>
              <w:spacing w:after="0" w:line="240" w:lineRule="auto"/>
              <w:jc w:val="both"/>
              <w:textAlignment w:val="baseline"/>
              <w:rPr>
                <w:noProof/>
              </w:rPr>
            </w:pPr>
            <w:r>
              <w:rPr>
                <w:noProof/>
              </w:rPr>
              <w:t>Appel d’offres pour l’acquisition de conduites pour l’agrandissement du gazoduc Bosiljevo – Sisak – Kozarac</w:t>
            </w:r>
          </w:p>
        </w:tc>
      </w:tr>
      <w:tr w:rsidR="00553430" w14:paraId="19165B8F" w14:textId="77777777">
        <w:trPr>
          <w:trHeight w:val="343"/>
        </w:trPr>
        <w:tc>
          <w:tcPr>
            <w:tcW w:w="1096" w:type="dxa"/>
            <w:shd w:val="clear" w:color="auto" w:fill="C6EFCE"/>
            <w:vAlign w:val="center"/>
          </w:tcPr>
          <w:p w14:paraId="11B5CFC5" w14:textId="77777777" w:rsidR="00553430" w:rsidRDefault="00212577">
            <w:pPr>
              <w:pStyle w:val="P68B1DB1-Normal76"/>
              <w:spacing w:after="0" w:line="240" w:lineRule="auto"/>
              <w:jc w:val="center"/>
              <w:textAlignment w:val="baseline"/>
              <w:rPr>
                <w:noProof/>
              </w:rPr>
            </w:pPr>
            <w:r>
              <w:rPr>
                <w:noProof/>
              </w:rPr>
              <w:t>427</w:t>
            </w:r>
          </w:p>
        </w:tc>
        <w:tc>
          <w:tcPr>
            <w:tcW w:w="1642" w:type="dxa"/>
            <w:shd w:val="clear" w:color="auto" w:fill="C6EFCE"/>
            <w:vAlign w:val="center"/>
          </w:tcPr>
          <w:p w14:paraId="06F06A79" w14:textId="77777777" w:rsidR="00553430" w:rsidRDefault="00212577">
            <w:pPr>
              <w:pStyle w:val="P68B1DB1-Normal76"/>
              <w:spacing w:after="0" w:line="240" w:lineRule="auto"/>
              <w:jc w:val="center"/>
              <w:textAlignment w:val="baseline"/>
              <w:rPr>
                <w:noProof/>
              </w:rPr>
            </w:pPr>
            <w:r>
              <w:rPr>
                <w:noProof/>
              </w:rPr>
              <w:t>C7.1 I3</w:t>
            </w:r>
          </w:p>
        </w:tc>
        <w:tc>
          <w:tcPr>
            <w:tcW w:w="1276" w:type="dxa"/>
            <w:shd w:val="clear" w:color="auto" w:fill="C6EFCE"/>
            <w:vAlign w:val="center"/>
          </w:tcPr>
          <w:p w14:paraId="50315662" w14:textId="77777777" w:rsidR="00553430" w:rsidRDefault="00212577">
            <w:pPr>
              <w:pStyle w:val="P68B1DB1-Normal76"/>
              <w:spacing w:after="0" w:line="240" w:lineRule="auto"/>
              <w:jc w:val="center"/>
              <w:textAlignment w:val="baseline"/>
              <w:rPr>
                <w:noProof/>
              </w:rPr>
            </w:pPr>
            <w:r>
              <w:rPr>
                <w:noProof/>
              </w:rPr>
              <w:t>M</w:t>
            </w:r>
          </w:p>
        </w:tc>
        <w:tc>
          <w:tcPr>
            <w:tcW w:w="5365" w:type="dxa"/>
            <w:shd w:val="clear" w:color="auto" w:fill="C6EFCE"/>
          </w:tcPr>
          <w:p w14:paraId="0FCBD0CF" w14:textId="77777777" w:rsidR="00553430" w:rsidRDefault="00212577">
            <w:pPr>
              <w:pStyle w:val="P68B1DB1-Normal76"/>
              <w:spacing w:after="0" w:line="240" w:lineRule="auto"/>
              <w:jc w:val="both"/>
              <w:textAlignment w:val="baseline"/>
              <w:rPr>
                <w:noProof/>
              </w:rPr>
            </w:pPr>
            <w:r>
              <w:rPr>
                <w:noProof/>
              </w:rPr>
              <w:t xml:space="preserve">Appel d’offres pour l’acquisition de tuyaux pour l’agrandissement de la section Lučko – Zabok de </w:t>
            </w:r>
            <w:r>
              <w:rPr>
                <w:noProof/>
              </w:rPr>
              <w:t>l’interconnexion Croatie – Slovénie</w:t>
            </w:r>
          </w:p>
        </w:tc>
      </w:tr>
      <w:tr w:rsidR="00553430" w14:paraId="0B9C25AB" w14:textId="77777777">
        <w:trPr>
          <w:trHeight w:val="343"/>
        </w:trPr>
        <w:tc>
          <w:tcPr>
            <w:tcW w:w="1096" w:type="dxa"/>
            <w:shd w:val="clear" w:color="auto" w:fill="C6EFCE"/>
            <w:vAlign w:val="center"/>
          </w:tcPr>
          <w:p w14:paraId="09C345EF" w14:textId="77777777" w:rsidR="00553430" w:rsidRDefault="00212577">
            <w:pPr>
              <w:pStyle w:val="P68B1DB1-Normal76"/>
              <w:spacing w:after="0" w:line="240" w:lineRule="auto"/>
              <w:jc w:val="center"/>
              <w:textAlignment w:val="baseline"/>
              <w:rPr>
                <w:noProof/>
              </w:rPr>
            </w:pPr>
            <w:r>
              <w:rPr>
                <w:noProof/>
              </w:rPr>
              <w:t>438</w:t>
            </w:r>
          </w:p>
        </w:tc>
        <w:tc>
          <w:tcPr>
            <w:tcW w:w="1642" w:type="dxa"/>
            <w:shd w:val="clear" w:color="auto" w:fill="C6EFCE"/>
            <w:vAlign w:val="center"/>
          </w:tcPr>
          <w:p w14:paraId="235E9228" w14:textId="77777777" w:rsidR="00553430" w:rsidRDefault="00212577">
            <w:pPr>
              <w:pStyle w:val="P68B1DB1-Normal76"/>
              <w:spacing w:after="0" w:line="240" w:lineRule="auto"/>
              <w:jc w:val="center"/>
              <w:textAlignment w:val="baseline"/>
              <w:rPr>
                <w:noProof/>
              </w:rPr>
            </w:pPr>
            <w:r>
              <w:rPr>
                <w:noProof/>
              </w:rPr>
              <w:t>C7.2 I2</w:t>
            </w:r>
          </w:p>
        </w:tc>
        <w:tc>
          <w:tcPr>
            <w:tcW w:w="1276" w:type="dxa"/>
            <w:shd w:val="clear" w:color="auto" w:fill="C6EFCE"/>
            <w:vAlign w:val="center"/>
          </w:tcPr>
          <w:p w14:paraId="7E19C213" w14:textId="77777777" w:rsidR="00553430" w:rsidRDefault="00212577">
            <w:pPr>
              <w:pStyle w:val="P68B1DB1-Normal76"/>
              <w:spacing w:after="0" w:line="240" w:lineRule="auto"/>
              <w:jc w:val="center"/>
              <w:textAlignment w:val="baseline"/>
              <w:rPr>
                <w:noProof/>
              </w:rPr>
            </w:pPr>
            <w:r>
              <w:rPr>
                <w:noProof/>
              </w:rPr>
              <w:t>T</w:t>
            </w:r>
          </w:p>
        </w:tc>
        <w:tc>
          <w:tcPr>
            <w:tcW w:w="5365" w:type="dxa"/>
            <w:shd w:val="clear" w:color="auto" w:fill="C6EFCE"/>
          </w:tcPr>
          <w:p w14:paraId="3D373FEC" w14:textId="77777777" w:rsidR="00553430" w:rsidRDefault="00212577">
            <w:pPr>
              <w:pStyle w:val="P68B1DB1-Normal76"/>
              <w:spacing w:after="0" w:line="240" w:lineRule="auto"/>
              <w:jc w:val="both"/>
              <w:textAlignment w:val="baseline"/>
              <w:rPr>
                <w:noProof/>
              </w:rPr>
            </w:pPr>
            <w:r>
              <w:rPr>
                <w:noProof/>
              </w:rPr>
              <w:t>Signature de contrats pour la rénovation énergétique de bâtiments à logements multiples endommagés par les tremblements de terre</w:t>
            </w:r>
          </w:p>
        </w:tc>
      </w:tr>
      <w:tr w:rsidR="00553430" w14:paraId="0095186C" w14:textId="77777777">
        <w:trPr>
          <w:trHeight w:val="343"/>
        </w:trPr>
        <w:tc>
          <w:tcPr>
            <w:tcW w:w="1096" w:type="dxa"/>
            <w:shd w:val="clear" w:color="auto" w:fill="C6EFCE"/>
            <w:vAlign w:val="bottom"/>
            <w:hideMark/>
          </w:tcPr>
          <w:p w14:paraId="005DB7F0" w14:textId="77777777" w:rsidR="00553430" w:rsidRDefault="00212577">
            <w:pPr>
              <w:pStyle w:val="P68B1DB1-Normal135"/>
              <w:spacing w:after="0" w:line="240" w:lineRule="auto"/>
              <w:jc w:val="center"/>
              <w:textAlignment w:val="baseline"/>
              <w:rPr>
                <w:noProof/>
              </w:rPr>
            </w:pPr>
            <w:r>
              <w:rPr>
                <w:noProof/>
              </w:rPr>
              <w:t> </w:t>
            </w:r>
          </w:p>
        </w:tc>
        <w:tc>
          <w:tcPr>
            <w:tcW w:w="1642" w:type="dxa"/>
            <w:shd w:val="clear" w:color="auto" w:fill="C6EFCE"/>
            <w:vAlign w:val="bottom"/>
            <w:hideMark/>
          </w:tcPr>
          <w:p w14:paraId="2666291D" w14:textId="77777777" w:rsidR="00553430" w:rsidRDefault="00212577">
            <w:pPr>
              <w:pStyle w:val="P68B1DB1-Normal135"/>
              <w:spacing w:after="0" w:line="240" w:lineRule="auto"/>
              <w:jc w:val="both"/>
              <w:textAlignment w:val="baseline"/>
              <w:rPr>
                <w:noProof/>
              </w:rPr>
            </w:pPr>
            <w:r>
              <w:rPr>
                <w:noProof/>
              </w:rPr>
              <w:t> </w:t>
            </w:r>
          </w:p>
        </w:tc>
        <w:tc>
          <w:tcPr>
            <w:tcW w:w="1276" w:type="dxa"/>
            <w:shd w:val="clear" w:color="auto" w:fill="C6EFCE"/>
            <w:vAlign w:val="bottom"/>
            <w:hideMark/>
          </w:tcPr>
          <w:p w14:paraId="3843F67C" w14:textId="77777777" w:rsidR="00553430" w:rsidRDefault="00212577">
            <w:pPr>
              <w:pStyle w:val="P68B1DB1-Normal76"/>
              <w:spacing w:after="0" w:line="240" w:lineRule="auto"/>
              <w:jc w:val="both"/>
              <w:textAlignment w:val="baseline"/>
              <w:rPr>
                <w:noProof/>
              </w:rPr>
            </w:pPr>
            <w:r>
              <w:rPr>
                <w:noProof/>
              </w:rPr>
              <w:t>Montant des acomptes provisionnels </w:t>
            </w:r>
          </w:p>
        </w:tc>
        <w:tc>
          <w:tcPr>
            <w:tcW w:w="5365" w:type="dxa"/>
            <w:shd w:val="clear" w:color="auto" w:fill="C6EFCE"/>
            <w:vAlign w:val="bottom"/>
            <w:hideMark/>
          </w:tcPr>
          <w:p w14:paraId="2253B6B6" w14:textId="77777777" w:rsidR="00553430" w:rsidRDefault="00212577">
            <w:pPr>
              <w:pStyle w:val="P68B1DB1-Normal144"/>
              <w:spacing w:after="0" w:line="240" w:lineRule="auto"/>
              <w:jc w:val="both"/>
              <w:textAlignment w:val="baseline"/>
              <w:rPr>
                <w:noProof/>
                <w:sz w:val="20"/>
                <w:szCs w:val="20"/>
              </w:rPr>
            </w:pPr>
            <w:r>
              <w:rPr>
                <w:noProof/>
                <w:sz w:val="24"/>
                <w:szCs w:val="28"/>
              </w:rPr>
              <w:t> </w:t>
            </w:r>
            <w:r>
              <w:rPr>
                <w:noProof/>
                <w:sz w:val="20"/>
                <w:szCs w:val="20"/>
              </w:rPr>
              <w:t>455</w:t>
            </w:r>
            <w:r>
              <w:rPr>
                <w:noProof/>
                <w:sz w:val="24"/>
                <w:szCs w:val="28"/>
              </w:rPr>
              <w:t> </w:t>
            </w:r>
            <w:r>
              <w:rPr>
                <w:noProof/>
                <w:sz w:val="20"/>
                <w:szCs w:val="20"/>
              </w:rPr>
              <w:t>802</w:t>
            </w:r>
            <w:r>
              <w:rPr>
                <w:noProof/>
                <w:sz w:val="24"/>
                <w:szCs w:val="28"/>
              </w:rPr>
              <w:t> </w:t>
            </w:r>
            <w:r>
              <w:rPr>
                <w:noProof/>
                <w:sz w:val="20"/>
                <w:szCs w:val="20"/>
              </w:rPr>
              <w:t>533 EUR</w:t>
            </w:r>
          </w:p>
        </w:tc>
      </w:tr>
    </w:tbl>
    <w:p w14:paraId="72D69277" w14:textId="77777777" w:rsidR="00553430" w:rsidRDefault="00212577">
      <w:pPr>
        <w:pStyle w:val="P68B1DB1-Normal142"/>
        <w:spacing w:after="0" w:line="240" w:lineRule="auto"/>
        <w:jc w:val="both"/>
        <w:textAlignment w:val="baseline"/>
        <w:rPr>
          <w:noProof/>
        </w:rPr>
      </w:pPr>
      <w:r>
        <w:rPr>
          <w:noProof/>
        </w:rPr>
        <w:t> </w:t>
      </w:r>
    </w:p>
    <w:p w14:paraId="2CBDD804" w14:textId="77777777" w:rsidR="00553430" w:rsidRDefault="00553430">
      <w:pPr>
        <w:spacing w:after="0" w:line="240" w:lineRule="auto"/>
        <w:jc w:val="both"/>
        <w:textAlignment w:val="baseline"/>
        <w:rPr>
          <w:rFonts w:ascii="Times New Roman" w:eastAsia="Times New Roman" w:hAnsi="Times New Roman" w:cs="Times New Roman"/>
          <w:noProof/>
          <w:szCs w:val="24"/>
        </w:rPr>
      </w:pPr>
    </w:p>
    <w:p w14:paraId="0A14EF58" w14:textId="0F5C94A9" w:rsidR="00553430" w:rsidRDefault="00212577">
      <w:pPr>
        <w:pStyle w:val="P68B1DB1-Normal83"/>
        <w:numPr>
          <w:ilvl w:val="0"/>
          <w:numId w:val="81"/>
        </w:numPr>
        <w:spacing w:line="240" w:lineRule="auto"/>
        <w:contextualSpacing/>
        <w:jc w:val="both"/>
        <w:textAlignment w:val="baseline"/>
        <w:rPr>
          <w:noProof/>
        </w:rPr>
      </w:pPr>
      <w:r>
        <w:rPr>
          <w:noProof/>
        </w:rPr>
        <w:t xml:space="preserve">Troisième tranche (soutien sous forme de prêt): </w:t>
      </w:r>
    </w:p>
    <w:p w14:paraId="602EA6EF" w14:textId="77777777" w:rsidR="00553430" w:rsidRDefault="00553430">
      <w:pPr>
        <w:spacing w:line="240" w:lineRule="auto"/>
        <w:ind w:left="720"/>
        <w:contextualSpacing/>
        <w:jc w:val="both"/>
        <w:textAlignment w:val="baseline"/>
        <w:rPr>
          <w:rFonts w:ascii="Times New Roman" w:eastAsia="Times New Roman" w:hAnsi="Times New Roman" w:cs="Times New Roman"/>
          <w:noProof/>
          <w:sz w:val="24"/>
          <w:szCs w:val="24"/>
        </w:rPr>
      </w:pPr>
    </w:p>
    <w:tbl>
      <w:tblPr>
        <w:tblW w:w="9365"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7"/>
        <w:gridCol w:w="1641"/>
        <w:gridCol w:w="1276"/>
        <w:gridCol w:w="5351"/>
      </w:tblGrid>
      <w:tr w:rsidR="00553430" w14:paraId="7BEF4EB0" w14:textId="77777777">
        <w:trPr>
          <w:trHeight w:val="948"/>
          <w:tblHeader/>
        </w:trPr>
        <w:tc>
          <w:tcPr>
            <w:tcW w:w="1097" w:type="dxa"/>
            <w:shd w:val="clear" w:color="auto" w:fill="BDD7EE"/>
            <w:vAlign w:val="center"/>
            <w:hideMark/>
          </w:tcPr>
          <w:p w14:paraId="78C6FFDA" w14:textId="77777777" w:rsidR="00553430" w:rsidRDefault="00212577">
            <w:pPr>
              <w:pStyle w:val="P68B1DB1-Normal76"/>
              <w:spacing w:after="0" w:line="240" w:lineRule="auto"/>
              <w:jc w:val="center"/>
              <w:textAlignment w:val="baseline"/>
              <w:rPr>
                <w:noProof/>
              </w:rPr>
            </w:pPr>
            <w:r>
              <w:rPr>
                <w:b/>
                <w:noProof/>
              </w:rPr>
              <w:t>Numéro séquentiel</w:t>
            </w:r>
            <w:r>
              <w:rPr>
                <w:noProof/>
              </w:rPr>
              <w:t> </w:t>
            </w:r>
          </w:p>
        </w:tc>
        <w:tc>
          <w:tcPr>
            <w:tcW w:w="1641" w:type="dxa"/>
            <w:shd w:val="clear" w:color="auto" w:fill="BDD7EE"/>
            <w:vAlign w:val="center"/>
            <w:hideMark/>
          </w:tcPr>
          <w:p w14:paraId="05525705" w14:textId="77777777" w:rsidR="00553430" w:rsidRDefault="00212577">
            <w:pPr>
              <w:pStyle w:val="P68B1DB1-Normal76"/>
              <w:spacing w:after="0" w:line="240" w:lineRule="auto"/>
              <w:jc w:val="center"/>
              <w:textAlignment w:val="baseline"/>
              <w:rPr>
                <w:noProof/>
              </w:rPr>
            </w:pPr>
            <w:r>
              <w:rPr>
                <w:b/>
                <w:noProof/>
              </w:rPr>
              <w:t>Mesure connexe (réforme ou investissement)</w:t>
            </w:r>
            <w:r>
              <w:rPr>
                <w:noProof/>
              </w:rPr>
              <w:t> </w:t>
            </w:r>
          </w:p>
        </w:tc>
        <w:tc>
          <w:tcPr>
            <w:tcW w:w="1276" w:type="dxa"/>
            <w:shd w:val="clear" w:color="auto" w:fill="BDD7EE"/>
            <w:vAlign w:val="center"/>
            <w:hideMark/>
          </w:tcPr>
          <w:p w14:paraId="42E10201" w14:textId="77777777" w:rsidR="00553430" w:rsidRDefault="00212577">
            <w:pPr>
              <w:pStyle w:val="P68B1DB1-Normal76"/>
              <w:spacing w:after="0" w:line="240" w:lineRule="auto"/>
              <w:jc w:val="center"/>
              <w:textAlignment w:val="baseline"/>
              <w:rPr>
                <w:noProof/>
              </w:rPr>
            </w:pPr>
            <w:r>
              <w:rPr>
                <w:b/>
                <w:noProof/>
              </w:rPr>
              <w:t>Étape/cible</w:t>
            </w:r>
            <w:r>
              <w:rPr>
                <w:noProof/>
              </w:rPr>
              <w:t> </w:t>
            </w:r>
          </w:p>
        </w:tc>
        <w:tc>
          <w:tcPr>
            <w:tcW w:w="5351" w:type="dxa"/>
            <w:shd w:val="clear" w:color="auto" w:fill="BDD7EE"/>
            <w:vAlign w:val="center"/>
            <w:hideMark/>
          </w:tcPr>
          <w:p w14:paraId="4D16BA20" w14:textId="77777777" w:rsidR="00553430" w:rsidRDefault="00212577">
            <w:pPr>
              <w:pStyle w:val="P68B1DB1-Normal76"/>
              <w:spacing w:after="0" w:line="240" w:lineRule="auto"/>
              <w:jc w:val="center"/>
              <w:textAlignment w:val="baseline"/>
              <w:rPr>
                <w:noProof/>
              </w:rPr>
            </w:pPr>
            <w:r>
              <w:rPr>
                <w:b/>
                <w:noProof/>
              </w:rPr>
              <w:t>Nom</w:t>
            </w:r>
            <w:r>
              <w:rPr>
                <w:noProof/>
              </w:rPr>
              <w:t> </w:t>
            </w:r>
          </w:p>
        </w:tc>
      </w:tr>
      <w:tr w:rsidR="00553430" w14:paraId="5C4A76FC" w14:textId="77777777">
        <w:trPr>
          <w:trHeight w:val="316"/>
        </w:trPr>
        <w:tc>
          <w:tcPr>
            <w:tcW w:w="1097" w:type="dxa"/>
            <w:shd w:val="clear" w:color="auto" w:fill="C6EFCE"/>
            <w:vAlign w:val="center"/>
          </w:tcPr>
          <w:p w14:paraId="26AAB9D0" w14:textId="77777777" w:rsidR="00553430" w:rsidRDefault="00212577">
            <w:pPr>
              <w:pStyle w:val="P68B1DB1-Normal76"/>
              <w:spacing w:after="0" w:line="240" w:lineRule="auto"/>
              <w:jc w:val="center"/>
              <w:textAlignment w:val="baseline"/>
              <w:rPr>
                <w:noProof/>
              </w:rPr>
            </w:pPr>
            <w:r>
              <w:rPr>
                <w:noProof/>
              </w:rPr>
              <w:t>154</w:t>
            </w:r>
          </w:p>
        </w:tc>
        <w:tc>
          <w:tcPr>
            <w:tcW w:w="1641" w:type="dxa"/>
            <w:shd w:val="clear" w:color="auto" w:fill="C6EFCE"/>
            <w:vAlign w:val="center"/>
          </w:tcPr>
          <w:p w14:paraId="7EA72E69" w14:textId="77777777" w:rsidR="00553430" w:rsidRDefault="00212577">
            <w:pPr>
              <w:pStyle w:val="P68B1DB1-Normal76"/>
              <w:spacing w:after="0" w:line="240" w:lineRule="auto"/>
              <w:jc w:val="center"/>
              <w:textAlignment w:val="baseline"/>
              <w:rPr>
                <w:noProof/>
              </w:rPr>
            </w:pPr>
            <w:r>
              <w:rPr>
                <w:noProof/>
              </w:rPr>
              <w:t>C2.1. R1-I2</w:t>
            </w:r>
          </w:p>
        </w:tc>
        <w:tc>
          <w:tcPr>
            <w:tcW w:w="1276" w:type="dxa"/>
            <w:shd w:val="clear" w:color="auto" w:fill="C6EFCE"/>
            <w:vAlign w:val="center"/>
          </w:tcPr>
          <w:p w14:paraId="6EAC67C8" w14:textId="77777777" w:rsidR="00553430" w:rsidRDefault="00212577">
            <w:pPr>
              <w:pStyle w:val="P68B1DB1-Normal76"/>
              <w:spacing w:after="0" w:line="240" w:lineRule="auto"/>
              <w:jc w:val="center"/>
              <w:textAlignment w:val="baseline"/>
              <w:rPr>
                <w:noProof/>
              </w:rPr>
            </w:pPr>
            <w:r>
              <w:rPr>
                <w:noProof/>
              </w:rPr>
              <w:t>T</w:t>
            </w:r>
          </w:p>
        </w:tc>
        <w:tc>
          <w:tcPr>
            <w:tcW w:w="5351" w:type="dxa"/>
            <w:shd w:val="clear" w:color="auto" w:fill="C6EFCE"/>
            <w:vAlign w:val="bottom"/>
          </w:tcPr>
          <w:p w14:paraId="67164463" w14:textId="77777777" w:rsidR="00553430" w:rsidRDefault="00212577">
            <w:pPr>
              <w:pStyle w:val="P68B1DB1-Normal76"/>
              <w:spacing w:after="0" w:line="240" w:lineRule="auto"/>
              <w:textAlignment w:val="baseline"/>
              <w:rPr>
                <w:noProof/>
              </w:rPr>
            </w:pPr>
            <w:r>
              <w:rPr>
                <w:noProof/>
              </w:rPr>
              <w:t xml:space="preserve">Modules de formation pour la planification stratégique et l'évaluation de l'impact réglementaire aux </w:t>
            </w:r>
            <w:r>
              <w:rPr>
                <w:noProof/>
              </w:rPr>
              <w:t>niveaux national, régional et local</w:t>
            </w:r>
          </w:p>
        </w:tc>
      </w:tr>
      <w:tr w:rsidR="00553430" w14:paraId="79CC8AD6" w14:textId="77777777">
        <w:trPr>
          <w:trHeight w:val="316"/>
        </w:trPr>
        <w:tc>
          <w:tcPr>
            <w:tcW w:w="1097" w:type="dxa"/>
            <w:shd w:val="clear" w:color="auto" w:fill="C6EFCE"/>
            <w:vAlign w:val="center"/>
          </w:tcPr>
          <w:p w14:paraId="2FC38667" w14:textId="77777777" w:rsidR="00553430" w:rsidRDefault="00212577">
            <w:pPr>
              <w:pStyle w:val="P68B1DB1-Normal89"/>
              <w:spacing w:after="0" w:line="240" w:lineRule="auto"/>
              <w:jc w:val="center"/>
              <w:textAlignment w:val="baseline"/>
              <w:rPr>
                <w:rFonts w:eastAsia="Times New Roman"/>
                <w:noProof/>
              </w:rPr>
            </w:pPr>
            <w:r>
              <w:rPr>
                <w:noProof/>
              </w:rPr>
              <w:t>315</w:t>
            </w:r>
          </w:p>
        </w:tc>
        <w:tc>
          <w:tcPr>
            <w:tcW w:w="1641" w:type="dxa"/>
            <w:shd w:val="clear" w:color="auto" w:fill="C6EFCE"/>
            <w:vAlign w:val="center"/>
          </w:tcPr>
          <w:p w14:paraId="7B07E39F" w14:textId="77777777" w:rsidR="00553430" w:rsidRDefault="00212577">
            <w:pPr>
              <w:pStyle w:val="P68B1DB1-Normal89"/>
              <w:spacing w:after="0" w:line="240" w:lineRule="auto"/>
              <w:jc w:val="center"/>
              <w:textAlignment w:val="baseline"/>
              <w:rPr>
                <w:rFonts w:eastAsia="Times New Roman"/>
                <w:noProof/>
              </w:rPr>
            </w:pPr>
            <w:r>
              <w:rPr>
                <w:noProof/>
              </w:rPr>
              <w:t>C4.3. R3-I2</w:t>
            </w:r>
          </w:p>
        </w:tc>
        <w:tc>
          <w:tcPr>
            <w:tcW w:w="1276" w:type="dxa"/>
            <w:shd w:val="clear" w:color="auto" w:fill="C6EFCE"/>
            <w:vAlign w:val="center"/>
          </w:tcPr>
          <w:p w14:paraId="78B45287" w14:textId="77777777" w:rsidR="00553430" w:rsidRDefault="00212577">
            <w:pPr>
              <w:pStyle w:val="P68B1DB1-Normal89"/>
              <w:spacing w:after="0" w:line="240" w:lineRule="auto"/>
              <w:jc w:val="center"/>
              <w:textAlignment w:val="baseline"/>
              <w:rPr>
                <w:rFonts w:eastAsia="Times New Roman"/>
                <w:noProof/>
              </w:rPr>
            </w:pPr>
            <w:r>
              <w:rPr>
                <w:noProof/>
              </w:rPr>
              <w:t>T</w:t>
            </w:r>
          </w:p>
        </w:tc>
        <w:tc>
          <w:tcPr>
            <w:tcW w:w="5351" w:type="dxa"/>
            <w:shd w:val="clear" w:color="auto" w:fill="C6EFCE"/>
            <w:vAlign w:val="center"/>
          </w:tcPr>
          <w:p w14:paraId="38CF0A57" w14:textId="77777777" w:rsidR="00553430" w:rsidRDefault="00212577">
            <w:pPr>
              <w:pStyle w:val="P68B1DB1-Normal89"/>
              <w:spacing w:after="0" w:line="240" w:lineRule="auto"/>
              <w:textAlignment w:val="baseline"/>
              <w:rPr>
                <w:rFonts w:eastAsia="Times New Roman"/>
                <w:noProof/>
              </w:rPr>
            </w:pPr>
            <w:r>
              <w:rPr>
                <w:noProof/>
              </w:rPr>
              <w:t>Système d'information unique (système d'information SocSkrb)</w:t>
            </w:r>
          </w:p>
        </w:tc>
      </w:tr>
      <w:tr w:rsidR="00553430" w14:paraId="5A8AA936" w14:textId="77777777">
        <w:trPr>
          <w:trHeight w:val="316"/>
        </w:trPr>
        <w:tc>
          <w:tcPr>
            <w:tcW w:w="1097" w:type="dxa"/>
            <w:shd w:val="clear" w:color="auto" w:fill="C6EFCE"/>
            <w:vAlign w:val="center"/>
            <w:hideMark/>
          </w:tcPr>
          <w:p w14:paraId="36F72EC6" w14:textId="77777777" w:rsidR="00553430" w:rsidRDefault="00212577">
            <w:pPr>
              <w:pStyle w:val="P68B1DB1-Normal76"/>
              <w:spacing w:after="0" w:line="240" w:lineRule="auto"/>
              <w:jc w:val="center"/>
              <w:textAlignment w:val="baseline"/>
              <w:rPr>
                <w:noProof/>
              </w:rPr>
            </w:pPr>
            <w:r>
              <w:rPr>
                <w:noProof/>
              </w:rPr>
              <w:t>373</w:t>
            </w:r>
          </w:p>
        </w:tc>
        <w:tc>
          <w:tcPr>
            <w:tcW w:w="1641" w:type="dxa"/>
            <w:shd w:val="clear" w:color="auto" w:fill="C6EFCE"/>
            <w:vAlign w:val="center"/>
            <w:hideMark/>
          </w:tcPr>
          <w:p w14:paraId="43CA45A9" w14:textId="77777777" w:rsidR="00553430" w:rsidRDefault="00212577">
            <w:pPr>
              <w:pStyle w:val="P68B1DB1-Normal76"/>
              <w:spacing w:after="0" w:line="240" w:lineRule="auto"/>
              <w:jc w:val="center"/>
              <w:textAlignment w:val="baseline"/>
              <w:rPr>
                <w:noProof/>
              </w:rPr>
            </w:pPr>
            <w:r>
              <w:rPr>
                <w:noProof/>
              </w:rPr>
              <w:t>C1.1.1.R5</w:t>
            </w:r>
          </w:p>
        </w:tc>
        <w:tc>
          <w:tcPr>
            <w:tcW w:w="1276" w:type="dxa"/>
            <w:shd w:val="clear" w:color="auto" w:fill="C6EFCE"/>
            <w:vAlign w:val="center"/>
            <w:hideMark/>
          </w:tcPr>
          <w:p w14:paraId="41DF352B" w14:textId="77777777" w:rsidR="00553430" w:rsidRDefault="00212577">
            <w:pPr>
              <w:pStyle w:val="P68B1DB1-Normal76"/>
              <w:spacing w:after="0" w:line="240" w:lineRule="auto"/>
              <w:jc w:val="center"/>
              <w:textAlignment w:val="baseline"/>
              <w:rPr>
                <w:noProof/>
              </w:rPr>
            </w:pPr>
            <w:r>
              <w:rPr>
                <w:noProof/>
              </w:rPr>
              <w:t>M</w:t>
            </w:r>
          </w:p>
        </w:tc>
        <w:tc>
          <w:tcPr>
            <w:tcW w:w="5351" w:type="dxa"/>
            <w:shd w:val="clear" w:color="auto" w:fill="C6EFCE"/>
            <w:vAlign w:val="bottom"/>
            <w:hideMark/>
          </w:tcPr>
          <w:p w14:paraId="2B07851E" w14:textId="77777777" w:rsidR="00553430" w:rsidRDefault="00212577">
            <w:pPr>
              <w:pStyle w:val="P68B1DB1-Normal76"/>
              <w:spacing w:after="0" w:line="240" w:lineRule="auto"/>
              <w:textAlignment w:val="baseline"/>
              <w:rPr>
                <w:noProof/>
              </w:rPr>
            </w:pPr>
            <w:r>
              <w:rPr>
                <w:noProof/>
              </w:rPr>
              <w:t>Adoption du cadre stratégique pour le développement du marché des capitaux en Croatie et du plan d'action qui l'accompagne</w:t>
            </w:r>
          </w:p>
        </w:tc>
      </w:tr>
      <w:tr w:rsidR="00553430" w14:paraId="650C10A1" w14:textId="77777777">
        <w:trPr>
          <w:trHeight w:val="316"/>
        </w:trPr>
        <w:tc>
          <w:tcPr>
            <w:tcW w:w="1097" w:type="dxa"/>
            <w:shd w:val="clear" w:color="auto" w:fill="C6EFCE"/>
            <w:vAlign w:val="center"/>
            <w:hideMark/>
          </w:tcPr>
          <w:p w14:paraId="148A6A3E" w14:textId="77777777" w:rsidR="00553430" w:rsidRDefault="00212577">
            <w:pPr>
              <w:pStyle w:val="P68B1DB1-Normal76"/>
              <w:spacing w:after="0" w:line="240" w:lineRule="auto"/>
              <w:jc w:val="center"/>
              <w:textAlignment w:val="baseline"/>
              <w:rPr>
                <w:noProof/>
              </w:rPr>
            </w:pPr>
            <w:r>
              <w:rPr>
                <w:noProof/>
              </w:rPr>
              <w:t>383</w:t>
            </w:r>
          </w:p>
        </w:tc>
        <w:tc>
          <w:tcPr>
            <w:tcW w:w="1641" w:type="dxa"/>
            <w:shd w:val="clear" w:color="auto" w:fill="C6EFCE"/>
            <w:vAlign w:val="center"/>
            <w:hideMark/>
          </w:tcPr>
          <w:p w14:paraId="1D1A7609" w14:textId="77777777" w:rsidR="00553430" w:rsidRDefault="00212577">
            <w:pPr>
              <w:pStyle w:val="P68B1DB1-Normal76"/>
              <w:spacing w:after="0" w:line="240" w:lineRule="auto"/>
              <w:jc w:val="center"/>
              <w:textAlignment w:val="baseline"/>
              <w:rPr>
                <w:noProof/>
              </w:rPr>
            </w:pPr>
            <w:r>
              <w:rPr>
                <w:noProof/>
              </w:rPr>
              <w:t>C1.3. R3</w:t>
            </w:r>
          </w:p>
        </w:tc>
        <w:tc>
          <w:tcPr>
            <w:tcW w:w="1276" w:type="dxa"/>
            <w:shd w:val="clear" w:color="auto" w:fill="C6EFCE"/>
            <w:vAlign w:val="center"/>
            <w:hideMark/>
          </w:tcPr>
          <w:p w14:paraId="1B2F02E0" w14:textId="77777777" w:rsidR="00553430" w:rsidRDefault="00212577">
            <w:pPr>
              <w:pStyle w:val="P68B1DB1-Normal76"/>
              <w:spacing w:after="0" w:line="240" w:lineRule="auto"/>
              <w:jc w:val="center"/>
              <w:textAlignment w:val="baseline"/>
              <w:rPr>
                <w:noProof/>
              </w:rPr>
            </w:pPr>
            <w:r>
              <w:rPr>
                <w:noProof/>
              </w:rPr>
              <w:t>M</w:t>
            </w:r>
          </w:p>
        </w:tc>
        <w:tc>
          <w:tcPr>
            <w:tcW w:w="5351" w:type="dxa"/>
            <w:shd w:val="clear" w:color="auto" w:fill="C6EFCE"/>
            <w:vAlign w:val="bottom"/>
            <w:hideMark/>
          </w:tcPr>
          <w:p w14:paraId="758E096A" w14:textId="77777777" w:rsidR="00553430" w:rsidRDefault="00212577">
            <w:pPr>
              <w:pStyle w:val="P68B1DB1-Normal76"/>
              <w:spacing w:after="0" w:line="240" w:lineRule="auto"/>
              <w:textAlignment w:val="baseline"/>
              <w:rPr>
                <w:noProof/>
              </w:rPr>
            </w:pPr>
            <w:r>
              <w:rPr>
                <w:noProof/>
              </w:rPr>
              <w:t>Création de l ' Autorité nationale de surveillance des pertes d ' eau</w:t>
            </w:r>
          </w:p>
        </w:tc>
      </w:tr>
      <w:tr w:rsidR="00553430" w14:paraId="7612B8AE" w14:textId="77777777">
        <w:trPr>
          <w:trHeight w:val="316"/>
        </w:trPr>
        <w:tc>
          <w:tcPr>
            <w:tcW w:w="1097" w:type="dxa"/>
            <w:shd w:val="clear" w:color="auto" w:fill="C6EFCE"/>
            <w:vAlign w:val="center"/>
          </w:tcPr>
          <w:p w14:paraId="1AE6EAB3" w14:textId="77777777" w:rsidR="00553430" w:rsidRDefault="00212577">
            <w:pPr>
              <w:pStyle w:val="P68B1DB1-Normal76"/>
              <w:spacing w:after="0" w:line="240" w:lineRule="auto"/>
              <w:jc w:val="center"/>
              <w:textAlignment w:val="baseline"/>
              <w:rPr>
                <w:noProof/>
              </w:rPr>
            </w:pPr>
            <w:r>
              <w:rPr>
                <w:noProof/>
              </w:rPr>
              <w:t>386</w:t>
            </w:r>
          </w:p>
        </w:tc>
        <w:tc>
          <w:tcPr>
            <w:tcW w:w="1641" w:type="dxa"/>
            <w:shd w:val="clear" w:color="auto" w:fill="C6EFCE"/>
            <w:vAlign w:val="center"/>
          </w:tcPr>
          <w:p w14:paraId="27C69252" w14:textId="77777777" w:rsidR="00553430" w:rsidRDefault="00212577">
            <w:pPr>
              <w:pStyle w:val="P68B1DB1-Normal76"/>
              <w:spacing w:after="0" w:line="240" w:lineRule="auto"/>
              <w:jc w:val="center"/>
              <w:textAlignment w:val="baseline"/>
              <w:rPr>
                <w:noProof/>
              </w:rPr>
            </w:pPr>
            <w:r>
              <w:rPr>
                <w:noProof/>
              </w:rPr>
              <w:t>C1.3. R3</w:t>
            </w:r>
          </w:p>
        </w:tc>
        <w:tc>
          <w:tcPr>
            <w:tcW w:w="1276" w:type="dxa"/>
            <w:shd w:val="clear" w:color="auto" w:fill="C6EFCE"/>
            <w:vAlign w:val="center"/>
          </w:tcPr>
          <w:p w14:paraId="07E81D99" w14:textId="77777777" w:rsidR="00553430" w:rsidRDefault="00212577">
            <w:pPr>
              <w:pStyle w:val="P68B1DB1-Normal76"/>
              <w:spacing w:after="0" w:line="240" w:lineRule="auto"/>
              <w:jc w:val="center"/>
              <w:textAlignment w:val="baseline"/>
              <w:rPr>
                <w:noProof/>
              </w:rPr>
            </w:pPr>
            <w:r>
              <w:rPr>
                <w:noProof/>
              </w:rPr>
              <w:t>T</w:t>
            </w:r>
          </w:p>
        </w:tc>
        <w:tc>
          <w:tcPr>
            <w:tcW w:w="5351" w:type="dxa"/>
            <w:shd w:val="clear" w:color="auto" w:fill="C6EFCE"/>
            <w:vAlign w:val="bottom"/>
          </w:tcPr>
          <w:p w14:paraId="6EC426D5" w14:textId="77777777" w:rsidR="00553430" w:rsidRDefault="00212577">
            <w:pPr>
              <w:pStyle w:val="P68B1DB1-Normal76"/>
              <w:spacing w:after="0" w:line="240" w:lineRule="auto"/>
              <w:textAlignment w:val="baseline"/>
              <w:rPr>
                <w:noProof/>
              </w:rPr>
            </w:pPr>
            <w:r>
              <w:rPr>
                <w:noProof/>
              </w:rPr>
              <w:t>Renforcement des capacités du Conseil des services de l'eau</w:t>
            </w:r>
          </w:p>
        </w:tc>
      </w:tr>
      <w:tr w:rsidR="00553430" w14:paraId="1AEA3017" w14:textId="77777777">
        <w:trPr>
          <w:trHeight w:val="316"/>
        </w:trPr>
        <w:tc>
          <w:tcPr>
            <w:tcW w:w="1097" w:type="dxa"/>
            <w:shd w:val="clear" w:color="auto" w:fill="C6EFCE"/>
            <w:vAlign w:val="center"/>
          </w:tcPr>
          <w:p w14:paraId="4743DC6D" w14:textId="77777777" w:rsidR="00553430" w:rsidRDefault="00212577">
            <w:pPr>
              <w:pStyle w:val="P68B1DB1-Normal89"/>
              <w:spacing w:after="0" w:line="240" w:lineRule="auto"/>
              <w:jc w:val="center"/>
              <w:textAlignment w:val="baseline"/>
              <w:rPr>
                <w:noProof/>
              </w:rPr>
            </w:pPr>
            <w:r>
              <w:rPr>
                <w:noProof/>
              </w:rPr>
              <w:t>402</w:t>
            </w:r>
          </w:p>
        </w:tc>
        <w:tc>
          <w:tcPr>
            <w:tcW w:w="1641" w:type="dxa"/>
            <w:shd w:val="clear" w:color="auto" w:fill="C6EFCE"/>
            <w:vAlign w:val="center"/>
          </w:tcPr>
          <w:p w14:paraId="116C2D1F" w14:textId="77777777" w:rsidR="00553430" w:rsidRDefault="00212577">
            <w:pPr>
              <w:pStyle w:val="P68B1DB1-Normal76"/>
              <w:spacing w:after="0" w:line="240" w:lineRule="auto"/>
              <w:jc w:val="center"/>
              <w:textAlignment w:val="baseline"/>
              <w:rPr>
                <w:noProof/>
              </w:rPr>
            </w:pPr>
            <w:r>
              <w:rPr>
                <w:noProof/>
              </w:rPr>
              <w:t>C6.1. R7</w:t>
            </w:r>
          </w:p>
          <w:p w14:paraId="7E0BCAD6" w14:textId="77777777" w:rsidR="00553430" w:rsidRDefault="00553430">
            <w:pPr>
              <w:spacing w:after="0" w:line="240" w:lineRule="auto"/>
              <w:jc w:val="center"/>
              <w:textAlignment w:val="baseline"/>
              <w:rPr>
                <w:rFonts w:ascii="Times New Roman" w:hAnsi="Times New Roman" w:cs="Times New Roman"/>
                <w:noProof/>
                <w:sz w:val="20"/>
                <w:szCs w:val="20"/>
              </w:rPr>
            </w:pPr>
          </w:p>
        </w:tc>
        <w:tc>
          <w:tcPr>
            <w:tcW w:w="1276" w:type="dxa"/>
            <w:shd w:val="clear" w:color="auto" w:fill="C6EFCE"/>
            <w:vAlign w:val="center"/>
          </w:tcPr>
          <w:p w14:paraId="25716603" w14:textId="77777777" w:rsidR="00553430" w:rsidRDefault="00212577">
            <w:pPr>
              <w:pStyle w:val="P68B1DB1-Normal76"/>
              <w:spacing w:after="0" w:line="240" w:lineRule="auto"/>
              <w:jc w:val="center"/>
              <w:textAlignment w:val="baseline"/>
              <w:rPr>
                <w:noProof/>
              </w:rPr>
            </w:pPr>
            <w:r>
              <w:rPr>
                <w:noProof/>
              </w:rPr>
              <w:t>M</w:t>
            </w:r>
          </w:p>
        </w:tc>
        <w:tc>
          <w:tcPr>
            <w:tcW w:w="5351" w:type="dxa"/>
            <w:shd w:val="clear" w:color="auto" w:fill="C6EFCE"/>
            <w:vAlign w:val="center"/>
          </w:tcPr>
          <w:p w14:paraId="0A6334B8" w14:textId="71976187" w:rsidR="00553430" w:rsidRDefault="00212577">
            <w:pPr>
              <w:pStyle w:val="P68B1DB1-Normal76"/>
              <w:spacing w:after="0" w:line="240" w:lineRule="auto"/>
              <w:textAlignment w:val="baseline"/>
              <w:rPr>
                <w:noProof/>
              </w:rPr>
            </w:pPr>
            <w:r>
              <w:rPr>
                <w:noProof/>
              </w:rPr>
              <w:t xml:space="preserve">Signature d'accords sur la mise en œuvre de projets pilotes </w:t>
            </w:r>
          </w:p>
        </w:tc>
      </w:tr>
      <w:tr w:rsidR="00553430" w14:paraId="1BB77AB8" w14:textId="77777777">
        <w:trPr>
          <w:trHeight w:val="316"/>
        </w:trPr>
        <w:tc>
          <w:tcPr>
            <w:tcW w:w="1097" w:type="dxa"/>
            <w:shd w:val="clear" w:color="auto" w:fill="C6EFCE"/>
            <w:vAlign w:val="bottom"/>
            <w:hideMark/>
          </w:tcPr>
          <w:p w14:paraId="2543B381" w14:textId="77777777" w:rsidR="00553430" w:rsidRDefault="00212577">
            <w:pPr>
              <w:pStyle w:val="P68B1DB1-Normal76"/>
              <w:spacing w:after="0" w:line="240" w:lineRule="auto"/>
              <w:jc w:val="center"/>
              <w:textAlignment w:val="baseline"/>
              <w:rPr>
                <w:noProof/>
              </w:rPr>
            </w:pPr>
            <w:r>
              <w:rPr>
                <w:noProof/>
              </w:rPr>
              <w:t> </w:t>
            </w:r>
          </w:p>
        </w:tc>
        <w:tc>
          <w:tcPr>
            <w:tcW w:w="1641" w:type="dxa"/>
            <w:shd w:val="clear" w:color="auto" w:fill="C6EFCE"/>
            <w:vAlign w:val="bottom"/>
            <w:hideMark/>
          </w:tcPr>
          <w:p w14:paraId="314A2AD7" w14:textId="77777777" w:rsidR="00553430" w:rsidRDefault="00212577">
            <w:pPr>
              <w:pStyle w:val="P68B1DB1-Normal76"/>
              <w:spacing w:after="0" w:line="240" w:lineRule="auto"/>
              <w:jc w:val="both"/>
              <w:textAlignment w:val="baseline"/>
              <w:rPr>
                <w:noProof/>
              </w:rPr>
            </w:pPr>
            <w:r>
              <w:rPr>
                <w:noProof/>
              </w:rPr>
              <w:t> </w:t>
            </w:r>
          </w:p>
        </w:tc>
        <w:tc>
          <w:tcPr>
            <w:tcW w:w="1276" w:type="dxa"/>
            <w:shd w:val="clear" w:color="auto" w:fill="C6EFCE"/>
            <w:vAlign w:val="bottom"/>
            <w:hideMark/>
          </w:tcPr>
          <w:p w14:paraId="055A3ED2" w14:textId="77777777" w:rsidR="00553430" w:rsidRDefault="00212577">
            <w:pPr>
              <w:pStyle w:val="P68B1DB1-Normal76"/>
              <w:spacing w:after="0" w:line="240" w:lineRule="auto"/>
              <w:jc w:val="both"/>
              <w:textAlignment w:val="baseline"/>
              <w:rPr>
                <w:noProof/>
              </w:rPr>
            </w:pPr>
            <w:r>
              <w:rPr>
                <w:noProof/>
              </w:rPr>
              <w:t>Montant des</w:t>
            </w:r>
            <w:r>
              <w:rPr>
                <w:noProof/>
              </w:rPr>
              <w:t xml:space="preserve"> acomptes provisionnels </w:t>
            </w:r>
          </w:p>
        </w:tc>
        <w:tc>
          <w:tcPr>
            <w:tcW w:w="5351" w:type="dxa"/>
            <w:shd w:val="clear" w:color="auto" w:fill="C6EFCE"/>
            <w:vAlign w:val="bottom"/>
            <w:hideMark/>
          </w:tcPr>
          <w:p w14:paraId="7228A10E" w14:textId="77777777" w:rsidR="00553430" w:rsidRDefault="00212577">
            <w:pPr>
              <w:pStyle w:val="P68B1DB1-Normal144"/>
              <w:spacing w:after="0" w:line="240" w:lineRule="auto"/>
              <w:jc w:val="both"/>
              <w:textAlignment w:val="baseline"/>
              <w:rPr>
                <w:noProof/>
                <w:sz w:val="20"/>
                <w:szCs w:val="20"/>
              </w:rPr>
            </w:pPr>
            <w:r>
              <w:rPr>
                <w:noProof/>
                <w:sz w:val="24"/>
                <w:szCs w:val="28"/>
              </w:rPr>
              <w:t> </w:t>
            </w:r>
            <w:r>
              <w:rPr>
                <w:noProof/>
                <w:sz w:val="20"/>
                <w:szCs w:val="20"/>
              </w:rPr>
              <w:t>531</w:t>
            </w:r>
            <w:r>
              <w:rPr>
                <w:noProof/>
                <w:sz w:val="24"/>
                <w:szCs w:val="28"/>
              </w:rPr>
              <w:t> </w:t>
            </w:r>
            <w:r>
              <w:rPr>
                <w:noProof/>
                <w:sz w:val="20"/>
                <w:szCs w:val="20"/>
              </w:rPr>
              <w:t>769</w:t>
            </w:r>
            <w:r>
              <w:rPr>
                <w:noProof/>
                <w:sz w:val="24"/>
                <w:szCs w:val="28"/>
              </w:rPr>
              <w:t> </w:t>
            </w:r>
            <w:r>
              <w:rPr>
                <w:noProof/>
                <w:sz w:val="20"/>
                <w:szCs w:val="20"/>
              </w:rPr>
              <w:t>622 EUR</w:t>
            </w:r>
          </w:p>
        </w:tc>
      </w:tr>
    </w:tbl>
    <w:p w14:paraId="68EB9638" w14:textId="77777777" w:rsidR="00553430" w:rsidRDefault="00212577">
      <w:pPr>
        <w:pStyle w:val="P68B1DB1-Normal134"/>
        <w:spacing w:after="0" w:line="240" w:lineRule="auto"/>
        <w:jc w:val="both"/>
        <w:textAlignment w:val="baseline"/>
        <w:rPr>
          <w:rFonts w:ascii="Segoe UI" w:hAnsi="Segoe UI" w:cs="Segoe UI"/>
          <w:noProof/>
          <w:sz w:val="18"/>
          <w:szCs w:val="18"/>
        </w:rPr>
      </w:pPr>
      <w:r>
        <w:rPr>
          <w:noProof/>
        </w:rPr>
        <w:t> </w:t>
      </w:r>
    </w:p>
    <w:p w14:paraId="30EED715" w14:textId="32A88592" w:rsidR="00553430" w:rsidRDefault="00212577">
      <w:pPr>
        <w:pStyle w:val="P68B1DB1-Normal83"/>
        <w:numPr>
          <w:ilvl w:val="0"/>
          <w:numId w:val="81"/>
        </w:numPr>
        <w:spacing w:line="240" w:lineRule="auto"/>
        <w:contextualSpacing/>
        <w:jc w:val="both"/>
        <w:textAlignment w:val="baseline"/>
        <w:rPr>
          <w:noProof/>
        </w:rPr>
      </w:pPr>
      <w:r>
        <w:rPr>
          <w:noProof/>
        </w:rPr>
        <w:t xml:space="preserve">Quatrième tranche (soutien sous forme de prêt): </w:t>
      </w:r>
    </w:p>
    <w:p w14:paraId="55BE1A51" w14:textId="77777777" w:rsidR="00553430" w:rsidRDefault="00553430">
      <w:pPr>
        <w:spacing w:line="240" w:lineRule="auto"/>
        <w:ind w:left="720"/>
        <w:contextualSpacing/>
        <w:jc w:val="both"/>
        <w:textAlignment w:val="baseline"/>
        <w:rPr>
          <w:rFonts w:ascii="Times New Roman" w:eastAsia="Times New Roman" w:hAnsi="Times New Roman" w:cs="Times New Roman"/>
          <w:noProof/>
          <w:sz w:val="24"/>
          <w:szCs w:val="24"/>
        </w:rPr>
      </w:pPr>
    </w:p>
    <w:tbl>
      <w:tblPr>
        <w:tblW w:w="940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6"/>
        <w:gridCol w:w="1642"/>
        <w:gridCol w:w="1138"/>
        <w:gridCol w:w="5525"/>
      </w:tblGrid>
      <w:tr w:rsidR="00553430" w14:paraId="2CD47A54" w14:textId="77777777">
        <w:trPr>
          <w:trHeight w:val="1088"/>
        </w:trPr>
        <w:tc>
          <w:tcPr>
            <w:tcW w:w="1096" w:type="dxa"/>
            <w:shd w:val="clear" w:color="auto" w:fill="BDD7EE"/>
            <w:vAlign w:val="center"/>
            <w:hideMark/>
          </w:tcPr>
          <w:p w14:paraId="79047F85" w14:textId="77777777" w:rsidR="00553430" w:rsidRDefault="00212577">
            <w:pPr>
              <w:pStyle w:val="P68B1DB1-Normal76"/>
              <w:spacing w:after="0" w:line="240" w:lineRule="auto"/>
              <w:jc w:val="center"/>
              <w:textAlignment w:val="baseline"/>
              <w:rPr>
                <w:noProof/>
              </w:rPr>
            </w:pPr>
            <w:r>
              <w:rPr>
                <w:b/>
                <w:noProof/>
              </w:rPr>
              <w:t>Numéro séquentiel</w:t>
            </w:r>
            <w:r>
              <w:rPr>
                <w:noProof/>
              </w:rPr>
              <w:t> </w:t>
            </w:r>
          </w:p>
        </w:tc>
        <w:tc>
          <w:tcPr>
            <w:tcW w:w="1642" w:type="dxa"/>
            <w:shd w:val="clear" w:color="auto" w:fill="BDD7EE"/>
            <w:vAlign w:val="center"/>
            <w:hideMark/>
          </w:tcPr>
          <w:p w14:paraId="3C9D1950" w14:textId="77777777" w:rsidR="00553430" w:rsidRDefault="00212577">
            <w:pPr>
              <w:pStyle w:val="P68B1DB1-Normal76"/>
              <w:spacing w:after="0" w:line="240" w:lineRule="auto"/>
              <w:jc w:val="center"/>
              <w:textAlignment w:val="baseline"/>
              <w:rPr>
                <w:noProof/>
              </w:rPr>
            </w:pPr>
            <w:r>
              <w:rPr>
                <w:b/>
                <w:noProof/>
              </w:rPr>
              <w:t>Mesure connexe (réforme ou investissement)</w:t>
            </w:r>
            <w:r>
              <w:rPr>
                <w:noProof/>
              </w:rPr>
              <w:t> </w:t>
            </w:r>
          </w:p>
        </w:tc>
        <w:tc>
          <w:tcPr>
            <w:tcW w:w="1134" w:type="dxa"/>
            <w:shd w:val="clear" w:color="auto" w:fill="BDD7EE"/>
            <w:vAlign w:val="center"/>
            <w:hideMark/>
          </w:tcPr>
          <w:p w14:paraId="71E0DF9C" w14:textId="77777777" w:rsidR="00553430" w:rsidRDefault="00212577">
            <w:pPr>
              <w:pStyle w:val="P68B1DB1-Normal76"/>
              <w:spacing w:after="0" w:line="240" w:lineRule="auto"/>
              <w:jc w:val="center"/>
              <w:textAlignment w:val="baseline"/>
              <w:rPr>
                <w:noProof/>
              </w:rPr>
            </w:pPr>
            <w:r>
              <w:rPr>
                <w:b/>
                <w:noProof/>
              </w:rPr>
              <w:t>Étape/cible</w:t>
            </w:r>
            <w:r>
              <w:rPr>
                <w:noProof/>
              </w:rPr>
              <w:t> </w:t>
            </w:r>
          </w:p>
        </w:tc>
        <w:tc>
          <w:tcPr>
            <w:tcW w:w="5529" w:type="dxa"/>
            <w:shd w:val="clear" w:color="auto" w:fill="BDD7EE"/>
            <w:vAlign w:val="center"/>
            <w:hideMark/>
          </w:tcPr>
          <w:p w14:paraId="5AEF63CC" w14:textId="77777777" w:rsidR="00553430" w:rsidRDefault="00212577">
            <w:pPr>
              <w:pStyle w:val="P68B1DB1-Normal76"/>
              <w:spacing w:after="0" w:line="240" w:lineRule="auto"/>
              <w:jc w:val="center"/>
              <w:textAlignment w:val="baseline"/>
              <w:rPr>
                <w:noProof/>
              </w:rPr>
            </w:pPr>
            <w:r>
              <w:rPr>
                <w:b/>
                <w:noProof/>
              </w:rPr>
              <w:t>Nom</w:t>
            </w:r>
            <w:r>
              <w:rPr>
                <w:noProof/>
              </w:rPr>
              <w:t> </w:t>
            </w:r>
          </w:p>
        </w:tc>
      </w:tr>
      <w:tr w:rsidR="00553430" w14:paraId="75B7F8AB" w14:textId="77777777">
        <w:trPr>
          <w:trHeight w:val="362"/>
        </w:trPr>
        <w:tc>
          <w:tcPr>
            <w:tcW w:w="1096" w:type="dxa"/>
            <w:shd w:val="clear" w:color="auto" w:fill="C6EFCE"/>
            <w:vAlign w:val="center"/>
          </w:tcPr>
          <w:p w14:paraId="6E65AD99" w14:textId="77777777" w:rsidR="00553430" w:rsidRDefault="00212577">
            <w:pPr>
              <w:pStyle w:val="P68B1DB1-Normal76"/>
              <w:spacing w:after="0" w:line="240" w:lineRule="auto"/>
              <w:jc w:val="center"/>
              <w:textAlignment w:val="baseline"/>
              <w:rPr>
                <w:noProof/>
              </w:rPr>
            </w:pPr>
            <w:r>
              <w:rPr>
                <w:noProof/>
              </w:rPr>
              <w:t>320</w:t>
            </w:r>
          </w:p>
        </w:tc>
        <w:tc>
          <w:tcPr>
            <w:tcW w:w="1642" w:type="dxa"/>
            <w:shd w:val="clear" w:color="auto" w:fill="C6EFCE"/>
            <w:vAlign w:val="center"/>
          </w:tcPr>
          <w:p w14:paraId="4DC1B28E" w14:textId="77777777" w:rsidR="00553430" w:rsidRDefault="00212577">
            <w:pPr>
              <w:pStyle w:val="P68B1DB1-Normal76"/>
              <w:spacing w:after="0" w:line="240" w:lineRule="auto"/>
              <w:jc w:val="center"/>
              <w:textAlignment w:val="baseline"/>
              <w:rPr>
                <w:noProof/>
              </w:rPr>
            </w:pPr>
            <w:r>
              <w:rPr>
                <w:noProof/>
              </w:rPr>
              <w:t>C5.1. R1-I1</w:t>
            </w:r>
          </w:p>
        </w:tc>
        <w:tc>
          <w:tcPr>
            <w:tcW w:w="1134" w:type="dxa"/>
            <w:shd w:val="clear" w:color="auto" w:fill="C6EFCE"/>
            <w:vAlign w:val="center"/>
          </w:tcPr>
          <w:p w14:paraId="1AEBC1B0" w14:textId="77777777" w:rsidR="00553430" w:rsidRDefault="00212577">
            <w:pPr>
              <w:pStyle w:val="P68B1DB1-Normal145"/>
              <w:spacing w:after="0" w:line="240" w:lineRule="auto"/>
              <w:jc w:val="center"/>
              <w:textAlignment w:val="baseline"/>
              <w:rPr>
                <w:noProof/>
              </w:rPr>
            </w:pPr>
            <w:r>
              <w:rPr>
                <w:noProof/>
              </w:rPr>
              <w:t>T</w:t>
            </w:r>
          </w:p>
        </w:tc>
        <w:tc>
          <w:tcPr>
            <w:tcW w:w="5529" w:type="dxa"/>
            <w:shd w:val="clear" w:color="auto" w:fill="C6EFCE"/>
            <w:vAlign w:val="bottom"/>
          </w:tcPr>
          <w:p w14:paraId="61723715" w14:textId="77777777" w:rsidR="00553430" w:rsidRDefault="00212577">
            <w:pPr>
              <w:pStyle w:val="P68B1DB1-Normal76"/>
              <w:spacing w:line="240" w:lineRule="auto"/>
              <w:jc w:val="both"/>
              <w:textAlignment w:val="baseline"/>
              <w:rPr>
                <w:noProof/>
              </w:rPr>
            </w:pPr>
            <w:r>
              <w:rPr>
                <w:noProof/>
              </w:rPr>
              <w:t>Accès aux soins de pharmacie et aux médicaments</w:t>
            </w:r>
          </w:p>
        </w:tc>
      </w:tr>
      <w:tr w:rsidR="00553430" w14:paraId="6737107D" w14:textId="77777777">
        <w:trPr>
          <w:trHeight w:val="362"/>
        </w:trPr>
        <w:tc>
          <w:tcPr>
            <w:tcW w:w="1096" w:type="dxa"/>
            <w:shd w:val="clear" w:color="auto" w:fill="C6EFCE"/>
            <w:vAlign w:val="center"/>
            <w:hideMark/>
          </w:tcPr>
          <w:p w14:paraId="2DCBA25F" w14:textId="77777777" w:rsidR="00553430" w:rsidRDefault="00212577">
            <w:pPr>
              <w:pStyle w:val="P68B1DB1-Normal76"/>
              <w:spacing w:after="0" w:line="240" w:lineRule="auto"/>
              <w:jc w:val="center"/>
              <w:textAlignment w:val="baseline"/>
              <w:rPr>
                <w:noProof/>
              </w:rPr>
            </w:pPr>
            <w:r>
              <w:rPr>
                <w:noProof/>
              </w:rPr>
              <w:t>375</w:t>
            </w:r>
          </w:p>
        </w:tc>
        <w:tc>
          <w:tcPr>
            <w:tcW w:w="1642" w:type="dxa"/>
            <w:shd w:val="clear" w:color="auto" w:fill="C6EFCE"/>
            <w:vAlign w:val="center"/>
            <w:hideMark/>
          </w:tcPr>
          <w:p w14:paraId="7820DFDD" w14:textId="77777777" w:rsidR="00553430" w:rsidRDefault="00212577">
            <w:pPr>
              <w:pStyle w:val="P68B1DB1-Normal76"/>
              <w:spacing w:after="0" w:line="240" w:lineRule="auto"/>
              <w:jc w:val="center"/>
              <w:textAlignment w:val="baseline"/>
              <w:rPr>
                <w:noProof/>
              </w:rPr>
            </w:pPr>
            <w:r>
              <w:rPr>
                <w:noProof/>
              </w:rPr>
              <w:t xml:space="preserve">C1.1.1. </w:t>
            </w:r>
            <w:r>
              <w:rPr>
                <w:noProof/>
              </w:rPr>
              <w:t>R7</w:t>
            </w:r>
          </w:p>
        </w:tc>
        <w:tc>
          <w:tcPr>
            <w:tcW w:w="1134" w:type="dxa"/>
            <w:shd w:val="clear" w:color="auto" w:fill="C6EFCE"/>
            <w:vAlign w:val="center"/>
            <w:hideMark/>
          </w:tcPr>
          <w:p w14:paraId="20391AD2" w14:textId="77777777" w:rsidR="00553430" w:rsidRDefault="00212577">
            <w:pPr>
              <w:pStyle w:val="P68B1DB1-Normal76"/>
              <w:spacing w:after="0" w:line="240" w:lineRule="auto"/>
              <w:jc w:val="center"/>
              <w:textAlignment w:val="baseline"/>
              <w:rPr>
                <w:noProof/>
              </w:rPr>
            </w:pPr>
            <w:r>
              <w:rPr>
                <w:noProof/>
              </w:rPr>
              <w:t>M</w:t>
            </w:r>
          </w:p>
        </w:tc>
        <w:tc>
          <w:tcPr>
            <w:tcW w:w="5529" w:type="dxa"/>
            <w:shd w:val="clear" w:color="auto" w:fill="C6EFCE"/>
            <w:vAlign w:val="bottom"/>
            <w:hideMark/>
          </w:tcPr>
          <w:p w14:paraId="49C6B5BE" w14:textId="08F53368" w:rsidR="00553430" w:rsidRDefault="00212577">
            <w:pPr>
              <w:pStyle w:val="P68B1DB1-Normal76"/>
              <w:spacing w:after="0" w:line="240" w:lineRule="auto"/>
              <w:jc w:val="both"/>
              <w:textAlignment w:val="baseline"/>
              <w:rPr>
                <w:noProof/>
              </w:rPr>
            </w:pPr>
            <w:r>
              <w:rPr>
                <w:noProof/>
              </w:rPr>
              <w:t xml:space="preserve"> Adoption du premier plan d’action visant à soutenir les objectifs de la finance durable </w:t>
            </w:r>
          </w:p>
        </w:tc>
      </w:tr>
      <w:tr w:rsidR="00553430" w14:paraId="412BE1D0" w14:textId="77777777">
        <w:trPr>
          <w:trHeight w:val="289"/>
        </w:trPr>
        <w:tc>
          <w:tcPr>
            <w:tcW w:w="1096" w:type="dxa"/>
            <w:shd w:val="clear" w:color="auto" w:fill="C6EFCE"/>
            <w:vAlign w:val="center"/>
          </w:tcPr>
          <w:p w14:paraId="46807CC7" w14:textId="77777777" w:rsidR="00553430" w:rsidRDefault="00212577">
            <w:pPr>
              <w:pStyle w:val="P68B1DB1-Normal76"/>
              <w:spacing w:after="0" w:line="240" w:lineRule="auto"/>
              <w:jc w:val="center"/>
              <w:textAlignment w:val="baseline"/>
              <w:rPr>
                <w:noProof/>
              </w:rPr>
            </w:pPr>
            <w:r>
              <w:rPr>
                <w:noProof/>
              </w:rPr>
              <w:t>424</w:t>
            </w:r>
          </w:p>
        </w:tc>
        <w:tc>
          <w:tcPr>
            <w:tcW w:w="1642" w:type="dxa"/>
            <w:shd w:val="clear" w:color="auto" w:fill="C6EFCE"/>
            <w:vAlign w:val="center"/>
          </w:tcPr>
          <w:p w14:paraId="4A3FB150" w14:textId="77777777" w:rsidR="00553430" w:rsidRDefault="00212577">
            <w:pPr>
              <w:pStyle w:val="P68B1DB1-Normal76"/>
              <w:spacing w:after="0" w:line="240" w:lineRule="auto"/>
              <w:jc w:val="center"/>
              <w:textAlignment w:val="baseline"/>
              <w:rPr>
                <w:noProof/>
              </w:rPr>
            </w:pPr>
            <w:r>
              <w:rPr>
                <w:noProof/>
              </w:rPr>
              <w:t>C7.1 I3</w:t>
            </w:r>
          </w:p>
        </w:tc>
        <w:tc>
          <w:tcPr>
            <w:tcW w:w="1134" w:type="dxa"/>
            <w:shd w:val="clear" w:color="auto" w:fill="C6EFCE"/>
            <w:vAlign w:val="center"/>
          </w:tcPr>
          <w:p w14:paraId="08822DCC" w14:textId="77777777" w:rsidR="00553430" w:rsidRDefault="00212577">
            <w:pPr>
              <w:pStyle w:val="P68B1DB1-Normal76"/>
              <w:spacing w:after="0" w:line="240" w:lineRule="auto"/>
              <w:jc w:val="center"/>
              <w:textAlignment w:val="baseline"/>
              <w:rPr>
                <w:noProof/>
              </w:rPr>
            </w:pPr>
            <w:r>
              <w:rPr>
                <w:noProof/>
              </w:rPr>
              <w:t>T</w:t>
            </w:r>
          </w:p>
        </w:tc>
        <w:tc>
          <w:tcPr>
            <w:tcW w:w="5529" w:type="dxa"/>
            <w:shd w:val="clear" w:color="auto" w:fill="C6EFCE"/>
          </w:tcPr>
          <w:p w14:paraId="05239586" w14:textId="77777777" w:rsidR="00553430" w:rsidRDefault="00212577">
            <w:pPr>
              <w:pStyle w:val="P68B1DB1-Normal76"/>
              <w:spacing w:after="0" w:line="240" w:lineRule="auto"/>
              <w:jc w:val="both"/>
              <w:textAlignment w:val="baseline"/>
              <w:rPr>
                <w:noProof/>
              </w:rPr>
            </w:pPr>
            <w:r>
              <w:rPr>
                <w:noProof/>
              </w:rPr>
              <w:t xml:space="preserve">Construction du gazoduc élargi Zlobin – Bosiljevo </w:t>
            </w:r>
          </w:p>
        </w:tc>
      </w:tr>
      <w:tr w:rsidR="00553430" w14:paraId="5C4C51F2" w14:textId="77777777">
        <w:trPr>
          <w:trHeight w:val="362"/>
        </w:trPr>
        <w:tc>
          <w:tcPr>
            <w:tcW w:w="1096" w:type="dxa"/>
            <w:shd w:val="clear" w:color="auto" w:fill="C6EFCE"/>
            <w:vAlign w:val="center"/>
          </w:tcPr>
          <w:p w14:paraId="4B82C1E0" w14:textId="77777777" w:rsidR="00553430" w:rsidRDefault="00212577">
            <w:pPr>
              <w:pStyle w:val="P68B1DB1-Normal76"/>
              <w:spacing w:after="0" w:line="240" w:lineRule="auto"/>
              <w:jc w:val="center"/>
              <w:textAlignment w:val="baseline"/>
              <w:rPr>
                <w:noProof/>
              </w:rPr>
            </w:pPr>
            <w:r>
              <w:rPr>
                <w:noProof/>
              </w:rPr>
              <w:t>433</w:t>
            </w:r>
          </w:p>
        </w:tc>
        <w:tc>
          <w:tcPr>
            <w:tcW w:w="1642" w:type="dxa"/>
            <w:shd w:val="clear" w:color="auto" w:fill="C6EFCE"/>
            <w:vAlign w:val="center"/>
          </w:tcPr>
          <w:p w14:paraId="72549BFE" w14:textId="77777777" w:rsidR="00553430" w:rsidRDefault="00212577">
            <w:pPr>
              <w:pStyle w:val="P68B1DB1-Normal76"/>
              <w:spacing w:after="0" w:line="240" w:lineRule="auto"/>
              <w:jc w:val="center"/>
              <w:textAlignment w:val="baseline"/>
              <w:rPr>
                <w:noProof/>
              </w:rPr>
            </w:pPr>
            <w:r>
              <w:rPr>
                <w:noProof/>
              </w:rPr>
              <w:t>C7.2 R4</w:t>
            </w:r>
          </w:p>
        </w:tc>
        <w:tc>
          <w:tcPr>
            <w:tcW w:w="1134" w:type="dxa"/>
            <w:shd w:val="clear" w:color="auto" w:fill="C6EFCE"/>
            <w:vAlign w:val="center"/>
          </w:tcPr>
          <w:p w14:paraId="32F15583" w14:textId="77777777" w:rsidR="00553430" w:rsidRDefault="00212577">
            <w:pPr>
              <w:pStyle w:val="P68B1DB1-Normal76"/>
              <w:spacing w:after="0" w:line="240" w:lineRule="auto"/>
              <w:jc w:val="center"/>
              <w:textAlignment w:val="baseline"/>
              <w:rPr>
                <w:noProof/>
              </w:rPr>
            </w:pPr>
            <w:r>
              <w:rPr>
                <w:noProof/>
              </w:rPr>
              <w:t>M</w:t>
            </w:r>
          </w:p>
        </w:tc>
        <w:tc>
          <w:tcPr>
            <w:tcW w:w="5529" w:type="dxa"/>
            <w:shd w:val="clear" w:color="auto" w:fill="C6EFCE"/>
          </w:tcPr>
          <w:p w14:paraId="6F6A4E57" w14:textId="77777777" w:rsidR="00553430" w:rsidRDefault="00212577">
            <w:pPr>
              <w:pStyle w:val="P68B1DB1-Normal76"/>
              <w:spacing w:after="0" w:line="240" w:lineRule="auto"/>
              <w:jc w:val="both"/>
              <w:textAlignment w:val="baseline"/>
              <w:rPr>
                <w:noProof/>
              </w:rPr>
            </w:pPr>
            <w:r>
              <w:rPr>
                <w:noProof/>
              </w:rPr>
              <w:t xml:space="preserve">Programme d'éducation pour les travailleurs de pays tiers </w:t>
            </w:r>
          </w:p>
        </w:tc>
      </w:tr>
      <w:tr w:rsidR="00553430" w14:paraId="2C06D49F" w14:textId="77777777">
        <w:trPr>
          <w:trHeight w:val="362"/>
        </w:trPr>
        <w:tc>
          <w:tcPr>
            <w:tcW w:w="1096" w:type="dxa"/>
            <w:shd w:val="clear" w:color="auto" w:fill="C6EFCE"/>
            <w:vAlign w:val="bottom"/>
            <w:hideMark/>
          </w:tcPr>
          <w:p w14:paraId="76F091F1" w14:textId="77777777" w:rsidR="00553430" w:rsidRDefault="00212577">
            <w:pPr>
              <w:pStyle w:val="P68B1DB1-Normal135"/>
              <w:spacing w:after="0" w:line="240" w:lineRule="auto"/>
              <w:jc w:val="center"/>
              <w:textAlignment w:val="baseline"/>
              <w:rPr>
                <w:noProof/>
              </w:rPr>
            </w:pPr>
            <w:r>
              <w:rPr>
                <w:noProof/>
              </w:rPr>
              <w:t> </w:t>
            </w:r>
          </w:p>
        </w:tc>
        <w:tc>
          <w:tcPr>
            <w:tcW w:w="1642" w:type="dxa"/>
            <w:shd w:val="clear" w:color="auto" w:fill="C6EFCE"/>
            <w:vAlign w:val="bottom"/>
            <w:hideMark/>
          </w:tcPr>
          <w:p w14:paraId="061BD360" w14:textId="77777777" w:rsidR="00553430" w:rsidRDefault="00212577">
            <w:pPr>
              <w:pStyle w:val="P68B1DB1-Normal135"/>
              <w:spacing w:after="0" w:line="240" w:lineRule="auto"/>
              <w:jc w:val="both"/>
              <w:textAlignment w:val="baseline"/>
              <w:rPr>
                <w:noProof/>
              </w:rPr>
            </w:pPr>
            <w:r>
              <w:rPr>
                <w:noProof/>
              </w:rPr>
              <w:t> </w:t>
            </w:r>
          </w:p>
        </w:tc>
        <w:tc>
          <w:tcPr>
            <w:tcW w:w="1134" w:type="dxa"/>
            <w:shd w:val="clear" w:color="auto" w:fill="C6EFCE"/>
            <w:vAlign w:val="bottom"/>
            <w:hideMark/>
          </w:tcPr>
          <w:p w14:paraId="7488B10F" w14:textId="77777777" w:rsidR="00553430" w:rsidRDefault="00212577">
            <w:pPr>
              <w:pStyle w:val="P68B1DB1-Normal76"/>
              <w:spacing w:after="0" w:line="240" w:lineRule="auto"/>
              <w:jc w:val="both"/>
              <w:textAlignment w:val="baseline"/>
              <w:rPr>
                <w:noProof/>
              </w:rPr>
            </w:pPr>
            <w:r>
              <w:rPr>
                <w:noProof/>
              </w:rPr>
              <w:t xml:space="preserve">Montant des </w:t>
            </w:r>
            <w:r>
              <w:rPr>
                <w:noProof/>
              </w:rPr>
              <w:t>acomptes provisionnels </w:t>
            </w:r>
          </w:p>
        </w:tc>
        <w:tc>
          <w:tcPr>
            <w:tcW w:w="5529" w:type="dxa"/>
            <w:shd w:val="clear" w:color="auto" w:fill="C6EFCE"/>
            <w:vAlign w:val="bottom"/>
            <w:hideMark/>
          </w:tcPr>
          <w:p w14:paraId="3AFD8C94" w14:textId="77777777" w:rsidR="00553430" w:rsidRDefault="00212577">
            <w:pPr>
              <w:pStyle w:val="P68B1DB1-Normal144"/>
              <w:spacing w:after="0" w:line="240" w:lineRule="auto"/>
              <w:jc w:val="both"/>
              <w:textAlignment w:val="baseline"/>
              <w:rPr>
                <w:noProof/>
                <w:sz w:val="20"/>
                <w:szCs w:val="20"/>
              </w:rPr>
            </w:pPr>
            <w:r>
              <w:rPr>
                <w:noProof/>
                <w:sz w:val="24"/>
                <w:szCs w:val="28"/>
              </w:rPr>
              <w:t> </w:t>
            </w:r>
            <w:r>
              <w:rPr>
                <w:noProof/>
                <w:sz w:val="20"/>
                <w:szCs w:val="20"/>
              </w:rPr>
              <w:t>822</w:t>
            </w:r>
            <w:r>
              <w:rPr>
                <w:noProof/>
                <w:sz w:val="24"/>
                <w:szCs w:val="28"/>
              </w:rPr>
              <w:t> </w:t>
            </w:r>
            <w:r>
              <w:rPr>
                <w:noProof/>
                <w:sz w:val="20"/>
                <w:szCs w:val="20"/>
              </w:rPr>
              <w:t>976</w:t>
            </w:r>
            <w:r>
              <w:rPr>
                <w:noProof/>
                <w:sz w:val="24"/>
                <w:szCs w:val="28"/>
              </w:rPr>
              <w:t> </w:t>
            </w:r>
            <w:r>
              <w:rPr>
                <w:noProof/>
                <w:sz w:val="20"/>
                <w:szCs w:val="20"/>
              </w:rPr>
              <w:t>794 EUR</w:t>
            </w:r>
          </w:p>
        </w:tc>
      </w:tr>
    </w:tbl>
    <w:p w14:paraId="330C229C" w14:textId="77777777" w:rsidR="00553430" w:rsidRDefault="00553430">
      <w:pPr>
        <w:pStyle w:val="ListParagraph"/>
        <w:spacing w:after="0" w:line="240" w:lineRule="auto"/>
        <w:jc w:val="both"/>
        <w:textAlignment w:val="baseline"/>
        <w:rPr>
          <w:rFonts w:ascii="Times New Roman" w:eastAsia="Times New Roman" w:hAnsi="Times New Roman" w:cs="Times New Roman"/>
          <w:noProof/>
          <w:sz w:val="24"/>
          <w:szCs w:val="24"/>
        </w:rPr>
      </w:pPr>
    </w:p>
    <w:p w14:paraId="57B01916" w14:textId="19C198B5" w:rsidR="00553430" w:rsidRDefault="00212577">
      <w:pPr>
        <w:pStyle w:val="P68B1DB1-ListParagraph146"/>
        <w:numPr>
          <w:ilvl w:val="0"/>
          <w:numId w:val="81"/>
        </w:numPr>
        <w:spacing w:after="0" w:line="240" w:lineRule="auto"/>
        <w:jc w:val="both"/>
        <w:textAlignment w:val="baseline"/>
        <w:rPr>
          <w:noProof/>
        </w:rPr>
      </w:pPr>
      <w:r>
        <w:rPr>
          <w:noProof/>
        </w:rPr>
        <w:t>Cinquième tranche (soutien sous forme de prêt):</w:t>
      </w:r>
    </w:p>
    <w:p w14:paraId="19BF47B9" w14:textId="77777777" w:rsidR="00553430" w:rsidRDefault="00212577">
      <w:pPr>
        <w:pStyle w:val="P68B1DB1-Normal147"/>
        <w:spacing w:after="0" w:line="240" w:lineRule="auto"/>
        <w:ind w:left="705"/>
        <w:jc w:val="both"/>
        <w:textAlignment w:val="baseline"/>
        <w:rPr>
          <w:rFonts w:ascii="Segoe UI" w:hAnsi="Segoe UI" w:cs="Segoe UI"/>
          <w:noProof/>
          <w:sz w:val="18"/>
          <w:szCs w:val="18"/>
        </w:rPr>
      </w:pPr>
      <w:r>
        <w:rPr>
          <w:noProof/>
        </w:rPr>
        <w:t xml:space="preserve"> </w:t>
      </w:r>
    </w:p>
    <w:tbl>
      <w:tblPr>
        <w:tblW w:w="940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6"/>
        <w:gridCol w:w="1642"/>
        <w:gridCol w:w="1138"/>
        <w:gridCol w:w="5525"/>
      </w:tblGrid>
      <w:tr w:rsidR="00553430" w14:paraId="5914CC2D" w14:textId="77777777">
        <w:trPr>
          <w:trHeight w:val="1088"/>
          <w:tblHeader/>
        </w:trPr>
        <w:tc>
          <w:tcPr>
            <w:tcW w:w="1096" w:type="dxa"/>
            <w:vMerge w:val="restart"/>
            <w:shd w:val="clear" w:color="auto" w:fill="BDD7EE"/>
            <w:vAlign w:val="center"/>
            <w:hideMark/>
          </w:tcPr>
          <w:p w14:paraId="5A2F38CE" w14:textId="77777777" w:rsidR="00553430" w:rsidRDefault="00212577">
            <w:pPr>
              <w:pStyle w:val="P68B1DB1-Normal148"/>
              <w:spacing w:before="120" w:after="0" w:line="240" w:lineRule="auto"/>
              <w:jc w:val="center"/>
              <w:textAlignment w:val="baseline"/>
              <w:rPr>
                <w:noProof/>
              </w:rPr>
            </w:pPr>
            <w:r>
              <w:rPr>
                <w:b/>
                <w:noProof/>
              </w:rPr>
              <w:t>Numéro séquentiel</w:t>
            </w:r>
            <w:r>
              <w:rPr>
                <w:noProof/>
              </w:rPr>
              <w:t> </w:t>
            </w:r>
          </w:p>
        </w:tc>
        <w:tc>
          <w:tcPr>
            <w:tcW w:w="1642" w:type="dxa"/>
            <w:vMerge w:val="restart"/>
            <w:shd w:val="clear" w:color="auto" w:fill="BDD7EE"/>
            <w:vAlign w:val="center"/>
            <w:hideMark/>
          </w:tcPr>
          <w:p w14:paraId="60A3244E" w14:textId="77777777" w:rsidR="00553430" w:rsidRDefault="00212577">
            <w:pPr>
              <w:pStyle w:val="P68B1DB1-Normal148"/>
              <w:spacing w:before="120" w:after="0" w:line="240" w:lineRule="auto"/>
              <w:jc w:val="center"/>
              <w:textAlignment w:val="baseline"/>
              <w:rPr>
                <w:noProof/>
              </w:rPr>
            </w:pPr>
            <w:r>
              <w:rPr>
                <w:b/>
                <w:noProof/>
              </w:rPr>
              <w:t>Mesure connexe (réforme ou investissement)</w:t>
            </w:r>
            <w:r>
              <w:rPr>
                <w:noProof/>
              </w:rPr>
              <w:t> </w:t>
            </w:r>
          </w:p>
        </w:tc>
        <w:tc>
          <w:tcPr>
            <w:tcW w:w="1134" w:type="dxa"/>
            <w:vMerge w:val="restart"/>
            <w:shd w:val="clear" w:color="auto" w:fill="BDD7EE"/>
            <w:vAlign w:val="center"/>
            <w:hideMark/>
          </w:tcPr>
          <w:p w14:paraId="6DB4ACA2" w14:textId="77777777" w:rsidR="00553430" w:rsidRDefault="00212577">
            <w:pPr>
              <w:pStyle w:val="P68B1DB1-Normal148"/>
              <w:spacing w:before="120" w:after="0" w:line="240" w:lineRule="auto"/>
              <w:jc w:val="center"/>
              <w:textAlignment w:val="baseline"/>
              <w:rPr>
                <w:noProof/>
              </w:rPr>
            </w:pPr>
            <w:r>
              <w:rPr>
                <w:b/>
                <w:noProof/>
              </w:rPr>
              <w:t>Étape/cible</w:t>
            </w:r>
            <w:r>
              <w:rPr>
                <w:noProof/>
              </w:rPr>
              <w:t> </w:t>
            </w:r>
          </w:p>
        </w:tc>
        <w:tc>
          <w:tcPr>
            <w:tcW w:w="5529" w:type="dxa"/>
            <w:vMerge w:val="restart"/>
            <w:shd w:val="clear" w:color="auto" w:fill="BDD7EE"/>
            <w:vAlign w:val="center"/>
            <w:hideMark/>
          </w:tcPr>
          <w:p w14:paraId="474FBD0F" w14:textId="77777777" w:rsidR="00553430" w:rsidRDefault="00212577">
            <w:pPr>
              <w:pStyle w:val="P68B1DB1-Normal148"/>
              <w:spacing w:before="120" w:after="0" w:line="240" w:lineRule="auto"/>
              <w:jc w:val="center"/>
              <w:textAlignment w:val="baseline"/>
              <w:rPr>
                <w:noProof/>
              </w:rPr>
            </w:pPr>
            <w:r>
              <w:rPr>
                <w:b/>
                <w:noProof/>
              </w:rPr>
              <w:t>Nom</w:t>
            </w:r>
            <w:r>
              <w:rPr>
                <w:noProof/>
              </w:rPr>
              <w:t> </w:t>
            </w:r>
          </w:p>
        </w:tc>
      </w:tr>
      <w:tr w:rsidR="00553430" w14:paraId="4148AB2A" w14:textId="77777777">
        <w:trPr>
          <w:trHeight w:val="517"/>
        </w:trPr>
        <w:tc>
          <w:tcPr>
            <w:tcW w:w="1096" w:type="dxa"/>
            <w:vMerge/>
            <w:vAlign w:val="center"/>
            <w:hideMark/>
          </w:tcPr>
          <w:p w14:paraId="0DE9D17D" w14:textId="77777777" w:rsidR="00553430" w:rsidRDefault="00553430">
            <w:pPr>
              <w:spacing w:before="120" w:after="0" w:line="240" w:lineRule="auto"/>
              <w:rPr>
                <w:rFonts w:ascii="Times New Roman" w:eastAsia="Times New Roman" w:hAnsi="Times New Roman" w:cs="Times New Roman"/>
                <w:noProof/>
                <w:kern w:val="0"/>
                <w:sz w:val="20"/>
                <w:szCs w:val="20"/>
                <w14:ligatures w14:val="none"/>
              </w:rPr>
            </w:pPr>
          </w:p>
        </w:tc>
        <w:tc>
          <w:tcPr>
            <w:tcW w:w="1642" w:type="dxa"/>
            <w:vMerge/>
            <w:vAlign w:val="center"/>
            <w:hideMark/>
          </w:tcPr>
          <w:p w14:paraId="5E16548B" w14:textId="77777777" w:rsidR="00553430" w:rsidRDefault="00553430">
            <w:pPr>
              <w:spacing w:before="120" w:after="0" w:line="240" w:lineRule="auto"/>
              <w:rPr>
                <w:rFonts w:ascii="Times New Roman" w:eastAsia="Times New Roman" w:hAnsi="Times New Roman" w:cs="Times New Roman"/>
                <w:noProof/>
                <w:kern w:val="0"/>
                <w:sz w:val="20"/>
                <w:szCs w:val="20"/>
                <w14:ligatures w14:val="none"/>
              </w:rPr>
            </w:pPr>
          </w:p>
        </w:tc>
        <w:tc>
          <w:tcPr>
            <w:tcW w:w="1134" w:type="dxa"/>
            <w:vMerge/>
            <w:vAlign w:val="center"/>
            <w:hideMark/>
          </w:tcPr>
          <w:p w14:paraId="19B631D0" w14:textId="77777777" w:rsidR="00553430" w:rsidRDefault="00553430">
            <w:pPr>
              <w:spacing w:before="120" w:after="0" w:line="240" w:lineRule="auto"/>
              <w:rPr>
                <w:rFonts w:ascii="Times New Roman" w:eastAsia="Times New Roman" w:hAnsi="Times New Roman" w:cs="Times New Roman"/>
                <w:noProof/>
                <w:kern w:val="0"/>
                <w:sz w:val="20"/>
                <w:szCs w:val="20"/>
                <w14:ligatures w14:val="none"/>
              </w:rPr>
            </w:pPr>
          </w:p>
        </w:tc>
        <w:tc>
          <w:tcPr>
            <w:tcW w:w="5529" w:type="dxa"/>
            <w:vMerge/>
            <w:vAlign w:val="center"/>
            <w:hideMark/>
          </w:tcPr>
          <w:p w14:paraId="7DA1BFD1" w14:textId="77777777" w:rsidR="00553430" w:rsidRDefault="00553430">
            <w:pPr>
              <w:spacing w:before="120" w:after="0" w:line="240" w:lineRule="auto"/>
              <w:rPr>
                <w:rFonts w:ascii="Times New Roman" w:eastAsia="Times New Roman" w:hAnsi="Times New Roman" w:cs="Times New Roman"/>
                <w:noProof/>
                <w:kern w:val="0"/>
                <w:sz w:val="20"/>
                <w:szCs w:val="20"/>
                <w14:ligatures w14:val="none"/>
              </w:rPr>
            </w:pPr>
          </w:p>
        </w:tc>
      </w:tr>
      <w:tr w:rsidR="00553430" w14:paraId="203ECCBD" w14:textId="77777777">
        <w:trPr>
          <w:trHeight w:val="362"/>
        </w:trPr>
        <w:tc>
          <w:tcPr>
            <w:tcW w:w="1096" w:type="dxa"/>
            <w:shd w:val="clear" w:color="auto" w:fill="C6EFCE"/>
            <w:vAlign w:val="center"/>
          </w:tcPr>
          <w:p w14:paraId="1BDB3603" w14:textId="77777777" w:rsidR="00553430" w:rsidRDefault="00212577">
            <w:pPr>
              <w:pStyle w:val="P68B1DB1-Normal148"/>
              <w:spacing w:before="120" w:after="0" w:line="240" w:lineRule="auto"/>
              <w:jc w:val="center"/>
              <w:textAlignment w:val="baseline"/>
              <w:rPr>
                <w:noProof/>
              </w:rPr>
            </w:pPr>
            <w:r>
              <w:rPr>
                <w:noProof/>
              </w:rPr>
              <w:t>93</w:t>
            </w:r>
          </w:p>
        </w:tc>
        <w:tc>
          <w:tcPr>
            <w:tcW w:w="1642" w:type="dxa"/>
            <w:shd w:val="clear" w:color="auto" w:fill="C6EFCE"/>
            <w:vAlign w:val="center"/>
          </w:tcPr>
          <w:p w14:paraId="43B3DD11" w14:textId="77777777" w:rsidR="00553430" w:rsidRDefault="00212577">
            <w:pPr>
              <w:pStyle w:val="P68B1DB1-Normal148"/>
              <w:spacing w:before="120" w:after="0" w:line="240" w:lineRule="auto"/>
              <w:jc w:val="center"/>
              <w:textAlignment w:val="baseline"/>
              <w:rPr>
                <w:noProof/>
              </w:rPr>
            </w:pPr>
            <w:r>
              <w:rPr>
                <w:noProof/>
              </w:rPr>
              <w:t>C1.4. R1-I1</w:t>
            </w:r>
          </w:p>
        </w:tc>
        <w:tc>
          <w:tcPr>
            <w:tcW w:w="1134" w:type="dxa"/>
            <w:shd w:val="clear" w:color="auto" w:fill="C6EFCE"/>
            <w:vAlign w:val="center"/>
          </w:tcPr>
          <w:p w14:paraId="6634B60E" w14:textId="77777777" w:rsidR="00553430" w:rsidRDefault="00212577">
            <w:pPr>
              <w:pStyle w:val="P68B1DB1-Normal148"/>
              <w:spacing w:before="120" w:after="0" w:line="240" w:lineRule="auto"/>
              <w:jc w:val="center"/>
              <w:textAlignment w:val="baseline"/>
              <w:rPr>
                <w:noProof/>
              </w:rPr>
            </w:pPr>
            <w:r>
              <w:rPr>
                <w:noProof/>
              </w:rPr>
              <w:t>M</w:t>
            </w:r>
          </w:p>
        </w:tc>
        <w:tc>
          <w:tcPr>
            <w:tcW w:w="5529" w:type="dxa"/>
            <w:shd w:val="clear" w:color="auto" w:fill="C6EFCE"/>
            <w:vAlign w:val="bottom"/>
          </w:tcPr>
          <w:p w14:paraId="0F3931F9" w14:textId="77777777" w:rsidR="00553430" w:rsidRDefault="00212577">
            <w:pPr>
              <w:pStyle w:val="P68B1DB1-Normal148"/>
              <w:spacing w:before="120" w:after="0" w:line="240" w:lineRule="auto"/>
              <w:jc w:val="both"/>
              <w:textAlignment w:val="baseline"/>
              <w:rPr>
                <w:noProof/>
              </w:rPr>
            </w:pPr>
            <w:r>
              <w:rPr>
                <w:noProof/>
              </w:rPr>
              <w:t>Nouveau système de télépéage</w:t>
            </w:r>
          </w:p>
        </w:tc>
      </w:tr>
      <w:tr w:rsidR="00553430" w14:paraId="34064382" w14:textId="77777777">
        <w:trPr>
          <w:trHeight w:val="362"/>
        </w:trPr>
        <w:tc>
          <w:tcPr>
            <w:tcW w:w="1096" w:type="dxa"/>
            <w:shd w:val="clear" w:color="auto" w:fill="C6EFCE"/>
            <w:vAlign w:val="center"/>
          </w:tcPr>
          <w:p w14:paraId="244139BE" w14:textId="77777777" w:rsidR="00553430" w:rsidRDefault="00212577">
            <w:pPr>
              <w:pStyle w:val="P68B1DB1-Normal149"/>
              <w:spacing w:before="120" w:after="120" w:line="240" w:lineRule="auto"/>
              <w:jc w:val="center"/>
              <w:rPr>
                <w:rFonts w:eastAsia="Times New Roman"/>
                <w:noProof/>
              </w:rPr>
            </w:pPr>
            <w:r>
              <w:rPr>
                <w:noProof/>
              </w:rPr>
              <w:t>155</w:t>
            </w:r>
          </w:p>
        </w:tc>
        <w:tc>
          <w:tcPr>
            <w:tcW w:w="1642" w:type="dxa"/>
            <w:shd w:val="clear" w:color="auto" w:fill="C6EFCE"/>
            <w:vAlign w:val="center"/>
          </w:tcPr>
          <w:p w14:paraId="7550E1A5" w14:textId="77777777" w:rsidR="00553430" w:rsidRDefault="00212577">
            <w:pPr>
              <w:pStyle w:val="P68B1DB1-Normal149"/>
              <w:spacing w:before="120" w:after="120" w:line="240" w:lineRule="auto"/>
              <w:jc w:val="center"/>
              <w:rPr>
                <w:rFonts w:eastAsia="Times New Roman"/>
                <w:noProof/>
              </w:rPr>
            </w:pPr>
            <w:r>
              <w:rPr>
                <w:noProof/>
              </w:rPr>
              <w:t>C2.1. R1-I2</w:t>
            </w:r>
          </w:p>
        </w:tc>
        <w:tc>
          <w:tcPr>
            <w:tcW w:w="1134" w:type="dxa"/>
            <w:shd w:val="clear" w:color="auto" w:fill="C6EFCE"/>
            <w:vAlign w:val="center"/>
          </w:tcPr>
          <w:p w14:paraId="3AED7CEA" w14:textId="77777777" w:rsidR="00553430" w:rsidRDefault="00212577">
            <w:pPr>
              <w:pStyle w:val="P68B1DB1-Normal149"/>
              <w:spacing w:before="120" w:after="120" w:line="240" w:lineRule="auto"/>
              <w:jc w:val="center"/>
              <w:rPr>
                <w:rFonts w:eastAsia="Times New Roman"/>
                <w:noProof/>
              </w:rPr>
            </w:pPr>
            <w:r>
              <w:rPr>
                <w:noProof/>
              </w:rPr>
              <w:t>T</w:t>
            </w:r>
          </w:p>
        </w:tc>
        <w:tc>
          <w:tcPr>
            <w:tcW w:w="5529" w:type="dxa"/>
            <w:shd w:val="clear" w:color="auto" w:fill="C6EFCE"/>
            <w:vAlign w:val="center"/>
          </w:tcPr>
          <w:p w14:paraId="43DDEE28" w14:textId="77777777" w:rsidR="00553430" w:rsidRDefault="00212577">
            <w:pPr>
              <w:pStyle w:val="P68B1DB1-Normal149"/>
              <w:spacing w:before="120" w:after="120" w:line="240" w:lineRule="auto"/>
              <w:jc w:val="both"/>
              <w:rPr>
                <w:rFonts w:eastAsia="Times New Roman"/>
                <w:noProof/>
              </w:rPr>
            </w:pPr>
            <w:r>
              <w:rPr>
                <w:noProof/>
              </w:rPr>
              <w:t>Journées de</w:t>
            </w:r>
            <w:r>
              <w:rPr>
                <w:noProof/>
              </w:rPr>
              <w:t xml:space="preserve"> formation organisées pour les agents liés au système de planification stratégique et de mise en œuvre des incidences réglementaires aux niveaux national et régional</w:t>
            </w:r>
          </w:p>
        </w:tc>
      </w:tr>
      <w:tr w:rsidR="00553430" w14:paraId="0A6661AC" w14:textId="77777777">
        <w:trPr>
          <w:trHeight w:val="362"/>
        </w:trPr>
        <w:tc>
          <w:tcPr>
            <w:tcW w:w="1096" w:type="dxa"/>
            <w:shd w:val="clear" w:color="auto" w:fill="C6EFCE"/>
            <w:vAlign w:val="center"/>
          </w:tcPr>
          <w:p w14:paraId="6F5896EF" w14:textId="77777777" w:rsidR="00553430" w:rsidRDefault="00212577">
            <w:pPr>
              <w:pStyle w:val="P68B1DB1-Normal149"/>
              <w:spacing w:before="120" w:after="120" w:line="240" w:lineRule="auto"/>
              <w:jc w:val="center"/>
              <w:rPr>
                <w:rFonts w:eastAsia="Times New Roman"/>
                <w:noProof/>
              </w:rPr>
            </w:pPr>
            <w:r>
              <w:rPr>
                <w:noProof/>
              </w:rPr>
              <w:t>321</w:t>
            </w:r>
          </w:p>
        </w:tc>
        <w:tc>
          <w:tcPr>
            <w:tcW w:w="1642" w:type="dxa"/>
            <w:shd w:val="clear" w:color="auto" w:fill="C6EFCE"/>
            <w:vAlign w:val="center"/>
          </w:tcPr>
          <w:p w14:paraId="34A33E52" w14:textId="77777777" w:rsidR="00553430" w:rsidRDefault="00212577">
            <w:pPr>
              <w:pStyle w:val="P68B1DB1-Normal149"/>
              <w:spacing w:before="120" w:after="120" w:line="240" w:lineRule="auto"/>
              <w:jc w:val="center"/>
              <w:rPr>
                <w:rFonts w:eastAsia="Times New Roman"/>
                <w:noProof/>
              </w:rPr>
            </w:pPr>
            <w:r>
              <w:rPr>
                <w:noProof/>
              </w:rPr>
              <w:t>C5.1. R1-I2</w:t>
            </w:r>
          </w:p>
        </w:tc>
        <w:tc>
          <w:tcPr>
            <w:tcW w:w="1134" w:type="dxa"/>
            <w:shd w:val="clear" w:color="auto" w:fill="C6EFCE"/>
            <w:vAlign w:val="center"/>
          </w:tcPr>
          <w:p w14:paraId="759A8E0D" w14:textId="77777777" w:rsidR="00553430" w:rsidRDefault="00212577">
            <w:pPr>
              <w:pStyle w:val="P68B1DB1-Normal149"/>
              <w:spacing w:before="120" w:after="120" w:line="240" w:lineRule="auto"/>
              <w:jc w:val="center"/>
              <w:rPr>
                <w:rFonts w:eastAsia="Times New Roman"/>
                <w:noProof/>
              </w:rPr>
            </w:pPr>
            <w:r>
              <w:rPr>
                <w:noProof/>
              </w:rPr>
              <w:t>T</w:t>
            </w:r>
          </w:p>
        </w:tc>
        <w:tc>
          <w:tcPr>
            <w:tcW w:w="5529" w:type="dxa"/>
            <w:shd w:val="clear" w:color="auto" w:fill="C6EFCE"/>
          </w:tcPr>
          <w:p w14:paraId="454886C1" w14:textId="77777777" w:rsidR="00553430" w:rsidRDefault="00212577">
            <w:pPr>
              <w:pStyle w:val="P68B1DB1-Normal149"/>
              <w:spacing w:before="120" w:after="120" w:line="240" w:lineRule="auto"/>
              <w:jc w:val="both"/>
              <w:rPr>
                <w:rFonts w:eastAsia="Times New Roman"/>
                <w:noProof/>
              </w:rPr>
            </w:pPr>
            <w:r>
              <w:rPr>
                <w:noProof/>
              </w:rPr>
              <w:t xml:space="preserve">Fourniture de soins de santé primaires ambulatoires mobiles </w:t>
            </w:r>
          </w:p>
        </w:tc>
      </w:tr>
      <w:tr w:rsidR="00553430" w14:paraId="17A783BB" w14:textId="77777777">
        <w:trPr>
          <w:trHeight w:val="362"/>
        </w:trPr>
        <w:tc>
          <w:tcPr>
            <w:tcW w:w="1096" w:type="dxa"/>
            <w:shd w:val="clear" w:color="auto" w:fill="C6EFCE"/>
            <w:vAlign w:val="center"/>
          </w:tcPr>
          <w:p w14:paraId="4C0A5542" w14:textId="77777777" w:rsidR="00553430" w:rsidRDefault="00212577">
            <w:pPr>
              <w:pStyle w:val="P68B1DB1-Normal148"/>
              <w:spacing w:before="120" w:after="0" w:line="240" w:lineRule="auto"/>
              <w:jc w:val="center"/>
              <w:textAlignment w:val="baseline"/>
              <w:rPr>
                <w:noProof/>
              </w:rPr>
            </w:pPr>
            <w:r>
              <w:rPr>
                <w:noProof/>
              </w:rPr>
              <w:t>384</w:t>
            </w:r>
          </w:p>
        </w:tc>
        <w:tc>
          <w:tcPr>
            <w:tcW w:w="1642" w:type="dxa"/>
            <w:shd w:val="clear" w:color="auto" w:fill="C6EFCE"/>
            <w:vAlign w:val="center"/>
          </w:tcPr>
          <w:p w14:paraId="4375953A" w14:textId="77777777" w:rsidR="00553430" w:rsidRDefault="00212577">
            <w:pPr>
              <w:pStyle w:val="P68B1DB1-Normal148"/>
              <w:spacing w:before="120" w:after="0" w:line="240" w:lineRule="auto"/>
              <w:jc w:val="center"/>
              <w:textAlignment w:val="baseline"/>
              <w:rPr>
                <w:noProof/>
              </w:rPr>
            </w:pPr>
            <w:r>
              <w:rPr>
                <w:noProof/>
              </w:rPr>
              <w:t>C1.3.</w:t>
            </w:r>
            <w:r>
              <w:rPr>
                <w:noProof/>
              </w:rPr>
              <w:t xml:space="preserve"> R3</w:t>
            </w:r>
          </w:p>
        </w:tc>
        <w:tc>
          <w:tcPr>
            <w:tcW w:w="1134" w:type="dxa"/>
            <w:shd w:val="clear" w:color="auto" w:fill="C6EFCE"/>
            <w:vAlign w:val="center"/>
          </w:tcPr>
          <w:p w14:paraId="10EA9A28" w14:textId="77777777" w:rsidR="00553430" w:rsidRDefault="00212577">
            <w:pPr>
              <w:pStyle w:val="P68B1DB1-Normal148"/>
              <w:spacing w:before="120" w:after="0" w:line="240" w:lineRule="auto"/>
              <w:jc w:val="center"/>
              <w:textAlignment w:val="baseline"/>
              <w:rPr>
                <w:noProof/>
              </w:rPr>
            </w:pPr>
            <w:r>
              <w:rPr>
                <w:noProof/>
              </w:rPr>
              <w:t>T</w:t>
            </w:r>
          </w:p>
        </w:tc>
        <w:tc>
          <w:tcPr>
            <w:tcW w:w="5529" w:type="dxa"/>
            <w:shd w:val="clear" w:color="auto" w:fill="C6EFCE"/>
            <w:vAlign w:val="bottom"/>
          </w:tcPr>
          <w:p w14:paraId="132899F8" w14:textId="0E6E3DE7" w:rsidR="00553430" w:rsidRDefault="00212577">
            <w:pPr>
              <w:pStyle w:val="P68B1DB1-Normal148"/>
              <w:spacing w:before="120" w:after="0" w:line="240" w:lineRule="auto"/>
              <w:jc w:val="both"/>
              <w:textAlignment w:val="baseline"/>
              <w:rPr>
                <w:noProof/>
              </w:rPr>
            </w:pPr>
            <w:r>
              <w:rPr>
                <w:noProof/>
              </w:rPr>
              <w:t>Adoption de plans d'action pour la réduction des pertes d'eau par les exploitants du secteur de l'eau</w:t>
            </w:r>
          </w:p>
        </w:tc>
      </w:tr>
      <w:tr w:rsidR="00553430" w14:paraId="703A2EBE" w14:textId="77777777">
        <w:trPr>
          <w:trHeight w:val="362"/>
        </w:trPr>
        <w:tc>
          <w:tcPr>
            <w:tcW w:w="1096" w:type="dxa"/>
            <w:shd w:val="clear" w:color="auto" w:fill="C6EFCE"/>
            <w:vAlign w:val="center"/>
          </w:tcPr>
          <w:p w14:paraId="10755F19" w14:textId="77777777" w:rsidR="00553430" w:rsidRDefault="00212577">
            <w:pPr>
              <w:pStyle w:val="P68B1DB1-Normal148"/>
              <w:spacing w:before="120" w:after="0" w:line="240" w:lineRule="auto"/>
              <w:jc w:val="center"/>
              <w:textAlignment w:val="baseline"/>
              <w:rPr>
                <w:noProof/>
              </w:rPr>
            </w:pPr>
            <w:r>
              <w:rPr>
                <w:noProof/>
              </w:rPr>
              <w:t>388</w:t>
            </w:r>
          </w:p>
        </w:tc>
        <w:tc>
          <w:tcPr>
            <w:tcW w:w="1642" w:type="dxa"/>
            <w:shd w:val="clear" w:color="auto" w:fill="C6EFCE"/>
            <w:vAlign w:val="center"/>
          </w:tcPr>
          <w:p w14:paraId="01CE0479" w14:textId="77777777" w:rsidR="00553430" w:rsidRDefault="00212577">
            <w:pPr>
              <w:pStyle w:val="P68B1DB1-Normal148"/>
              <w:spacing w:before="120" w:after="0" w:line="240" w:lineRule="auto"/>
              <w:jc w:val="center"/>
              <w:textAlignment w:val="baseline"/>
              <w:rPr>
                <w:noProof/>
              </w:rPr>
            </w:pPr>
            <w:r>
              <w:rPr>
                <w:noProof/>
              </w:rPr>
              <w:t>C1.3. R3</w:t>
            </w:r>
          </w:p>
        </w:tc>
        <w:tc>
          <w:tcPr>
            <w:tcW w:w="1134" w:type="dxa"/>
            <w:shd w:val="clear" w:color="auto" w:fill="C6EFCE"/>
            <w:vAlign w:val="center"/>
          </w:tcPr>
          <w:p w14:paraId="578E46E2" w14:textId="77777777" w:rsidR="00553430" w:rsidRDefault="00212577">
            <w:pPr>
              <w:pStyle w:val="P68B1DB1-Normal148"/>
              <w:spacing w:before="120" w:after="0" w:line="240" w:lineRule="auto"/>
              <w:jc w:val="center"/>
              <w:textAlignment w:val="baseline"/>
              <w:rPr>
                <w:noProof/>
              </w:rPr>
            </w:pPr>
            <w:r>
              <w:rPr>
                <w:noProof/>
              </w:rPr>
              <w:t>T</w:t>
            </w:r>
          </w:p>
        </w:tc>
        <w:tc>
          <w:tcPr>
            <w:tcW w:w="5529" w:type="dxa"/>
            <w:shd w:val="clear" w:color="auto" w:fill="C6EFCE"/>
            <w:vAlign w:val="bottom"/>
          </w:tcPr>
          <w:p w14:paraId="08423D66" w14:textId="77777777" w:rsidR="00553430" w:rsidRDefault="00212577">
            <w:pPr>
              <w:pStyle w:val="P68B1DB1-Normal148"/>
              <w:spacing w:before="120" w:after="0" w:line="240" w:lineRule="auto"/>
              <w:jc w:val="both"/>
              <w:textAlignment w:val="baseline"/>
              <w:rPr>
                <w:noProof/>
              </w:rPr>
            </w:pPr>
            <w:r>
              <w:rPr>
                <w:noProof/>
              </w:rPr>
              <w:t>Installations de traitement des eaux usées construites ou modernisées</w:t>
            </w:r>
          </w:p>
        </w:tc>
      </w:tr>
      <w:tr w:rsidR="00553430" w14:paraId="511125E4" w14:textId="77777777">
        <w:trPr>
          <w:trHeight w:val="362"/>
        </w:trPr>
        <w:tc>
          <w:tcPr>
            <w:tcW w:w="1096" w:type="dxa"/>
            <w:shd w:val="clear" w:color="auto" w:fill="C6EFCE"/>
            <w:vAlign w:val="center"/>
          </w:tcPr>
          <w:p w14:paraId="0320342D" w14:textId="77777777" w:rsidR="00553430" w:rsidRDefault="00212577">
            <w:pPr>
              <w:pStyle w:val="P68B1DB1-Normal148"/>
              <w:spacing w:before="120" w:after="0" w:line="240" w:lineRule="auto"/>
              <w:jc w:val="center"/>
              <w:textAlignment w:val="baseline"/>
              <w:rPr>
                <w:noProof/>
              </w:rPr>
            </w:pPr>
            <w:r>
              <w:rPr>
                <w:noProof/>
              </w:rPr>
              <w:t>389</w:t>
            </w:r>
          </w:p>
        </w:tc>
        <w:tc>
          <w:tcPr>
            <w:tcW w:w="1642" w:type="dxa"/>
            <w:shd w:val="clear" w:color="auto" w:fill="C6EFCE"/>
            <w:vAlign w:val="center"/>
          </w:tcPr>
          <w:p w14:paraId="057E4D49" w14:textId="77777777" w:rsidR="00553430" w:rsidRDefault="00212577">
            <w:pPr>
              <w:pStyle w:val="P68B1DB1-Normal148"/>
              <w:spacing w:before="120" w:after="0" w:line="240" w:lineRule="auto"/>
              <w:jc w:val="center"/>
              <w:textAlignment w:val="baseline"/>
              <w:rPr>
                <w:noProof/>
              </w:rPr>
            </w:pPr>
            <w:r>
              <w:rPr>
                <w:noProof/>
              </w:rPr>
              <w:t>C1.3. R3</w:t>
            </w:r>
          </w:p>
        </w:tc>
        <w:tc>
          <w:tcPr>
            <w:tcW w:w="1134" w:type="dxa"/>
            <w:shd w:val="clear" w:color="auto" w:fill="C6EFCE"/>
            <w:vAlign w:val="center"/>
          </w:tcPr>
          <w:p w14:paraId="5967A012" w14:textId="77777777" w:rsidR="00553430" w:rsidRDefault="00212577">
            <w:pPr>
              <w:pStyle w:val="P68B1DB1-Normal148"/>
              <w:spacing w:before="120" w:after="0" w:line="240" w:lineRule="auto"/>
              <w:jc w:val="center"/>
              <w:textAlignment w:val="baseline"/>
              <w:rPr>
                <w:noProof/>
              </w:rPr>
            </w:pPr>
            <w:r>
              <w:rPr>
                <w:noProof/>
              </w:rPr>
              <w:t>T</w:t>
            </w:r>
          </w:p>
        </w:tc>
        <w:tc>
          <w:tcPr>
            <w:tcW w:w="5529" w:type="dxa"/>
            <w:shd w:val="clear" w:color="auto" w:fill="C6EFCE"/>
            <w:vAlign w:val="bottom"/>
          </w:tcPr>
          <w:p w14:paraId="7774A5FF" w14:textId="36497646" w:rsidR="00553430" w:rsidRDefault="00212577">
            <w:pPr>
              <w:pStyle w:val="P68B1DB1-Normal148"/>
              <w:spacing w:before="120" w:after="0" w:line="240" w:lineRule="auto"/>
              <w:jc w:val="both"/>
              <w:textAlignment w:val="baseline"/>
              <w:rPr>
                <w:noProof/>
              </w:rPr>
            </w:pPr>
            <w:r>
              <w:rPr>
                <w:noProof/>
              </w:rPr>
              <w:t xml:space="preserve">Construction ou reconstruction d'un réseau </w:t>
            </w:r>
            <w:r>
              <w:rPr>
                <w:noProof/>
              </w:rPr>
              <w:t>public d'égouts</w:t>
            </w:r>
          </w:p>
        </w:tc>
      </w:tr>
      <w:tr w:rsidR="00553430" w14:paraId="5ADFC6D9" w14:textId="77777777">
        <w:trPr>
          <w:trHeight w:val="362"/>
        </w:trPr>
        <w:tc>
          <w:tcPr>
            <w:tcW w:w="1096" w:type="dxa"/>
            <w:shd w:val="clear" w:color="auto" w:fill="C6EFCE"/>
            <w:vAlign w:val="center"/>
          </w:tcPr>
          <w:p w14:paraId="19E77838" w14:textId="77777777" w:rsidR="00553430" w:rsidRDefault="00212577">
            <w:pPr>
              <w:pStyle w:val="P68B1DB1-Normal148"/>
              <w:spacing w:before="120" w:after="0" w:line="240" w:lineRule="auto"/>
              <w:jc w:val="center"/>
              <w:textAlignment w:val="baseline"/>
              <w:rPr>
                <w:noProof/>
              </w:rPr>
            </w:pPr>
            <w:r>
              <w:rPr>
                <w:noProof/>
              </w:rPr>
              <w:t>391</w:t>
            </w:r>
          </w:p>
        </w:tc>
        <w:tc>
          <w:tcPr>
            <w:tcW w:w="1642" w:type="dxa"/>
            <w:shd w:val="clear" w:color="auto" w:fill="C6EFCE"/>
            <w:vAlign w:val="center"/>
          </w:tcPr>
          <w:p w14:paraId="5FFBAE65" w14:textId="77777777" w:rsidR="00553430" w:rsidRDefault="00212577">
            <w:pPr>
              <w:pStyle w:val="P68B1DB1-Normal148"/>
              <w:spacing w:before="120" w:after="0" w:line="240" w:lineRule="auto"/>
              <w:jc w:val="center"/>
              <w:textAlignment w:val="baseline"/>
              <w:rPr>
                <w:noProof/>
              </w:rPr>
            </w:pPr>
            <w:r>
              <w:rPr>
                <w:noProof/>
              </w:rPr>
              <w:t>C1.3. R3-I2</w:t>
            </w:r>
          </w:p>
        </w:tc>
        <w:tc>
          <w:tcPr>
            <w:tcW w:w="1134" w:type="dxa"/>
            <w:shd w:val="clear" w:color="auto" w:fill="C6EFCE"/>
            <w:vAlign w:val="center"/>
          </w:tcPr>
          <w:p w14:paraId="555E3F6B" w14:textId="77777777" w:rsidR="00553430" w:rsidRDefault="00212577">
            <w:pPr>
              <w:pStyle w:val="P68B1DB1-Normal148"/>
              <w:spacing w:before="120" w:after="0" w:line="240" w:lineRule="auto"/>
              <w:jc w:val="center"/>
              <w:textAlignment w:val="baseline"/>
              <w:rPr>
                <w:noProof/>
              </w:rPr>
            </w:pPr>
            <w:r>
              <w:rPr>
                <w:noProof/>
              </w:rPr>
              <w:t>T</w:t>
            </w:r>
          </w:p>
        </w:tc>
        <w:tc>
          <w:tcPr>
            <w:tcW w:w="5529" w:type="dxa"/>
            <w:shd w:val="clear" w:color="auto" w:fill="C6EFCE"/>
            <w:vAlign w:val="bottom"/>
          </w:tcPr>
          <w:p w14:paraId="1BB3C6D6" w14:textId="77777777" w:rsidR="00553430" w:rsidRDefault="00212577">
            <w:pPr>
              <w:pStyle w:val="P68B1DB1-Normal148"/>
              <w:spacing w:before="120" w:after="0" w:line="240" w:lineRule="auto"/>
              <w:jc w:val="both"/>
              <w:textAlignment w:val="baseline"/>
              <w:rPr>
                <w:noProof/>
              </w:rPr>
            </w:pPr>
            <w:r>
              <w:rPr>
                <w:noProof/>
              </w:rPr>
              <w:t>Construction ou reconstruction d'un réseau public d'approvisionnement en eau</w:t>
            </w:r>
          </w:p>
        </w:tc>
      </w:tr>
      <w:tr w:rsidR="00553430" w14:paraId="66CA84D6" w14:textId="77777777">
        <w:trPr>
          <w:trHeight w:val="362"/>
        </w:trPr>
        <w:tc>
          <w:tcPr>
            <w:tcW w:w="1096" w:type="dxa"/>
            <w:shd w:val="clear" w:color="auto" w:fill="C6EFCE"/>
            <w:vAlign w:val="center"/>
          </w:tcPr>
          <w:p w14:paraId="55DC5B22" w14:textId="77777777" w:rsidR="00553430" w:rsidRDefault="00212577">
            <w:pPr>
              <w:pStyle w:val="P68B1DB1-Normal149"/>
              <w:spacing w:before="120" w:after="0" w:line="240" w:lineRule="auto"/>
              <w:jc w:val="center"/>
              <w:textAlignment w:val="baseline"/>
              <w:rPr>
                <w:rFonts w:eastAsia="Times New Roman"/>
                <w:noProof/>
              </w:rPr>
            </w:pPr>
            <w:r>
              <w:rPr>
                <w:noProof/>
              </w:rPr>
              <w:t>394</w:t>
            </w:r>
          </w:p>
        </w:tc>
        <w:tc>
          <w:tcPr>
            <w:tcW w:w="1642" w:type="dxa"/>
            <w:shd w:val="clear" w:color="auto" w:fill="C6EFCE"/>
            <w:vAlign w:val="center"/>
          </w:tcPr>
          <w:p w14:paraId="01A0FB33" w14:textId="77777777" w:rsidR="00553430" w:rsidRDefault="00212577">
            <w:pPr>
              <w:pStyle w:val="P68B1DB1-Normal149"/>
              <w:spacing w:before="120" w:after="0" w:line="240" w:lineRule="auto"/>
              <w:jc w:val="center"/>
              <w:textAlignment w:val="baseline"/>
              <w:rPr>
                <w:rFonts w:eastAsia="Times New Roman"/>
                <w:noProof/>
              </w:rPr>
            </w:pPr>
            <w:r>
              <w:rPr>
                <w:noProof/>
              </w:rPr>
              <w:t>C2.3 R3- I17</w:t>
            </w:r>
          </w:p>
        </w:tc>
        <w:tc>
          <w:tcPr>
            <w:tcW w:w="1134" w:type="dxa"/>
            <w:shd w:val="clear" w:color="auto" w:fill="C6EFCE"/>
            <w:vAlign w:val="center"/>
          </w:tcPr>
          <w:p w14:paraId="17D190D2" w14:textId="77777777" w:rsidR="00553430" w:rsidRDefault="00212577">
            <w:pPr>
              <w:pStyle w:val="P68B1DB1-Normal149"/>
              <w:spacing w:before="120" w:after="0" w:line="240" w:lineRule="auto"/>
              <w:jc w:val="center"/>
              <w:textAlignment w:val="baseline"/>
              <w:rPr>
                <w:rFonts w:eastAsia="Times New Roman"/>
                <w:noProof/>
              </w:rPr>
            </w:pPr>
            <w:r>
              <w:rPr>
                <w:noProof/>
              </w:rPr>
              <w:t>M</w:t>
            </w:r>
          </w:p>
        </w:tc>
        <w:tc>
          <w:tcPr>
            <w:tcW w:w="5529" w:type="dxa"/>
            <w:shd w:val="clear" w:color="auto" w:fill="C6EFCE"/>
            <w:vAlign w:val="center"/>
          </w:tcPr>
          <w:p w14:paraId="5DAD9218" w14:textId="77777777" w:rsidR="00553430" w:rsidRDefault="00212577">
            <w:pPr>
              <w:pStyle w:val="P68B1DB1-Normal149"/>
              <w:spacing w:before="120" w:after="0" w:line="240" w:lineRule="auto"/>
              <w:jc w:val="both"/>
              <w:textAlignment w:val="baseline"/>
              <w:rPr>
                <w:rFonts w:eastAsia="Times New Roman"/>
                <w:noProof/>
              </w:rPr>
            </w:pPr>
            <w:r>
              <w:rPr>
                <w:noProof/>
              </w:rPr>
              <w:t>Loi portant création du Registre de la population, de la famille et des ménages (SOK)</w:t>
            </w:r>
          </w:p>
        </w:tc>
      </w:tr>
      <w:tr w:rsidR="00553430" w14:paraId="72C2372A" w14:textId="77777777">
        <w:trPr>
          <w:trHeight w:val="362"/>
        </w:trPr>
        <w:tc>
          <w:tcPr>
            <w:tcW w:w="1096" w:type="dxa"/>
            <w:shd w:val="clear" w:color="auto" w:fill="C6EFCE"/>
            <w:vAlign w:val="center"/>
          </w:tcPr>
          <w:p w14:paraId="0256ED4C" w14:textId="77777777" w:rsidR="00553430" w:rsidRDefault="00212577">
            <w:pPr>
              <w:pStyle w:val="P68B1DB1-Normal148"/>
              <w:spacing w:before="120" w:after="0" w:line="240" w:lineRule="auto"/>
              <w:jc w:val="center"/>
              <w:textAlignment w:val="baseline"/>
              <w:rPr>
                <w:noProof/>
              </w:rPr>
            </w:pPr>
            <w:r>
              <w:rPr>
                <w:noProof/>
              </w:rPr>
              <w:t>397</w:t>
            </w:r>
          </w:p>
        </w:tc>
        <w:tc>
          <w:tcPr>
            <w:tcW w:w="1642" w:type="dxa"/>
            <w:shd w:val="clear" w:color="auto" w:fill="C6EFCE"/>
            <w:vAlign w:val="center"/>
          </w:tcPr>
          <w:p w14:paraId="5BDA3122" w14:textId="77777777" w:rsidR="00553430" w:rsidRDefault="00212577">
            <w:pPr>
              <w:pStyle w:val="P68B1DB1-Normal148"/>
              <w:spacing w:before="120" w:after="0" w:line="240" w:lineRule="auto"/>
              <w:jc w:val="center"/>
              <w:textAlignment w:val="baseline"/>
              <w:rPr>
                <w:noProof/>
              </w:rPr>
            </w:pPr>
            <w:r>
              <w:rPr>
                <w:noProof/>
              </w:rPr>
              <w:t>C3.1. R1-I4</w:t>
            </w:r>
          </w:p>
        </w:tc>
        <w:tc>
          <w:tcPr>
            <w:tcW w:w="1134" w:type="dxa"/>
            <w:shd w:val="clear" w:color="auto" w:fill="C6EFCE"/>
            <w:vAlign w:val="center"/>
          </w:tcPr>
          <w:p w14:paraId="5C9BCBDB" w14:textId="77777777" w:rsidR="00553430" w:rsidRDefault="00212577">
            <w:pPr>
              <w:pStyle w:val="P68B1DB1-Normal148"/>
              <w:spacing w:before="120" w:after="0" w:line="240" w:lineRule="auto"/>
              <w:jc w:val="center"/>
              <w:textAlignment w:val="baseline"/>
              <w:rPr>
                <w:noProof/>
              </w:rPr>
            </w:pPr>
            <w:r>
              <w:rPr>
                <w:noProof/>
              </w:rPr>
              <w:t>T</w:t>
            </w:r>
          </w:p>
        </w:tc>
        <w:tc>
          <w:tcPr>
            <w:tcW w:w="5529" w:type="dxa"/>
            <w:shd w:val="clear" w:color="auto" w:fill="C6EFCE"/>
            <w:vAlign w:val="bottom"/>
          </w:tcPr>
          <w:p w14:paraId="5FE86D9E" w14:textId="77777777" w:rsidR="00553430" w:rsidRDefault="00212577">
            <w:pPr>
              <w:pStyle w:val="P68B1DB1-Normal148"/>
              <w:spacing w:before="120" w:after="0" w:line="240" w:lineRule="auto"/>
              <w:jc w:val="both"/>
              <w:textAlignment w:val="baseline"/>
              <w:rPr>
                <w:noProof/>
              </w:rPr>
            </w:pPr>
            <w:r>
              <w:rPr>
                <w:noProof/>
              </w:rPr>
              <w:t>Nombre de salles de</w:t>
            </w:r>
            <w:r>
              <w:rPr>
                <w:noProof/>
              </w:rPr>
              <w:t xml:space="preserve"> classe d ' écoles primaires construites ou reconstruites</w:t>
            </w:r>
          </w:p>
        </w:tc>
      </w:tr>
      <w:tr w:rsidR="00553430" w14:paraId="1B7292DA" w14:textId="77777777">
        <w:trPr>
          <w:trHeight w:val="362"/>
        </w:trPr>
        <w:tc>
          <w:tcPr>
            <w:tcW w:w="1096" w:type="dxa"/>
            <w:shd w:val="clear" w:color="auto" w:fill="C6EFCE"/>
            <w:vAlign w:val="center"/>
          </w:tcPr>
          <w:p w14:paraId="1FCB2E43" w14:textId="77777777" w:rsidR="00553430" w:rsidRDefault="00212577">
            <w:pPr>
              <w:pStyle w:val="P68B1DB1-Normal150"/>
              <w:spacing w:before="120" w:after="0" w:line="240" w:lineRule="auto"/>
              <w:jc w:val="center"/>
              <w:textAlignment w:val="baseline"/>
              <w:rPr>
                <w:rFonts w:eastAsia="Times New Roman"/>
                <w:noProof/>
                <w:highlight w:val="yellow"/>
              </w:rPr>
            </w:pPr>
            <w:r>
              <w:rPr>
                <w:noProof/>
              </w:rPr>
              <w:t>322</w:t>
            </w:r>
          </w:p>
        </w:tc>
        <w:tc>
          <w:tcPr>
            <w:tcW w:w="1642" w:type="dxa"/>
            <w:shd w:val="clear" w:color="auto" w:fill="C6EFCE"/>
            <w:vAlign w:val="center"/>
          </w:tcPr>
          <w:p w14:paraId="50BA7850" w14:textId="77777777" w:rsidR="00553430" w:rsidRDefault="00212577">
            <w:pPr>
              <w:pStyle w:val="P68B1DB1-Normal150"/>
              <w:spacing w:before="120" w:after="0" w:line="240" w:lineRule="auto"/>
              <w:jc w:val="center"/>
              <w:textAlignment w:val="baseline"/>
              <w:rPr>
                <w:rFonts w:eastAsia="Times New Roman"/>
                <w:noProof/>
              </w:rPr>
            </w:pPr>
            <w:r>
              <w:rPr>
                <w:noProof/>
              </w:rPr>
              <w:t>C5.1. R1-I3</w:t>
            </w:r>
          </w:p>
        </w:tc>
        <w:tc>
          <w:tcPr>
            <w:tcW w:w="1134" w:type="dxa"/>
            <w:shd w:val="clear" w:color="auto" w:fill="C6EFCE"/>
            <w:vAlign w:val="center"/>
          </w:tcPr>
          <w:p w14:paraId="1CA662D7" w14:textId="77777777" w:rsidR="00553430" w:rsidRDefault="00212577">
            <w:pPr>
              <w:pStyle w:val="P68B1DB1-Normal150"/>
              <w:spacing w:before="120" w:after="0" w:line="240" w:lineRule="auto"/>
              <w:jc w:val="center"/>
              <w:textAlignment w:val="baseline"/>
              <w:rPr>
                <w:rFonts w:eastAsia="Times New Roman"/>
                <w:noProof/>
              </w:rPr>
            </w:pPr>
            <w:r>
              <w:rPr>
                <w:noProof/>
              </w:rPr>
              <w:t>T</w:t>
            </w:r>
          </w:p>
        </w:tc>
        <w:tc>
          <w:tcPr>
            <w:tcW w:w="5529" w:type="dxa"/>
            <w:shd w:val="clear" w:color="auto" w:fill="C6EFCE"/>
          </w:tcPr>
          <w:p w14:paraId="362A9A6A" w14:textId="77777777" w:rsidR="00553430" w:rsidRDefault="00212577">
            <w:pPr>
              <w:pStyle w:val="P68B1DB1-Normal150"/>
              <w:spacing w:before="120" w:after="0" w:line="240" w:lineRule="auto"/>
              <w:jc w:val="both"/>
              <w:textAlignment w:val="baseline"/>
              <w:rPr>
                <w:rFonts w:eastAsia="Times New Roman"/>
                <w:noProof/>
              </w:rPr>
            </w:pPr>
            <w:r>
              <w:rPr>
                <w:noProof/>
              </w:rPr>
              <w:t xml:space="preserve">Nouveau bâtiment dans le complexe de la clinique des maladies infectieuses Dr Fran Mihaljević </w:t>
            </w:r>
          </w:p>
        </w:tc>
      </w:tr>
      <w:tr w:rsidR="00553430" w14:paraId="4D74CEBC" w14:textId="77777777">
        <w:trPr>
          <w:trHeight w:val="362"/>
        </w:trPr>
        <w:tc>
          <w:tcPr>
            <w:tcW w:w="1096" w:type="dxa"/>
            <w:shd w:val="clear" w:color="auto" w:fill="C6EFCE"/>
            <w:vAlign w:val="center"/>
          </w:tcPr>
          <w:p w14:paraId="15786D78" w14:textId="77777777" w:rsidR="00553430" w:rsidRDefault="00212577">
            <w:pPr>
              <w:pStyle w:val="P68B1DB1-Normal148"/>
              <w:spacing w:before="120" w:after="0" w:line="240" w:lineRule="auto"/>
              <w:jc w:val="center"/>
              <w:textAlignment w:val="baseline"/>
              <w:rPr>
                <w:rFonts w:eastAsia="Calibri"/>
                <w:noProof/>
              </w:rPr>
            </w:pPr>
            <w:r>
              <w:rPr>
                <w:noProof/>
              </w:rPr>
              <w:t>356</w:t>
            </w:r>
          </w:p>
        </w:tc>
        <w:tc>
          <w:tcPr>
            <w:tcW w:w="1642" w:type="dxa"/>
            <w:shd w:val="clear" w:color="auto" w:fill="C6EFCE"/>
            <w:vAlign w:val="center"/>
          </w:tcPr>
          <w:p w14:paraId="480C57E1" w14:textId="77777777" w:rsidR="00553430" w:rsidRDefault="00212577">
            <w:pPr>
              <w:pStyle w:val="P68B1DB1-Normal148"/>
              <w:spacing w:before="120" w:after="0" w:line="240" w:lineRule="auto"/>
              <w:jc w:val="center"/>
              <w:textAlignment w:val="baseline"/>
              <w:rPr>
                <w:rFonts w:eastAsia="Calibri"/>
                <w:noProof/>
              </w:rPr>
            </w:pPr>
            <w:r>
              <w:rPr>
                <w:noProof/>
              </w:rPr>
              <w:t>C7.2 I2</w:t>
            </w:r>
          </w:p>
        </w:tc>
        <w:tc>
          <w:tcPr>
            <w:tcW w:w="1134" w:type="dxa"/>
            <w:shd w:val="clear" w:color="auto" w:fill="C6EFCE"/>
            <w:vAlign w:val="center"/>
          </w:tcPr>
          <w:p w14:paraId="1C9430ED" w14:textId="77777777" w:rsidR="00553430" w:rsidRDefault="00212577">
            <w:pPr>
              <w:pStyle w:val="P68B1DB1-Normal148"/>
              <w:spacing w:before="120" w:after="0" w:line="240" w:lineRule="auto"/>
              <w:jc w:val="center"/>
              <w:textAlignment w:val="baseline"/>
              <w:rPr>
                <w:rFonts w:eastAsia="Calibri"/>
                <w:noProof/>
              </w:rPr>
            </w:pPr>
            <w:r>
              <w:rPr>
                <w:noProof/>
              </w:rPr>
              <w:t>T</w:t>
            </w:r>
          </w:p>
        </w:tc>
        <w:tc>
          <w:tcPr>
            <w:tcW w:w="5529" w:type="dxa"/>
            <w:shd w:val="clear" w:color="auto" w:fill="C6EFCE"/>
          </w:tcPr>
          <w:p w14:paraId="7C25B3EF" w14:textId="77777777" w:rsidR="00553430" w:rsidRDefault="00212577">
            <w:pPr>
              <w:pStyle w:val="P68B1DB1-Normal148"/>
              <w:spacing w:before="120" w:after="0" w:line="240" w:lineRule="auto"/>
              <w:jc w:val="both"/>
              <w:textAlignment w:val="baseline"/>
              <w:rPr>
                <w:rFonts w:eastAsia="Calibri"/>
                <w:noProof/>
              </w:rPr>
            </w:pPr>
            <w:r>
              <w:rPr>
                <w:noProof/>
              </w:rPr>
              <w:t xml:space="preserve">Rénovation énergétique et post-séisme des immeubles à logements </w:t>
            </w:r>
            <w:r>
              <w:rPr>
                <w:noProof/>
              </w:rPr>
              <w:t>multiples endommagés par les tremblements de terre</w:t>
            </w:r>
          </w:p>
        </w:tc>
      </w:tr>
      <w:tr w:rsidR="00553430" w14:paraId="72078674" w14:textId="77777777">
        <w:trPr>
          <w:trHeight w:val="362"/>
        </w:trPr>
        <w:tc>
          <w:tcPr>
            <w:tcW w:w="1096" w:type="dxa"/>
            <w:shd w:val="clear" w:color="auto" w:fill="C6EFCE"/>
            <w:vAlign w:val="center"/>
          </w:tcPr>
          <w:p w14:paraId="152BE654" w14:textId="77777777" w:rsidR="00553430" w:rsidRDefault="00212577">
            <w:pPr>
              <w:pStyle w:val="P68B1DB1-Normal148"/>
              <w:spacing w:before="120" w:after="0" w:line="240" w:lineRule="auto"/>
              <w:jc w:val="center"/>
              <w:textAlignment w:val="baseline"/>
              <w:rPr>
                <w:rFonts w:eastAsia="Calibri"/>
                <w:noProof/>
              </w:rPr>
            </w:pPr>
            <w:r>
              <w:rPr>
                <w:noProof/>
              </w:rPr>
              <w:t>357</w:t>
            </w:r>
          </w:p>
        </w:tc>
        <w:tc>
          <w:tcPr>
            <w:tcW w:w="1642" w:type="dxa"/>
            <w:shd w:val="clear" w:color="auto" w:fill="C6EFCE"/>
            <w:vAlign w:val="center"/>
          </w:tcPr>
          <w:p w14:paraId="502FEACC" w14:textId="77777777" w:rsidR="00553430" w:rsidRDefault="00212577">
            <w:pPr>
              <w:pStyle w:val="P68B1DB1-Normal148"/>
              <w:spacing w:before="120" w:after="0" w:line="240" w:lineRule="auto"/>
              <w:jc w:val="center"/>
              <w:textAlignment w:val="baseline"/>
              <w:rPr>
                <w:rFonts w:eastAsia="Calibri"/>
                <w:noProof/>
              </w:rPr>
            </w:pPr>
            <w:r>
              <w:rPr>
                <w:noProof/>
              </w:rPr>
              <w:t>C7.2 I2</w:t>
            </w:r>
          </w:p>
        </w:tc>
        <w:tc>
          <w:tcPr>
            <w:tcW w:w="1134" w:type="dxa"/>
            <w:shd w:val="clear" w:color="auto" w:fill="C6EFCE"/>
            <w:vAlign w:val="center"/>
          </w:tcPr>
          <w:p w14:paraId="594F7C7C" w14:textId="77777777" w:rsidR="00553430" w:rsidRDefault="00212577">
            <w:pPr>
              <w:pStyle w:val="P68B1DB1-Normal148"/>
              <w:spacing w:before="120" w:after="0" w:line="240" w:lineRule="auto"/>
              <w:jc w:val="center"/>
              <w:textAlignment w:val="baseline"/>
              <w:rPr>
                <w:rFonts w:eastAsia="Calibri"/>
                <w:noProof/>
              </w:rPr>
            </w:pPr>
            <w:r>
              <w:rPr>
                <w:noProof/>
              </w:rPr>
              <w:t>T</w:t>
            </w:r>
          </w:p>
        </w:tc>
        <w:tc>
          <w:tcPr>
            <w:tcW w:w="5529" w:type="dxa"/>
            <w:shd w:val="clear" w:color="auto" w:fill="C6EFCE"/>
          </w:tcPr>
          <w:p w14:paraId="59677BDC" w14:textId="77777777" w:rsidR="00553430" w:rsidRDefault="00212577">
            <w:pPr>
              <w:pStyle w:val="P68B1DB1-Normal148"/>
              <w:spacing w:before="120" w:after="0" w:line="240" w:lineRule="auto"/>
              <w:jc w:val="both"/>
              <w:textAlignment w:val="baseline"/>
              <w:rPr>
                <w:rFonts w:eastAsia="Calibri"/>
                <w:noProof/>
              </w:rPr>
            </w:pPr>
            <w:r>
              <w:rPr>
                <w:noProof/>
              </w:rPr>
              <w:t>Rénovation énergétique et post-séisme des bâtiments publics endommagés par les tremblements de terre</w:t>
            </w:r>
          </w:p>
        </w:tc>
      </w:tr>
      <w:tr w:rsidR="00553430" w14:paraId="7D5BDAD3" w14:textId="77777777">
        <w:trPr>
          <w:trHeight w:val="362"/>
        </w:trPr>
        <w:tc>
          <w:tcPr>
            <w:tcW w:w="1096" w:type="dxa"/>
            <w:shd w:val="clear" w:color="auto" w:fill="C6EFCE"/>
            <w:vAlign w:val="center"/>
          </w:tcPr>
          <w:p w14:paraId="25BE00AF" w14:textId="77777777" w:rsidR="00553430" w:rsidRDefault="00212577">
            <w:pPr>
              <w:pStyle w:val="P68B1DB1-Normal149"/>
              <w:spacing w:before="120" w:after="0" w:line="240" w:lineRule="auto"/>
              <w:jc w:val="center"/>
              <w:textAlignment w:val="baseline"/>
              <w:rPr>
                <w:noProof/>
              </w:rPr>
            </w:pPr>
            <w:r>
              <w:rPr>
                <w:noProof/>
              </w:rPr>
              <w:t>403</w:t>
            </w:r>
          </w:p>
        </w:tc>
        <w:tc>
          <w:tcPr>
            <w:tcW w:w="1642" w:type="dxa"/>
            <w:shd w:val="clear" w:color="auto" w:fill="C6EFCE"/>
            <w:vAlign w:val="center"/>
          </w:tcPr>
          <w:p w14:paraId="052D0CD3" w14:textId="77777777" w:rsidR="00553430" w:rsidRDefault="00212577">
            <w:pPr>
              <w:pStyle w:val="P68B1DB1-Normal149"/>
              <w:spacing w:before="120" w:after="0" w:line="240" w:lineRule="auto"/>
              <w:jc w:val="center"/>
              <w:textAlignment w:val="baseline"/>
              <w:rPr>
                <w:noProof/>
              </w:rPr>
            </w:pPr>
            <w:r>
              <w:rPr>
                <w:noProof/>
              </w:rPr>
              <w:t>C6.1. R7</w:t>
            </w:r>
          </w:p>
        </w:tc>
        <w:tc>
          <w:tcPr>
            <w:tcW w:w="1134" w:type="dxa"/>
            <w:shd w:val="clear" w:color="auto" w:fill="C6EFCE"/>
            <w:vAlign w:val="center"/>
          </w:tcPr>
          <w:p w14:paraId="2C51A690" w14:textId="77777777" w:rsidR="00553430" w:rsidRDefault="00212577">
            <w:pPr>
              <w:pStyle w:val="P68B1DB1-Normal149"/>
              <w:spacing w:before="120" w:after="0" w:line="240" w:lineRule="auto"/>
              <w:jc w:val="center"/>
              <w:textAlignment w:val="baseline"/>
              <w:rPr>
                <w:noProof/>
              </w:rPr>
            </w:pPr>
            <w:r>
              <w:rPr>
                <w:noProof/>
              </w:rPr>
              <w:t>T</w:t>
            </w:r>
          </w:p>
        </w:tc>
        <w:tc>
          <w:tcPr>
            <w:tcW w:w="5529" w:type="dxa"/>
            <w:shd w:val="clear" w:color="auto" w:fill="C6EFCE"/>
            <w:vAlign w:val="center"/>
          </w:tcPr>
          <w:p w14:paraId="536FA6B9" w14:textId="77777777" w:rsidR="00553430" w:rsidRDefault="00212577">
            <w:pPr>
              <w:pStyle w:val="P68B1DB1-Normal149"/>
              <w:spacing w:before="120" w:after="0" w:line="240" w:lineRule="auto"/>
              <w:jc w:val="both"/>
              <w:textAlignment w:val="baseline"/>
              <w:rPr>
                <w:noProof/>
              </w:rPr>
            </w:pPr>
            <w:r>
              <w:rPr>
                <w:noProof/>
              </w:rPr>
              <w:t>Projet pilote achevé</w:t>
            </w:r>
          </w:p>
        </w:tc>
      </w:tr>
      <w:tr w:rsidR="00553430" w14:paraId="71027BD2" w14:textId="77777777">
        <w:trPr>
          <w:trHeight w:val="362"/>
        </w:trPr>
        <w:tc>
          <w:tcPr>
            <w:tcW w:w="1096" w:type="dxa"/>
            <w:shd w:val="clear" w:color="auto" w:fill="C6EFCE"/>
            <w:vAlign w:val="center"/>
          </w:tcPr>
          <w:p w14:paraId="47E6C5C4" w14:textId="77777777" w:rsidR="00553430" w:rsidRDefault="00212577">
            <w:pPr>
              <w:pStyle w:val="P68B1DB1-Normal149"/>
              <w:spacing w:before="120" w:after="0" w:line="240" w:lineRule="auto"/>
              <w:jc w:val="center"/>
              <w:textAlignment w:val="baseline"/>
              <w:rPr>
                <w:noProof/>
              </w:rPr>
            </w:pPr>
            <w:r>
              <w:rPr>
                <w:noProof/>
              </w:rPr>
              <w:t>404</w:t>
            </w:r>
          </w:p>
        </w:tc>
        <w:tc>
          <w:tcPr>
            <w:tcW w:w="1642" w:type="dxa"/>
            <w:shd w:val="clear" w:color="auto" w:fill="C6EFCE"/>
            <w:vAlign w:val="center"/>
          </w:tcPr>
          <w:p w14:paraId="7B3DC671" w14:textId="113EF943" w:rsidR="00553430" w:rsidRDefault="00212577">
            <w:pPr>
              <w:pStyle w:val="P68B1DB1-Normal149"/>
              <w:spacing w:before="120" w:after="0" w:line="240" w:lineRule="auto"/>
              <w:jc w:val="center"/>
              <w:textAlignment w:val="baseline"/>
              <w:rPr>
                <w:noProof/>
              </w:rPr>
            </w:pPr>
            <w:r>
              <w:rPr>
                <w:noProof/>
              </w:rPr>
              <w:t> </w:t>
            </w:r>
            <w:r>
              <w:rPr>
                <w:noProof/>
              </w:rPr>
              <w:t xml:space="preserve">  C6.1. R7</w:t>
            </w:r>
          </w:p>
        </w:tc>
        <w:tc>
          <w:tcPr>
            <w:tcW w:w="1134" w:type="dxa"/>
            <w:shd w:val="clear" w:color="auto" w:fill="C6EFCE"/>
            <w:vAlign w:val="center"/>
          </w:tcPr>
          <w:p w14:paraId="0BF2DFE1" w14:textId="77777777" w:rsidR="00553430" w:rsidRDefault="00212577">
            <w:pPr>
              <w:pStyle w:val="P68B1DB1-Normal149"/>
              <w:spacing w:before="120" w:after="0" w:line="240" w:lineRule="auto"/>
              <w:jc w:val="center"/>
              <w:textAlignment w:val="baseline"/>
              <w:rPr>
                <w:noProof/>
              </w:rPr>
            </w:pPr>
            <w:r>
              <w:rPr>
                <w:noProof/>
              </w:rPr>
              <w:t> </w:t>
            </w:r>
            <w:r>
              <w:rPr>
                <w:noProof/>
              </w:rPr>
              <w:t> M</w:t>
            </w:r>
          </w:p>
        </w:tc>
        <w:tc>
          <w:tcPr>
            <w:tcW w:w="5529" w:type="dxa"/>
            <w:shd w:val="clear" w:color="auto" w:fill="C6EFCE"/>
            <w:vAlign w:val="center"/>
          </w:tcPr>
          <w:p w14:paraId="7F8373E8" w14:textId="77777777" w:rsidR="00553430" w:rsidRDefault="00212577">
            <w:pPr>
              <w:pStyle w:val="P68B1DB1-Normal149"/>
              <w:spacing w:before="120" w:after="0" w:line="240" w:lineRule="auto"/>
              <w:jc w:val="both"/>
              <w:textAlignment w:val="baseline"/>
              <w:rPr>
                <w:noProof/>
              </w:rPr>
            </w:pPr>
            <w:r>
              <w:rPr>
                <w:noProof/>
              </w:rPr>
              <w:t> </w:t>
            </w:r>
            <w:r>
              <w:rPr>
                <w:noProof/>
              </w:rPr>
              <w:t xml:space="preserve">Lignes directrices nationales </w:t>
            </w:r>
            <w:r>
              <w:rPr>
                <w:noProof/>
              </w:rPr>
              <w:t>sur l’utilisation circulaire des déchets de construction provenant des bâtiments ayant le statut de bien culturel</w:t>
            </w:r>
          </w:p>
        </w:tc>
      </w:tr>
      <w:tr w:rsidR="00553430" w14:paraId="1A7F8660" w14:textId="77777777">
        <w:trPr>
          <w:trHeight w:val="362"/>
        </w:trPr>
        <w:tc>
          <w:tcPr>
            <w:tcW w:w="1096" w:type="dxa"/>
            <w:shd w:val="clear" w:color="auto" w:fill="C6EFCE"/>
            <w:vAlign w:val="center"/>
          </w:tcPr>
          <w:p w14:paraId="075520E7" w14:textId="77777777" w:rsidR="00553430" w:rsidRDefault="00212577">
            <w:pPr>
              <w:pStyle w:val="P68B1DB1-Normal148"/>
              <w:spacing w:before="120" w:after="0" w:line="240" w:lineRule="auto"/>
              <w:jc w:val="center"/>
              <w:textAlignment w:val="baseline"/>
              <w:rPr>
                <w:noProof/>
              </w:rPr>
            </w:pPr>
            <w:r>
              <w:rPr>
                <w:noProof/>
              </w:rPr>
              <w:t>418</w:t>
            </w:r>
          </w:p>
        </w:tc>
        <w:tc>
          <w:tcPr>
            <w:tcW w:w="1642" w:type="dxa"/>
            <w:shd w:val="clear" w:color="auto" w:fill="C6EFCE"/>
            <w:vAlign w:val="center"/>
          </w:tcPr>
          <w:p w14:paraId="67DBE9E6" w14:textId="77777777" w:rsidR="00553430" w:rsidRDefault="00212577">
            <w:pPr>
              <w:pStyle w:val="P68B1DB1-Normal148"/>
              <w:spacing w:before="120" w:after="0" w:line="240" w:lineRule="auto"/>
              <w:jc w:val="center"/>
              <w:textAlignment w:val="baseline"/>
              <w:rPr>
                <w:noProof/>
              </w:rPr>
            </w:pPr>
            <w:r>
              <w:rPr>
                <w:noProof/>
              </w:rPr>
              <w:t>C7.1 R1-I4</w:t>
            </w:r>
          </w:p>
        </w:tc>
        <w:tc>
          <w:tcPr>
            <w:tcW w:w="1134" w:type="dxa"/>
            <w:shd w:val="clear" w:color="auto" w:fill="C6EFCE"/>
            <w:vAlign w:val="center"/>
          </w:tcPr>
          <w:p w14:paraId="7AA90E4B" w14:textId="77777777" w:rsidR="00553430" w:rsidRDefault="00212577">
            <w:pPr>
              <w:pStyle w:val="P68B1DB1-Normal148"/>
              <w:spacing w:before="120" w:after="0" w:line="240" w:lineRule="auto"/>
              <w:jc w:val="center"/>
              <w:textAlignment w:val="baseline"/>
              <w:rPr>
                <w:noProof/>
              </w:rPr>
            </w:pPr>
            <w:r>
              <w:rPr>
                <w:noProof/>
              </w:rPr>
              <w:t>M</w:t>
            </w:r>
          </w:p>
        </w:tc>
        <w:tc>
          <w:tcPr>
            <w:tcW w:w="5529" w:type="dxa"/>
            <w:shd w:val="clear" w:color="auto" w:fill="C6EFCE"/>
          </w:tcPr>
          <w:p w14:paraId="4296491C" w14:textId="77777777" w:rsidR="00553430" w:rsidRDefault="00212577">
            <w:pPr>
              <w:pStyle w:val="P68B1DB1-Normal148"/>
              <w:spacing w:before="120" w:after="0" w:line="240" w:lineRule="auto"/>
              <w:jc w:val="both"/>
              <w:textAlignment w:val="baseline"/>
              <w:rPr>
                <w:noProof/>
              </w:rPr>
            </w:pPr>
            <w:r>
              <w:rPr>
                <w:noProof/>
              </w:rPr>
              <w:t>Infrastructures de recharge pour bus électriques</w:t>
            </w:r>
          </w:p>
        </w:tc>
      </w:tr>
      <w:tr w:rsidR="00553430" w14:paraId="3E444C11" w14:textId="77777777">
        <w:trPr>
          <w:trHeight w:val="362"/>
        </w:trPr>
        <w:tc>
          <w:tcPr>
            <w:tcW w:w="1096" w:type="dxa"/>
            <w:shd w:val="clear" w:color="auto" w:fill="C6EFCE"/>
            <w:vAlign w:val="center"/>
          </w:tcPr>
          <w:p w14:paraId="2952C421" w14:textId="77777777" w:rsidR="00553430" w:rsidRDefault="00212577">
            <w:pPr>
              <w:pStyle w:val="P68B1DB1-Normal148"/>
              <w:spacing w:before="120" w:after="0" w:line="240" w:lineRule="auto"/>
              <w:jc w:val="center"/>
              <w:textAlignment w:val="baseline"/>
              <w:rPr>
                <w:noProof/>
              </w:rPr>
            </w:pPr>
            <w:r>
              <w:rPr>
                <w:noProof/>
              </w:rPr>
              <w:t>419</w:t>
            </w:r>
          </w:p>
        </w:tc>
        <w:tc>
          <w:tcPr>
            <w:tcW w:w="1642" w:type="dxa"/>
            <w:shd w:val="clear" w:color="auto" w:fill="C6EFCE"/>
            <w:vAlign w:val="center"/>
          </w:tcPr>
          <w:p w14:paraId="673AE2C1" w14:textId="77777777" w:rsidR="00553430" w:rsidRDefault="00212577">
            <w:pPr>
              <w:pStyle w:val="P68B1DB1-Normal148"/>
              <w:spacing w:before="120" w:after="0" w:line="240" w:lineRule="auto"/>
              <w:jc w:val="center"/>
              <w:textAlignment w:val="baseline"/>
              <w:rPr>
                <w:noProof/>
              </w:rPr>
            </w:pPr>
            <w:r>
              <w:rPr>
                <w:noProof/>
              </w:rPr>
              <w:t>C7.1 R1-I6</w:t>
            </w:r>
          </w:p>
        </w:tc>
        <w:tc>
          <w:tcPr>
            <w:tcW w:w="1134" w:type="dxa"/>
            <w:shd w:val="clear" w:color="auto" w:fill="C6EFCE"/>
            <w:vAlign w:val="center"/>
          </w:tcPr>
          <w:p w14:paraId="5919EBDD" w14:textId="77777777" w:rsidR="00553430" w:rsidRDefault="00212577">
            <w:pPr>
              <w:pStyle w:val="P68B1DB1-Normal148"/>
              <w:spacing w:before="120" w:after="0" w:line="240" w:lineRule="auto"/>
              <w:jc w:val="center"/>
              <w:textAlignment w:val="baseline"/>
              <w:rPr>
                <w:noProof/>
              </w:rPr>
            </w:pPr>
            <w:r>
              <w:rPr>
                <w:noProof/>
              </w:rPr>
              <w:t>T</w:t>
            </w:r>
          </w:p>
        </w:tc>
        <w:tc>
          <w:tcPr>
            <w:tcW w:w="5529" w:type="dxa"/>
            <w:shd w:val="clear" w:color="auto" w:fill="C6EFCE"/>
          </w:tcPr>
          <w:p w14:paraId="527A70C0" w14:textId="77777777" w:rsidR="00553430" w:rsidRDefault="00212577">
            <w:pPr>
              <w:pStyle w:val="P68B1DB1-Normal148"/>
              <w:spacing w:before="120" w:after="0" w:line="240" w:lineRule="auto"/>
              <w:jc w:val="both"/>
              <w:textAlignment w:val="baseline"/>
              <w:rPr>
                <w:noProof/>
              </w:rPr>
            </w:pPr>
            <w:r>
              <w:rPr>
                <w:noProof/>
              </w:rPr>
              <w:t>Remplacement des transformateurs électriques</w:t>
            </w:r>
          </w:p>
        </w:tc>
      </w:tr>
      <w:tr w:rsidR="00553430" w14:paraId="51E83F32" w14:textId="77777777">
        <w:trPr>
          <w:trHeight w:val="362"/>
        </w:trPr>
        <w:tc>
          <w:tcPr>
            <w:tcW w:w="1096" w:type="dxa"/>
            <w:shd w:val="clear" w:color="auto" w:fill="C6EFCE"/>
            <w:vAlign w:val="center"/>
          </w:tcPr>
          <w:p w14:paraId="5D270B9B" w14:textId="77777777" w:rsidR="00553430" w:rsidRDefault="00212577">
            <w:pPr>
              <w:pStyle w:val="P68B1DB1-Normal148"/>
              <w:spacing w:before="120" w:after="0" w:line="240" w:lineRule="auto"/>
              <w:jc w:val="center"/>
              <w:textAlignment w:val="baseline"/>
              <w:rPr>
                <w:noProof/>
              </w:rPr>
            </w:pPr>
            <w:r>
              <w:rPr>
                <w:noProof/>
              </w:rPr>
              <w:t>420</w:t>
            </w:r>
          </w:p>
        </w:tc>
        <w:tc>
          <w:tcPr>
            <w:tcW w:w="1642" w:type="dxa"/>
            <w:shd w:val="clear" w:color="auto" w:fill="C6EFCE"/>
            <w:vAlign w:val="center"/>
          </w:tcPr>
          <w:p w14:paraId="3DF51492" w14:textId="77777777" w:rsidR="00553430" w:rsidRDefault="00212577">
            <w:pPr>
              <w:pStyle w:val="P68B1DB1-Normal148"/>
              <w:spacing w:before="120" w:after="0" w:line="240" w:lineRule="auto"/>
              <w:jc w:val="center"/>
              <w:textAlignment w:val="baseline"/>
              <w:rPr>
                <w:noProof/>
                <w:u w:val="single"/>
              </w:rPr>
            </w:pPr>
            <w:r>
              <w:rPr>
                <w:noProof/>
              </w:rPr>
              <w:t xml:space="preserve">C7.1 </w:t>
            </w:r>
            <w:r>
              <w:rPr>
                <w:noProof/>
              </w:rPr>
              <w:t>R1-I6</w:t>
            </w:r>
          </w:p>
        </w:tc>
        <w:tc>
          <w:tcPr>
            <w:tcW w:w="1134" w:type="dxa"/>
            <w:shd w:val="clear" w:color="auto" w:fill="C6EFCE"/>
            <w:vAlign w:val="center"/>
          </w:tcPr>
          <w:p w14:paraId="7E230804" w14:textId="77777777" w:rsidR="00553430" w:rsidRDefault="00212577">
            <w:pPr>
              <w:pStyle w:val="P68B1DB1-Normal151"/>
              <w:spacing w:before="120" w:after="0" w:line="240" w:lineRule="auto"/>
              <w:jc w:val="center"/>
              <w:textAlignment w:val="baseline"/>
              <w:rPr>
                <w:noProof/>
              </w:rPr>
            </w:pPr>
            <w:r>
              <w:rPr>
                <w:noProof/>
              </w:rPr>
              <w:t>T</w:t>
            </w:r>
          </w:p>
        </w:tc>
        <w:tc>
          <w:tcPr>
            <w:tcW w:w="5529" w:type="dxa"/>
            <w:shd w:val="clear" w:color="auto" w:fill="C6EFCE"/>
          </w:tcPr>
          <w:p w14:paraId="20F77FA2" w14:textId="5E885E04" w:rsidR="00553430" w:rsidRDefault="00212577">
            <w:pPr>
              <w:pStyle w:val="P68B1DB1-Normal148"/>
              <w:spacing w:before="120" w:after="0" w:line="240" w:lineRule="auto"/>
              <w:jc w:val="both"/>
              <w:textAlignment w:val="baseline"/>
              <w:rPr>
                <w:noProof/>
              </w:rPr>
            </w:pPr>
            <w:r>
              <w:rPr>
                <w:noProof/>
              </w:rPr>
              <w:t xml:space="preserve">Reconstruction de sous-stations </w:t>
            </w:r>
          </w:p>
        </w:tc>
      </w:tr>
      <w:tr w:rsidR="00553430" w14:paraId="3E6EED7B" w14:textId="77777777">
        <w:trPr>
          <w:trHeight w:val="362"/>
        </w:trPr>
        <w:tc>
          <w:tcPr>
            <w:tcW w:w="1096" w:type="dxa"/>
            <w:shd w:val="clear" w:color="auto" w:fill="C6EFCE"/>
            <w:vAlign w:val="center"/>
          </w:tcPr>
          <w:p w14:paraId="55CD36BB" w14:textId="77777777" w:rsidR="00553430" w:rsidRDefault="00212577">
            <w:pPr>
              <w:pStyle w:val="P68B1DB1-Normal149"/>
              <w:spacing w:before="120" w:after="0" w:line="240" w:lineRule="auto"/>
              <w:jc w:val="center"/>
              <w:textAlignment w:val="baseline"/>
              <w:rPr>
                <w:rFonts w:eastAsia="Times New Roman"/>
                <w:noProof/>
              </w:rPr>
            </w:pPr>
            <w:r>
              <w:rPr>
                <w:noProof/>
              </w:rPr>
              <w:t>422</w:t>
            </w:r>
          </w:p>
        </w:tc>
        <w:tc>
          <w:tcPr>
            <w:tcW w:w="1642" w:type="dxa"/>
            <w:shd w:val="clear" w:color="auto" w:fill="C6EFCE"/>
            <w:vAlign w:val="center"/>
          </w:tcPr>
          <w:p w14:paraId="3CB98E68" w14:textId="77777777" w:rsidR="00553430" w:rsidRDefault="00212577">
            <w:pPr>
              <w:pStyle w:val="P68B1DB1-Normal149"/>
              <w:spacing w:before="120" w:after="0" w:line="240" w:lineRule="auto"/>
              <w:jc w:val="center"/>
              <w:textAlignment w:val="baseline"/>
              <w:rPr>
                <w:rFonts w:eastAsia="Times New Roman"/>
                <w:noProof/>
              </w:rPr>
            </w:pPr>
            <w:r>
              <w:rPr>
                <w:noProof/>
              </w:rPr>
              <w:t>C7.1 I3</w:t>
            </w:r>
          </w:p>
        </w:tc>
        <w:tc>
          <w:tcPr>
            <w:tcW w:w="1134" w:type="dxa"/>
            <w:shd w:val="clear" w:color="auto" w:fill="C6EFCE"/>
            <w:vAlign w:val="center"/>
          </w:tcPr>
          <w:p w14:paraId="359909E4" w14:textId="77777777" w:rsidR="00553430" w:rsidRDefault="00212577">
            <w:pPr>
              <w:pStyle w:val="P68B1DB1-Normal149"/>
              <w:spacing w:before="120" w:after="0" w:line="240" w:lineRule="auto"/>
              <w:jc w:val="center"/>
              <w:textAlignment w:val="baseline"/>
              <w:rPr>
                <w:rFonts w:eastAsia="Times New Roman"/>
                <w:noProof/>
              </w:rPr>
            </w:pPr>
            <w:r>
              <w:rPr>
                <w:noProof/>
              </w:rPr>
              <w:t>T</w:t>
            </w:r>
          </w:p>
        </w:tc>
        <w:tc>
          <w:tcPr>
            <w:tcW w:w="5529" w:type="dxa"/>
            <w:shd w:val="clear" w:color="auto" w:fill="C6EFCE"/>
          </w:tcPr>
          <w:p w14:paraId="4B1D4F10" w14:textId="77777777" w:rsidR="00553430" w:rsidRDefault="00212577">
            <w:pPr>
              <w:pStyle w:val="P68B1DB1-Normal149"/>
              <w:spacing w:before="120" w:after="0" w:line="240" w:lineRule="auto"/>
              <w:jc w:val="both"/>
              <w:textAlignment w:val="baseline"/>
              <w:rPr>
                <w:rFonts w:eastAsia="Times New Roman"/>
                <w:noProof/>
              </w:rPr>
            </w:pPr>
            <w:r>
              <w:rPr>
                <w:noProof/>
              </w:rPr>
              <w:t>Agrandissement du terminal GNL sur l'île de Krk opérationnel</w:t>
            </w:r>
          </w:p>
        </w:tc>
      </w:tr>
      <w:tr w:rsidR="00553430" w14:paraId="75373510" w14:textId="77777777">
        <w:trPr>
          <w:trHeight w:val="362"/>
        </w:trPr>
        <w:tc>
          <w:tcPr>
            <w:tcW w:w="1096" w:type="dxa"/>
            <w:shd w:val="clear" w:color="auto" w:fill="C6EFCE"/>
            <w:vAlign w:val="center"/>
          </w:tcPr>
          <w:p w14:paraId="40996B43" w14:textId="77777777" w:rsidR="00553430" w:rsidRDefault="00212577">
            <w:pPr>
              <w:pStyle w:val="P68B1DB1-Normal148"/>
              <w:spacing w:before="120" w:after="0" w:line="240" w:lineRule="auto"/>
              <w:jc w:val="center"/>
              <w:textAlignment w:val="baseline"/>
              <w:rPr>
                <w:noProof/>
              </w:rPr>
            </w:pPr>
            <w:r>
              <w:rPr>
                <w:noProof/>
              </w:rPr>
              <w:t>426</w:t>
            </w:r>
          </w:p>
        </w:tc>
        <w:tc>
          <w:tcPr>
            <w:tcW w:w="1642" w:type="dxa"/>
            <w:shd w:val="clear" w:color="auto" w:fill="C6EFCE"/>
            <w:vAlign w:val="center"/>
          </w:tcPr>
          <w:p w14:paraId="58B4D28A" w14:textId="77777777" w:rsidR="00553430" w:rsidRDefault="00212577">
            <w:pPr>
              <w:pStyle w:val="P68B1DB1-Normal148"/>
              <w:spacing w:before="120" w:after="0" w:line="240" w:lineRule="auto"/>
              <w:jc w:val="center"/>
              <w:textAlignment w:val="baseline"/>
              <w:rPr>
                <w:noProof/>
              </w:rPr>
            </w:pPr>
            <w:r>
              <w:rPr>
                <w:noProof/>
              </w:rPr>
              <w:t>C7.1 I3</w:t>
            </w:r>
          </w:p>
        </w:tc>
        <w:tc>
          <w:tcPr>
            <w:tcW w:w="1134" w:type="dxa"/>
            <w:shd w:val="clear" w:color="auto" w:fill="C6EFCE"/>
            <w:vAlign w:val="center"/>
          </w:tcPr>
          <w:p w14:paraId="2BFDD2DF" w14:textId="77777777" w:rsidR="00553430" w:rsidRDefault="00212577">
            <w:pPr>
              <w:pStyle w:val="P68B1DB1-Normal148"/>
              <w:spacing w:before="120" w:after="0" w:line="240" w:lineRule="auto"/>
              <w:jc w:val="center"/>
              <w:textAlignment w:val="baseline"/>
              <w:rPr>
                <w:noProof/>
              </w:rPr>
            </w:pPr>
            <w:r>
              <w:rPr>
                <w:noProof/>
              </w:rPr>
              <w:t>T</w:t>
            </w:r>
          </w:p>
        </w:tc>
        <w:tc>
          <w:tcPr>
            <w:tcW w:w="5529" w:type="dxa"/>
            <w:shd w:val="clear" w:color="auto" w:fill="C6EFCE"/>
          </w:tcPr>
          <w:p w14:paraId="438F8D94" w14:textId="308BBB76" w:rsidR="00553430" w:rsidRDefault="00212577">
            <w:pPr>
              <w:pStyle w:val="P68B1DB1-Normal148"/>
              <w:spacing w:before="120" w:after="0" w:line="240" w:lineRule="auto"/>
              <w:jc w:val="both"/>
              <w:textAlignment w:val="baseline"/>
              <w:rPr>
                <w:noProof/>
              </w:rPr>
            </w:pPr>
            <w:r>
              <w:rPr>
                <w:noProof/>
              </w:rPr>
              <w:t xml:space="preserve">Construction du gazoduc Bosiljevo - Sisak - Kozarac </w:t>
            </w:r>
          </w:p>
        </w:tc>
      </w:tr>
      <w:tr w:rsidR="00553430" w14:paraId="2BCA58E9" w14:textId="77777777">
        <w:trPr>
          <w:trHeight w:val="362"/>
        </w:trPr>
        <w:tc>
          <w:tcPr>
            <w:tcW w:w="1096" w:type="dxa"/>
            <w:shd w:val="clear" w:color="auto" w:fill="C6EFCE"/>
            <w:vAlign w:val="center"/>
          </w:tcPr>
          <w:p w14:paraId="61FB9FE5" w14:textId="77777777" w:rsidR="00553430" w:rsidRDefault="00212577">
            <w:pPr>
              <w:pStyle w:val="P68B1DB1-Normal148"/>
              <w:spacing w:before="120" w:after="0" w:line="240" w:lineRule="auto"/>
              <w:jc w:val="center"/>
              <w:textAlignment w:val="baseline"/>
              <w:rPr>
                <w:noProof/>
              </w:rPr>
            </w:pPr>
            <w:r>
              <w:rPr>
                <w:noProof/>
              </w:rPr>
              <w:t>428</w:t>
            </w:r>
          </w:p>
        </w:tc>
        <w:tc>
          <w:tcPr>
            <w:tcW w:w="1642" w:type="dxa"/>
            <w:shd w:val="clear" w:color="auto" w:fill="C6EFCE"/>
            <w:vAlign w:val="center"/>
          </w:tcPr>
          <w:p w14:paraId="0D32026A" w14:textId="77777777" w:rsidR="00553430" w:rsidRDefault="00212577">
            <w:pPr>
              <w:pStyle w:val="P68B1DB1-Normal148"/>
              <w:spacing w:before="120" w:after="0" w:line="240" w:lineRule="auto"/>
              <w:jc w:val="center"/>
              <w:textAlignment w:val="baseline"/>
              <w:rPr>
                <w:noProof/>
              </w:rPr>
            </w:pPr>
            <w:r>
              <w:rPr>
                <w:noProof/>
              </w:rPr>
              <w:t>C7.1 I3</w:t>
            </w:r>
          </w:p>
        </w:tc>
        <w:tc>
          <w:tcPr>
            <w:tcW w:w="1134" w:type="dxa"/>
            <w:shd w:val="clear" w:color="auto" w:fill="C6EFCE"/>
            <w:vAlign w:val="center"/>
          </w:tcPr>
          <w:p w14:paraId="52935767" w14:textId="77777777" w:rsidR="00553430" w:rsidRDefault="00212577">
            <w:pPr>
              <w:pStyle w:val="P68B1DB1-Normal148"/>
              <w:spacing w:before="120" w:after="0" w:line="240" w:lineRule="auto"/>
              <w:jc w:val="center"/>
              <w:textAlignment w:val="baseline"/>
              <w:rPr>
                <w:noProof/>
              </w:rPr>
            </w:pPr>
            <w:r>
              <w:rPr>
                <w:noProof/>
              </w:rPr>
              <w:t>T</w:t>
            </w:r>
          </w:p>
        </w:tc>
        <w:tc>
          <w:tcPr>
            <w:tcW w:w="5529" w:type="dxa"/>
            <w:shd w:val="clear" w:color="auto" w:fill="C6EFCE"/>
          </w:tcPr>
          <w:p w14:paraId="798CDB6A" w14:textId="7BA368F1" w:rsidR="00553430" w:rsidRDefault="00212577">
            <w:pPr>
              <w:pStyle w:val="P68B1DB1-Normal148"/>
              <w:spacing w:before="120" w:after="0" w:line="240" w:lineRule="auto"/>
              <w:jc w:val="both"/>
              <w:textAlignment w:val="baseline"/>
              <w:rPr>
                <w:noProof/>
              </w:rPr>
            </w:pPr>
            <w:r>
              <w:rPr>
                <w:noProof/>
              </w:rPr>
              <w:t xml:space="preserve">Construction du tronçon Lučko – Zabok de </w:t>
            </w:r>
            <w:r>
              <w:rPr>
                <w:noProof/>
              </w:rPr>
              <w:t>l’interconnexion Croatie – Slovénie</w:t>
            </w:r>
          </w:p>
        </w:tc>
      </w:tr>
      <w:tr w:rsidR="00553430" w14:paraId="76C74055" w14:textId="77777777">
        <w:trPr>
          <w:trHeight w:val="362"/>
        </w:trPr>
        <w:tc>
          <w:tcPr>
            <w:tcW w:w="1096" w:type="dxa"/>
            <w:shd w:val="clear" w:color="auto" w:fill="C6EFCE"/>
            <w:vAlign w:val="center"/>
          </w:tcPr>
          <w:p w14:paraId="0CC1AF99" w14:textId="77777777" w:rsidR="00553430" w:rsidRDefault="00212577">
            <w:pPr>
              <w:pStyle w:val="P68B1DB1-Normal148"/>
              <w:spacing w:before="120" w:after="0" w:line="240" w:lineRule="auto"/>
              <w:jc w:val="center"/>
              <w:textAlignment w:val="baseline"/>
              <w:rPr>
                <w:noProof/>
              </w:rPr>
            </w:pPr>
            <w:r>
              <w:rPr>
                <w:noProof/>
              </w:rPr>
              <w:t>432</w:t>
            </w:r>
          </w:p>
        </w:tc>
        <w:tc>
          <w:tcPr>
            <w:tcW w:w="1642" w:type="dxa"/>
            <w:shd w:val="clear" w:color="auto" w:fill="C6EFCE"/>
            <w:vAlign w:val="center"/>
          </w:tcPr>
          <w:p w14:paraId="7D7A48F6" w14:textId="77777777" w:rsidR="00553430" w:rsidRDefault="00212577">
            <w:pPr>
              <w:pStyle w:val="P68B1DB1-Normal148"/>
              <w:spacing w:before="120" w:after="0" w:line="240" w:lineRule="auto"/>
              <w:jc w:val="center"/>
              <w:textAlignment w:val="baseline"/>
              <w:rPr>
                <w:noProof/>
              </w:rPr>
            </w:pPr>
            <w:r>
              <w:rPr>
                <w:noProof/>
              </w:rPr>
              <w:t>C7.2 R3</w:t>
            </w:r>
          </w:p>
        </w:tc>
        <w:tc>
          <w:tcPr>
            <w:tcW w:w="1134" w:type="dxa"/>
            <w:shd w:val="clear" w:color="auto" w:fill="C6EFCE"/>
            <w:vAlign w:val="center"/>
          </w:tcPr>
          <w:p w14:paraId="574DF10A" w14:textId="77777777" w:rsidR="00553430" w:rsidRDefault="00212577">
            <w:pPr>
              <w:pStyle w:val="P68B1DB1-Normal148"/>
              <w:spacing w:before="120" w:after="0" w:line="240" w:lineRule="auto"/>
              <w:jc w:val="center"/>
              <w:textAlignment w:val="baseline"/>
              <w:rPr>
                <w:noProof/>
              </w:rPr>
            </w:pPr>
            <w:r>
              <w:rPr>
                <w:noProof/>
              </w:rPr>
              <w:t>T</w:t>
            </w:r>
          </w:p>
        </w:tc>
        <w:tc>
          <w:tcPr>
            <w:tcW w:w="5529" w:type="dxa"/>
            <w:shd w:val="clear" w:color="auto" w:fill="C6EFCE"/>
          </w:tcPr>
          <w:p w14:paraId="6424E738" w14:textId="77777777" w:rsidR="00553430" w:rsidRDefault="00212577">
            <w:pPr>
              <w:pStyle w:val="P68B1DB1-Normal148"/>
              <w:spacing w:before="120" w:after="0" w:line="240" w:lineRule="auto"/>
              <w:jc w:val="both"/>
              <w:textAlignment w:val="baseline"/>
              <w:rPr>
                <w:noProof/>
              </w:rPr>
            </w:pPr>
            <w:r>
              <w:rPr>
                <w:noProof/>
              </w:rPr>
              <w:t xml:space="preserve">Finalisation des projets pilotes identifiés dans le cadre des stratégies de rénovation urbaine verte </w:t>
            </w:r>
          </w:p>
        </w:tc>
      </w:tr>
      <w:tr w:rsidR="00553430" w14:paraId="69A8ABCF" w14:textId="77777777">
        <w:trPr>
          <w:trHeight w:val="362"/>
        </w:trPr>
        <w:tc>
          <w:tcPr>
            <w:tcW w:w="1096" w:type="dxa"/>
            <w:shd w:val="clear" w:color="auto" w:fill="C6EFCE"/>
            <w:vAlign w:val="center"/>
          </w:tcPr>
          <w:p w14:paraId="54FBF9C9" w14:textId="77777777" w:rsidR="00553430" w:rsidRDefault="00212577">
            <w:pPr>
              <w:pStyle w:val="P68B1DB1-Normal148"/>
              <w:spacing w:before="120" w:after="0" w:line="240" w:lineRule="auto"/>
              <w:jc w:val="center"/>
              <w:textAlignment w:val="baseline"/>
              <w:rPr>
                <w:noProof/>
              </w:rPr>
            </w:pPr>
            <w:r>
              <w:rPr>
                <w:noProof/>
              </w:rPr>
              <w:t>435</w:t>
            </w:r>
          </w:p>
        </w:tc>
        <w:tc>
          <w:tcPr>
            <w:tcW w:w="1642" w:type="dxa"/>
            <w:shd w:val="clear" w:color="auto" w:fill="C6EFCE"/>
            <w:vAlign w:val="center"/>
          </w:tcPr>
          <w:p w14:paraId="61AA6610" w14:textId="77777777" w:rsidR="00553430" w:rsidRDefault="00212577">
            <w:pPr>
              <w:pStyle w:val="P68B1DB1-Normal148"/>
              <w:spacing w:before="120" w:after="0" w:line="240" w:lineRule="auto"/>
              <w:jc w:val="center"/>
              <w:textAlignment w:val="baseline"/>
              <w:rPr>
                <w:noProof/>
              </w:rPr>
            </w:pPr>
            <w:r>
              <w:rPr>
                <w:noProof/>
              </w:rPr>
              <w:t>C7.2 I1</w:t>
            </w:r>
          </w:p>
        </w:tc>
        <w:tc>
          <w:tcPr>
            <w:tcW w:w="1134" w:type="dxa"/>
            <w:shd w:val="clear" w:color="auto" w:fill="C6EFCE"/>
            <w:vAlign w:val="center"/>
          </w:tcPr>
          <w:p w14:paraId="611A700B" w14:textId="77777777" w:rsidR="00553430" w:rsidRDefault="00212577">
            <w:pPr>
              <w:pStyle w:val="P68B1DB1-Normal148"/>
              <w:spacing w:before="120" w:after="0" w:line="240" w:lineRule="auto"/>
              <w:jc w:val="center"/>
              <w:textAlignment w:val="baseline"/>
              <w:rPr>
                <w:noProof/>
              </w:rPr>
            </w:pPr>
            <w:r>
              <w:rPr>
                <w:noProof/>
              </w:rPr>
              <w:t>T</w:t>
            </w:r>
          </w:p>
        </w:tc>
        <w:tc>
          <w:tcPr>
            <w:tcW w:w="5529" w:type="dxa"/>
            <w:shd w:val="clear" w:color="auto" w:fill="C6EFCE"/>
          </w:tcPr>
          <w:p w14:paraId="4E4935FB" w14:textId="77777777" w:rsidR="00553430" w:rsidRDefault="00212577">
            <w:pPr>
              <w:pStyle w:val="P68B1DB1-Normal148"/>
              <w:spacing w:before="120" w:after="0" w:line="240" w:lineRule="auto"/>
              <w:jc w:val="both"/>
              <w:textAlignment w:val="baseline"/>
              <w:rPr>
                <w:noProof/>
              </w:rPr>
            </w:pPr>
            <w:r>
              <w:rPr>
                <w:noProof/>
              </w:rPr>
              <w:t>Rénovation énergétique des immeubles collectifs</w:t>
            </w:r>
          </w:p>
        </w:tc>
      </w:tr>
      <w:tr w:rsidR="00553430" w14:paraId="16AA20D0" w14:textId="77777777">
        <w:trPr>
          <w:trHeight w:val="362"/>
        </w:trPr>
        <w:tc>
          <w:tcPr>
            <w:tcW w:w="1096" w:type="dxa"/>
            <w:shd w:val="clear" w:color="auto" w:fill="C6EFCE"/>
            <w:vAlign w:val="center"/>
          </w:tcPr>
          <w:p w14:paraId="06D404EF" w14:textId="77777777" w:rsidR="00553430" w:rsidRDefault="00212577">
            <w:pPr>
              <w:pStyle w:val="P68B1DB1-Normal148"/>
              <w:spacing w:before="120" w:after="0" w:line="240" w:lineRule="auto"/>
              <w:jc w:val="center"/>
              <w:textAlignment w:val="baseline"/>
              <w:rPr>
                <w:noProof/>
              </w:rPr>
            </w:pPr>
            <w:r>
              <w:rPr>
                <w:noProof/>
              </w:rPr>
              <w:t>436</w:t>
            </w:r>
          </w:p>
        </w:tc>
        <w:tc>
          <w:tcPr>
            <w:tcW w:w="1642" w:type="dxa"/>
            <w:shd w:val="clear" w:color="auto" w:fill="C6EFCE"/>
            <w:vAlign w:val="center"/>
          </w:tcPr>
          <w:p w14:paraId="0ECE0B69" w14:textId="77777777" w:rsidR="00553430" w:rsidRDefault="00212577">
            <w:pPr>
              <w:pStyle w:val="P68B1DB1-Normal148"/>
              <w:spacing w:before="120" w:after="0" w:line="240" w:lineRule="auto"/>
              <w:jc w:val="center"/>
              <w:textAlignment w:val="baseline"/>
              <w:rPr>
                <w:noProof/>
              </w:rPr>
            </w:pPr>
            <w:r>
              <w:rPr>
                <w:noProof/>
              </w:rPr>
              <w:t>C7.2 I1</w:t>
            </w:r>
          </w:p>
        </w:tc>
        <w:tc>
          <w:tcPr>
            <w:tcW w:w="1134" w:type="dxa"/>
            <w:shd w:val="clear" w:color="auto" w:fill="C6EFCE"/>
            <w:vAlign w:val="center"/>
          </w:tcPr>
          <w:p w14:paraId="119872AB" w14:textId="77777777" w:rsidR="00553430" w:rsidRDefault="00212577">
            <w:pPr>
              <w:pStyle w:val="P68B1DB1-Normal148"/>
              <w:spacing w:before="120" w:after="0" w:line="240" w:lineRule="auto"/>
              <w:jc w:val="center"/>
              <w:textAlignment w:val="baseline"/>
              <w:rPr>
                <w:noProof/>
              </w:rPr>
            </w:pPr>
            <w:r>
              <w:rPr>
                <w:noProof/>
              </w:rPr>
              <w:t>T</w:t>
            </w:r>
          </w:p>
        </w:tc>
        <w:tc>
          <w:tcPr>
            <w:tcW w:w="5529" w:type="dxa"/>
            <w:shd w:val="clear" w:color="auto" w:fill="C6EFCE"/>
          </w:tcPr>
          <w:p w14:paraId="2073D474" w14:textId="77777777" w:rsidR="00553430" w:rsidRDefault="00212577">
            <w:pPr>
              <w:pStyle w:val="P68B1DB1-Normal148"/>
              <w:spacing w:before="120" w:after="0" w:line="240" w:lineRule="auto"/>
              <w:jc w:val="both"/>
              <w:textAlignment w:val="baseline"/>
              <w:rPr>
                <w:noProof/>
              </w:rPr>
            </w:pPr>
            <w:r>
              <w:rPr>
                <w:noProof/>
              </w:rPr>
              <w:t xml:space="preserve">Rénovation énergétique </w:t>
            </w:r>
            <w:r>
              <w:rPr>
                <w:noProof/>
              </w:rPr>
              <w:t>des bâtiments publics</w:t>
            </w:r>
          </w:p>
        </w:tc>
      </w:tr>
      <w:tr w:rsidR="00553430" w14:paraId="7162CB5E" w14:textId="77777777">
        <w:trPr>
          <w:trHeight w:val="362"/>
        </w:trPr>
        <w:tc>
          <w:tcPr>
            <w:tcW w:w="1096" w:type="dxa"/>
            <w:shd w:val="clear" w:color="auto" w:fill="C6EFCE"/>
            <w:vAlign w:val="center"/>
          </w:tcPr>
          <w:p w14:paraId="17B987A8" w14:textId="77777777" w:rsidR="00553430" w:rsidRDefault="00212577">
            <w:pPr>
              <w:pStyle w:val="P68B1DB1-Normal148"/>
              <w:spacing w:before="120" w:after="0" w:line="240" w:lineRule="auto"/>
              <w:jc w:val="center"/>
              <w:textAlignment w:val="baseline"/>
              <w:rPr>
                <w:noProof/>
              </w:rPr>
            </w:pPr>
            <w:r>
              <w:rPr>
                <w:noProof/>
              </w:rPr>
              <w:t>437</w:t>
            </w:r>
          </w:p>
        </w:tc>
        <w:tc>
          <w:tcPr>
            <w:tcW w:w="1642" w:type="dxa"/>
            <w:shd w:val="clear" w:color="auto" w:fill="C6EFCE"/>
            <w:vAlign w:val="center"/>
          </w:tcPr>
          <w:p w14:paraId="4396056F" w14:textId="77777777" w:rsidR="00553430" w:rsidRDefault="00212577">
            <w:pPr>
              <w:pStyle w:val="P68B1DB1-Normal148"/>
              <w:spacing w:before="120" w:after="0" w:line="240" w:lineRule="auto"/>
              <w:jc w:val="center"/>
              <w:textAlignment w:val="baseline"/>
              <w:rPr>
                <w:noProof/>
              </w:rPr>
            </w:pPr>
            <w:r>
              <w:rPr>
                <w:noProof/>
              </w:rPr>
              <w:t>C7.2 I1</w:t>
            </w:r>
          </w:p>
        </w:tc>
        <w:tc>
          <w:tcPr>
            <w:tcW w:w="1134" w:type="dxa"/>
            <w:shd w:val="clear" w:color="auto" w:fill="C6EFCE"/>
            <w:vAlign w:val="center"/>
          </w:tcPr>
          <w:p w14:paraId="6D5B3F26" w14:textId="77777777" w:rsidR="00553430" w:rsidRDefault="00212577">
            <w:pPr>
              <w:pStyle w:val="P68B1DB1-Normal148"/>
              <w:spacing w:before="120" w:after="0" w:line="240" w:lineRule="auto"/>
              <w:jc w:val="center"/>
              <w:textAlignment w:val="baseline"/>
              <w:rPr>
                <w:noProof/>
              </w:rPr>
            </w:pPr>
            <w:r>
              <w:rPr>
                <w:noProof/>
              </w:rPr>
              <w:t>T</w:t>
            </w:r>
          </w:p>
        </w:tc>
        <w:tc>
          <w:tcPr>
            <w:tcW w:w="5529" w:type="dxa"/>
            <w:shd w:val="clear" w:color="auto" w:fill="C6EFCE"/>
          </w:tcPr>
          <w:p w14:paraId="60928E1D" w14:textId="77777777" w:rsidR="00553430" w:rsidRDefault="00212577">
            <w:pPr>
              <w:pStyle w:val="P68B1DB1-Normal148"/>
              <w:spacing w:before="120" w:after="0" w:line="240" w:lineRule="auto"/>
              <w:jc w:val="both"/>
              <w:textAlignment w:val="baseline"/>
              <w:rPr>
                <w:noProof/>
              </w:rPr>
            </w:pPr>
            <w:r>
              <w:rPr>
                <w:noProof/>
              </w:rPr>
              <w:t>Installation de systèmes d'énergie renouvelable dans les bâtiments publics</w:t>
            </w:r>
          </w:p>
        </w:tc>
      </w:tr>
      <w:tr w:rsidR="00553430" w14:paraId="370F746F" w14:textId="77777777">
        <w:trPr>
          <w:trHeight w:val="362"/>
        </w:trPr>
        <w:tc>
          <w:tcPr>
            <w:tcW w:w="1096" w:type="dxa"/>
            <w:shd w:val="clear" w:color="auto" w:fill="C6EFCE"/>
            <w:vAlign w:val="center"/>
          </w:tcPr>
          <w:p w14:paraId="7620D75F" w14:textId="77777777" w:rsidR="00553430" w:rsidRDefault="00212577">
            <w:pPr>
              <w:pStyle w:val="P68B1DB1-Normal148"/>
              <w:spacing w:before="120" w:after="0" w:line="240" w:lineRule="auto"/>
              <w:jc w:val="center"/>
              <w:textAlignment w:val="baseline"/>
              <w:rPr>
                <w:noProof/>
              </w:rPr>
            </w:pPr>
            <w:r>
              <w:rPr>
                <w:noProof/>
              </w:rPr>
              <w:t>439</w:t>
            </w:r>
          </w:p>
        </w:tc>
        <w:tc>
          <w:tcPr>
            <w:tcW w:w="1642" w:type="dxa"/>
            <w:shd w:val="clear" w:color="auto" w:fill="C6EFCE"/>
            <w:vAlign w:val="center"/>
          </w:tcPr>
          <w:p w14:paraId="64F34C06" w14:textId="77777777" w:rsidR="00553430" w:rsidRDefault="00212577">
            <w:pPr>
              <w:pStyle w:val="P68B1DB1-Normal148"/>
              <w:spacing w:before="120" w:after="0" w:line="240" w:lineRule="auto"/>
              <w:jc w:val="center"/>
              <w:textAlignment w:val="baseline"/>
              <w:rPr>
                <w:noProof/>
              </w:rPr>
            </w:pPr>
            <w:r>
              <w:rPr>
                <w:noProof/>
              </w:rPr>
              <w:t>C7.2 I2</w:t>
            </w:r>
          </w:p>
        </w:tc>
        <w:tc>
          <w:tcPr>
            <w:tcW w:w="1134" w:type="dxa"/>
            <w:shd w:val="clear" w:color="auto" w:fill="C6EFCE"/>
            <w:vAlign w:val="center"/>
          </w:tcPr>
          <w:p w14:paraId="64B86D66" w14:textId="77777777" w:rsidR="00553430" w:rsidRDefault="00212577">
            <w:pPr>
              <w:pStyle w:val="P68B1DB1-Normal148"/>
              <w:spacing w:before="120" w:after="0" w:line="240" w:lineRule="auto"/>
              <w:jc w:val="center"/>
              <w:textAlignment w:val="baseline"/>
              <w:rPr>
                <w:noProof/>
              </w:rPr>
            </w:pPr>
            <w:r>
              <w:rPr>
                <w:noProof/>
              </w:rPr>
              <w:t>T</w:t>
            </w:r>
          </w:p>
        </w:tc>
        <w:tc>
          <w:tcPr>
            <w:tcW w:w="5529" w:type="dxa"/>
            <w:shd w:val="clear" w:color="auto" w:fill="C6EFCE"/>
          </w:tcPr>
          <w:p w14:paraId="1249DF7D" w14:textId="77777777" w:rsidR="00553430" w:rsidRDefault="00212577">
            <w:pPr>
              <w:pStyle w:val="P68B1DB1-Normal148"/>
              <w:spacing w:before="120" w:after="0" w:line="240" w:lineRule="auto"/>
              <w:jc w:val="both"/>
              <w:textAlignment w:val="baseline"/>
              <w:rPr>
                <w:noProof/>
              </w:rPr>
            </w:pPr>
            <w:r>
              <w:rPr>
                <w:noProof/>
              </w:rPr>
              <w:t>Installation de systèmes d'énergie renouvelable dans les bâtiments publics endommagés par les tremblements de terre</w:t>
            </w:r>
          </w:p>
        </w:tc>
      </w:tr>
      <w:tr w:rsidR="00553430" w14:paraId="5729FB0D" w14:textId="77777777">
        <w:trPr>
          <w:trHeight w:val="362"/>
        </w:trPr>
        <w:tc>
          <w:tcPr>
            <w:tcW w:w="1096" w:type="dxa"/>
            <w:shd w:val="clear" w:color="auto" w:fill="C6EFCE"/>
            <w:vAlign w:val="center"/>
          </w:tcPr>
          <w:p w14:paraId="66F29EBD" w14:textId="77777777" w:rsidR="00553430" w:rsidRDefault="00212577">
            <w:pPr>
              <w:pStyle w:val="P68B1DB1-Normal148"/>
              <w:spacing w:before="120" w:after="120" w:line="240" w:lineRule="auto"/>
              <w:jc w:val="center"/>
              <w:rPr>
                <w:noProof/>
              </w:rPr>
            </w:pPr>
            <w:r>
              <w:rPr>
                <w:noProof/>
              </w:rPr>
              <w:t>440</w:t>
            </w:r>
          </w:p>
        </w:tc>
        <w:tc>
          <w:tcPr>
            <w:tcW w:w="1642" w:type="dxa"/>
            <w:shd w:val="clear" w:color="auto" w:fill="C6EFCE"/>
            <w:vAlign w:val="center"/>
          </w:tcPr>
          <w:p w14:paraId="04C09F64" w14:textId="77777777" w:rsidR="00553430" w:rsidRDefault="00212577">
            <w:pPr>
              <w:pStyle w:val="P68B1DB1-Normal148"/>
              <w:spacing w:before="120" w:after="120" w:line="240" w:lineRule="auto"/>
              <w:jc w:val="center"/>
              <w:rPr>
                <w:noProof/>
              </w:rPr>
            </w:pPr>
            <w:r>
              <w:rPr>
                <w:noProof/>
              </w:rPr>
              <w:t xml:space="preserve">C1.3 </w:t>
            </w:r>
            <w:r>
              <w:rPr>
                <w:noProof/>
              </w:rPr>
              <w:t>R3-I3</w:t>
            </w:r>
          </w:p>
        </w:tc>
        <w:tc>
          <w:tcPr>
            <w:tcW w:w="1134" w:type="dxa"/>
            <w:shd w:val="clear" w:color="auto" w:fill="C6EFCE"/>
            <w:vAlign w:val="center"/>
          </w:tcPr>
          <w:p w14:paraId="6CAF73ED" w14:textId="77777777" w:rsidR="00553430" w:rsidRDefault="00212577">
            <w:pPr>
              <w:pStyle w:val="P68B1DB1-Normal148"/>
              <w:spacing w:before="120" w:after="120" w:line="240" w:lineRule="auto"/>
              <w:jc w:val="center"/>
              <w:rPr>
                <w:noProof/>
              </w:rPr>
            </w:pPr>
            <w:r>
              <w:rPr>
                <w:noProof/>
              </w:rPr>
              <w:t>T</w:t>
            </w:r>
          </w:p>
        </w:tc>
        <w:tc>
          <w:tcPr>
            <w:tcW w:w="5529" w:type="dxa"/>
            <w:shd w:val="clear" w:color="auto" w:fill="C6EFCE"/>
          </w:tcPr>
          <w:p w14:paraId="21FF3892" w14:textId="77777777" w:rsidR="00553430" w:rsidRDefault="00212577">
            <w:pPr>
              <w:pStyle w:val="P68B1DB1-Normal148"/>
              <w:spacing w:before="120" w:after="120" w:line="240" w:lineRule="auto"/>
              <w:jc w:val="both"/>
              <w:rPr>
                <w:noProof/>
              </w:rPr>
            </w:pPr>
            <w:r>
              <w:rPr>
                <w:noProof/>
              </w:rPr>
              <w:t>Construction de structures de protection contre les inondations</w:t>
            </w:r>
          </w:p>
        </w:tc>
      </w:tr>
      <w:tr w:rsidR="00553430" w14:paraId="7DCB5B6B" w14:textId="77777777">
        <w:trPr>
          <w:trHeight w:val="362"/>
        </w:trPr>
        <w:tc>
          <w:tcPr>
            <w:tcW w:w="1096" w:type="dxa"/>
            <w:shd w:val="clear" w:color="auto" w:fill="C6EFCE"/>
            <w:vAlign w:val="center"/>
          </w:tcPr>
          <w:p w14:paraId="0090FC8A" w14:textId="77777777" w:rsidR="00553430" w:rsidRDefault="00212577">
            <w:pPr>
              <w:pStyle w:val="P68B1DB1-Normal148"/>
              <w:spacing w:before="120" w:after="120" w:line="240" w:lineRule="auto"/>
              <w:jc w:val="center"/>
              <w:rPr>
                <w:noProof/>
              </w:rPr>
            </w:pPr>
            <w:r>
              <w:rPr>
                <w:noProof/>
              </w:rPr>
              <w:t>441</w:t>
            </w:r>
          </w:p>
        </w:tc>
        <w:tc>
          <w:tcPr>
            <w:tcW w:w="1642" w:type="dxa"/>
            <w:shd w:val="clear" w:color="auto" w:fill="C6EFCE"/>
            <w:vAlign w:val="center"/>
          </w:tcPr>
          <w:p w14:paraId="5534F34D" w14:textId="77777777" w:rsidR="00553430" w:rsidRDefault="00212577">
            <w:pPr>
              <w:pStyle w:val="P68B1DB1-Normal148"/>
              <w:spacing w:before="120" w:after="120" w:line="240" w:lineRule="auto"/>
              <w:jc w:val="center"/>
              <w:rPr>
                <w:noProof/>
              </w:rPr>
            </w:pPr>
            <w:r>
              <w:rPr>
                <w:noProof/>
              </w:rPr>
              <w:t>C1.3 R3-I3</w:t>
            </w:r>
          </w:p>
        </w:tc>
        <w:tc>
          <w:tcPr>
            <w:tcW w:w="1134" w:type="dxa"/>
            <w:shd w:val="clear" w:color="auto" w:fill="C6EFCE"/>
            <w:vAlign w:val="center"/>
          </w:tcPr>
          <w:p w14:paraId="6B66C184" w14:textId="77777777" w:rsidR="00553430" w:rsidRDefault="00212577">
            <w:pPr>
              <w:pStyle w:val="P68B1DB1-Normal148"/>
              <w:spacing w:before="120" w:after="120" w:line="240" w:lineRule="auto"/>
              <w:jc w:val="center"/>
              <w:rPr>
                <w:noProof/>
              </w:rPr>
            </w:pPr>
            <w:r>
              <w:rPr>
                <w:noProof/>
              </w:rPr>
              <w:t>T</w:t>
            </w:r>
          </w:p>
        </w:tc>
        <w:tc>
          <w:tcPr>
            <w:tcW w:w="5529" w:type="dxa"/>
            <w:shd w:val="clear" w:color="auto" w:fill="C6EFCE"/>
          </w:tcPr>
          <w:p w14:paraId="601AC383" w14:textId="77777777" w:rsidR="00553430" w:rsidRDefault="00212577">
            <w:pPr>
              <w:pStyle w:val="P68B1DB1-Normal148"/>
              <w:spacing w:before="120" w:after="120" w:line="240" w:lineRule="auto"/>
              <w:jc w:val="both"/>
              <w:rPr>
                <w:noProof/>
              </w:rPr>
            </w:pPr>
            <w:r>
              <w:rPr>
                <w:noProof/>
              </w:rPr>
              <w:t>Des cours d'eau revitalisés</w:t>
            </w:r>
          </w:p>
        </w:tc>
      </w:tr>
      <w:tr w:rsidR="00553430" w14:paraId="7CB273E8" w14:textId="77777777">
        <w:trPr>
          <w:trHeight w:val="362"/>
        </w:trPr>
        <w:tc>
          <w:tcPr>
            <w:tcW w:w="1096" w:type="dxa"/>
            <w:shd w:val="clear" w:color="auto" w:fill="C6EFCE"/>
            <w:vAlign w:val="center"/>
          </w:tcPr>
          <w:p w14:paraId="7D7F081C" w14:textId="77777777" w:rsidR="00553430" w:rsidRDefault="00212577">
            <w:pPr>
              <w:pStyle w:val="P68B1DB1-Normal148"/>
              <w:spacing w:before="120" w:after="120" w:line="240" w:lineRule="auto"/>
              <w:jc w:val="center"/>
              <w:rPr>
                <w:noProof/>
              </w:rPr>
            </w:pPr>
            <w:r>
              <w:rPr>
                <w:noProof/>
              </w:rPr>
              <w:t>443</w:t>
            </w:r>
          </w:p>
        </w:tc>
        <w:tc>
          <w:tcPr>
            <w:tcW w:w="1642" w:type="dxa"/>
            <w:shd w:val="clear" w:color="auto" w:fill="C6EFCE"/>
            <w:vAlign w:val="center"/>
          </w:tcPr>
          <w:p w14:paraId="0D671E46" w14:textId="77777777" w:rsidR="00553430" w:rsidRDefault="00212577">
            <w:pPr>
              <w:pStyle w:val="P68B1DB1-Normal148"/>
              <w:spacing w:before="120" w:after="120" w:line="240" w:lineRule="auto"/>
              <w:jc w:val="center"/>
              <w:rPr>
                <w:noProof/>
              </w:rPr>
            </w:pPr>
            <w:r>
              <w:rPr>
                <w:noProof/>
              </w:rPr>
              <w:t>C2.5. R1-I7</w:t>
            </w:r>
          </w:p>
        </w:tc>
        <w:tc>
          <w:tcPr>
            <w:tcW w:w="1134" w:type="dxa"/>
            <w:shd w:val="clear" w:color="auto" w:fill="C6EFCE"/>
            <w:vAlign w:val="center"/>
          </w:tcPr>
          <w:p w14:paraId="48011FE6" w14:textId="77777777" w:rsidR="00553430" w:rsidRDefault="00212577">
            <w:pPr>
              <w:pStyle w:val="P68B1DB1-Normal148"/>
              <w:spacing w:before="120" w:after="120" w:line="240" w:lineRule="auto"/>
              <w:jc w:val="center"/>
              <w:rPr>
                <w:noProof/>
              </w:rPr>
            </w:pPr>
            <w:r>
              <w:rPr>
                <w:noProof/>
              </w:rPr>
              <w:t>T</w:t>
            </w:r>
          </w:p>
        </w:tc>
        <w:tc>
          <w:tcPr>
            <w:tcW w:w="5529" w:type="dxa"/>
            <w:shd w:val="clear" w:color="auto" w:fill="C6EFCE"/>
            <w:vAlign w:val="bottom"/>
          </w:tcPr>
          <w:p w14:paraId="6E31846E" w14:textId="77777777" w:rsidR="00553430" w:rsidRDefault="00212577">
            <w:pPr>
              <w:pStyle w:val="P68B1DB1-Normal148"/>
              <w:spacing w:before="120" w:after="120" w:line="240" w:lineRule="auto"/>
              <w:jc w:val="both"/>
              <w:rPr>
                <w:noProof/>
              </w:rPr>
            </w:pPr>
            <w:r>
              <w:rPr>
                <w:noProof/>
              </w:rPr>
              <w:t xml:space="preserve">Bâtiment nouvellement construit sur la place de la Justice à Zagreb </w:t>
            </w:r>
          </w:p>
        </w:tc>
      </w:tr>
      <w:tr w:rsidR="00553430" w14:paraId="6D5EDCC7" w14:textId="77777777">
        <w:trPr>
          <w:trHeight w:val="362"/>
        </w:trPr>
        <w:tc>
          <w:tcPr>
            <w:tcW w:w="1096" w:type="dxa"/>
            <w:shd w:val="clear" w:color="auto" w:fill="C6EFCE"/>
            <w:vAlign w:val="bottom"/>
          </w:tcPr>
          <w:p w14:paraId="65158689" w14:textId="77777777" w:rsidR="00553430" w:rsidRDefault="00212577">
            <w:pPr>
              <w:pStyle w:val="P68B1DB1-Normal152"/>
              <w:spacing w:before="120" w:after="120" w:line="240" w:lineRule="auto"/>
              <w:jc w:val="center"/>
              <w:rPr>
                <w:noProof/>
              </w:rPr>
            </w:pPr>
            <w:r>
              <w:rPr>
                <w:noProof/>
              </w:rPr>
              <w:t>446</w:t>
            </w:r>
          </w:p>
        </w:tc>
        <w:tc>
          <w:tcPr>
            <w:tcW w:w="1642" w:type="dxa"/>
            <w:shd w:val="clear" w:color="auto" w:fill="C6EFCE"/>
            <w:vAlign w:val="bottom"/>
          </w:tcPr>
          <w:p w14:paraId="05D72E55" w14:textId="77777777" w:rsidR="00553430" w:rsidRDefault="00212577">
            <w:pPr>
              <w:pStyle w:val="P68B1DB1-Normal152"/>
              <w:spacing w:before="120" w:after="120" w:line="240" w:lineRule="auto"/>
              <w:jc w:val="center"/>
              <w:rPr>
                <w:noProof/>
              </w:rPr>
            </w:pPr>
            <w:r>
              <w:rPr>
                <w:noProof/>
              </w:rPr>
              <w:t>C1.1.1. R4-I6</w:t>
            </w:r>
          </w:p>
        </w:tc>
        <w:tc>
          <w:tcPr>
            <w:tcW w:w="1134" w:type="dxa"/>
            <w:shd w:val="clear" w:color="auto" w:fill="C6EFCE"/>
            <w:vAlign w:val="bottom"/>
          </w:tcPr>
          <w:p w14:paraId="2B193052" w14:textId="77777777" w:rsidR="00553430" w:rsidRDefault="00212577">
            <w:pPr>
              <w:pStyle w:val="P68B1DB1-Normal148"/>
              <w:spacing w:before="120" w:after="120" w:line="240" w:lineRule="auto"/>
              <w:jc w:val="center"/>
              <w:rPr>
                <w:noProof/>
              </w:rPr>
            </w:pPr>
            <w:r>
              <w:rPr>
                <w:noProof/>
              </w:rPr>
              <w:t>M</w:t>
            </w:r>
          </w:p>
        </w:tc>
        <w:tc>
          <w:tcPr>
            <w:tcW w:w="5529" w:type="dxa"/>
            <w:shd w:val="clear" w:color="auto" w:fill="C6EFCE"/>
            <w:vAlign w:val="bottom"/>
          </w:tcPr>
          <w:p w14:paraId="005F9189" w14:textId="77777777" w:rsidR="00553430" w:rsidRDefault="00212577">
            <w:pPr>
              <w:pStyle w:val="P68B1DB1-Normal148"/>
              <w:spacing w:before="120" w:after="120" w:line="240" w:lineRule="auto"/>
              <w:jc w:val="both"/>
              <w:rPr>
                <w:noProof/>
              </w:rPr>
            </w:pPr>
            <w:r>
              <w:rPr>
                <w:noProof/>
              </w:rPr>
              <w:t xml:space="preserve">Politique d’investissement </w:t>
            </w:r>
            <w:r>
              <w:rPr>
                <w:noProof/>
              </w:rPr>
              <w:t>pour les investissements stratégiques en matière de défense et de sécurité</w:t>
            </w:r>
          </w:p>
        </w:tc>
      </w:tr>
      <w:tr w:rsidR="00553430" w14:paraId="504A1FAB" w14:textId="77777777">
        <w:trPr>
          <w:trHeight w:val="362"/>
        </w:trPr>
        <w:tc>
          <w:tcPr>
            <w:tcW w:w="1096" w:type="dxa"/>
            <w:shd w:val="clear" w:color="auto" w:fill="C6EFCE"/>
            <w:vAlign w:val="center"/>
          </w:tcPr>
          <w:p w14:paraId="6B48BE58" w14:textId="77777777" w:rsidR="00553430" w:rsidRDefault="00212577">
            <w:pPr>
              <w:pStyle w:val="P68B1DB1-Normal148"/>
              <w:spacing w:before="120" w:after="120" w:line="240" w:lineRule="auto"/>
              <w:jc w:val="center"/>
              <w:rPr>
                <w:noProof/>
              </w:rPr>
            </w:pPr>
            <w:r>
              <w:rPr>
                <w:noProof/>
              </w:rPr>
              <w:t>447</w:t>
            </w:r>
          </w:p>
        </w:tc>
        <w:tc>
          <w:tcPr>
            <w:tcW w:w="1642" w:type="dxa"/>
            <w:shd w:val="clear" w:color="auto" w:fill="C6EFCE"/>
            <w:vAlign w:val="center"/>
          </w:tcPr>
          <w:p w14:paraId="60BB2E87" w14:textId="77777777" w:rsidR="00553430" w:rsidRDefault="00212577">
            <w:pPr>
              <w:pStyle w:val="P68B1DB1-Normal148"/>
              <w:spacing w:before="120" w:after="120" w:line="240" w:lineRule="auto"/>
              <w:jc w:val="center"/>
              <w:rPr>
                <w:noProof/>
              </w:rPr>
            </w:pPr>
            <w:r>
              <w:rPr>
                <w:noProof/>
              </w:rPr>
              <w:t>C1.1.1. R4-I6</w:t>
            </w:r>
          </w:p>
        </w:tc>
        <w:tc>
          <w:tcPr>
            <w:tcW w:w="1134" w:type="dxa"/>
            <w:shd w:val="clear" w:color="auto" w:fill="C6EFCE"/>
            <w:vAlign w:val="center"/>
          </w:tcPr>
          <w:p w14:paraId="07F4D4ED" w14:textId="77777777" w:rsidR="00553430" w:rsidRDefault="00212577">
            <w:pPr>
              <w:pStyle w:val="P68B1DB1-Normal148"/>
              <w:spacing w:before="120" w:after="120" w:line="240" w:lineRule="auto"/>
              <w:jc w:val="center"/>
              <w:rPr>
                <w:noProof/>
              </w:rPr>
            </w:pPr>
            <w:r>
              <w:rPr>
                <w:noProof/>
              </w:rPr>
              <w:t>M</w:t>
            </w:r>
          </w:p>
        </w:tc>
        <w:tc>
          <w:tcPr>
            <w:tcW w:w="5529" w:type="dxa"/>
            <w:shd w:val="clear" w:color="auto" w:fill="C6EFCE"/>
          </w:tcPr>
          <w:p w14:paraId="56994071" w14:textId="77777777" w:rsidR="00553430" w:rsidRDefault="00212577">
            <w:pPr>
              <w:pStyle w:val="P68B1DB1-Normal148"/>
              <w:spacing w:before="120" w:after="120" w:line="240" w:lineRule="auto"/>
              <w:jc w:val="both"/>
              <w:rPr>
                <w:noProof/>
              </w:rPr>
            </w:pPr>
            <w:r>
              <w:rPr>
                <w:noProof/>
              </w:rPr>
              <w:t>Injection de fonds propres pour des investissements stratégiques en matière de défense et de sécurité</w:t>
            </w:r>
          </w:p>
        </w:tc>
      </w:tr>
      <w:tr w:rsidR="00553430" w14:paraId="78D513A3" w14:textId="77777777">
        <w:trPr>
          <w:trHeight w:val="362"/>
        </w:trPr>
        <w:tc>
          <w:tcPr>
            <w:tcW w:w="1096" w:type="dxa"/>
            <w:shd w:val="clear" w:color="auto" w:fill="C6EFCE"/>
            <w:vAlign w:val="bottom"/>
            <w:hideMark/>
          </w:tcPr>
          <w:p w14:paraId="46ADBD2F" w14:textId="77777777" w:rsidR="00553430" w:rsidRDefault="00212577">
            <w:pPr>
              <w:pStyle w:val="P68B1DB1-Normal148"/>
              <w:spacing w:before="120" w:after="0" w:line="240" w:lineRule="auto"/>
              <w:jc w:val="center"/>
              <w:textAlignment w:val="baseline"/>
              <w:rPr>
                <w:noProof/>
              </w:rPr>
            </w:pPr>
            <w:r>
              <w:rPr>
                <w:noProof/>
              </w:rPr>
              <w:t> </w:t>
            </w:r>
          </w:p>
        </w:tc>
        <w:tc>
          <w:tcPr>
            <w:tcW w:w="1642" w:type="dxa"/>
            <w:shd w:val="clear" w:color="auto" w:fill="C6EFCE"/>
            <w:vAlign w:val="bottom"/>
            <w:hideMark/>
          </w:tcPr>
          <w:p w14:paraId="123F9AA7" w14:textId="77777777" w:rsidR="00553430" w:rsidRDefault="00212577">
            <w:pPr>
              <w:pStyle w:val="P68B1DB1-Normal148"/>
              <w:spacing w:before="120" w:after="0" w:line="240" w:lineRule="auto"/>
              <w:jc w:val="both"/>
              <w:textAlignment w:val="baseline"/>
              <w:rPr>
                <w:noProof/>
              </w:rPr>
            </w:pPr>
            <w:r>
              <w:rPr>
                <w:noProof/>
              </w:rPr>
              <w:t> </w:t>
            </w:r>
          </w:p>
        </w:tc>
        <w:tc>
          <w:tcPr>
            <w:tcW w:w="1134" w:type="dxa"/>
            <w:shd w:val="clear" w:color="auto" w:fill="C6EFCE"/>
            <w:vAlign w:val="bottom"/>
            <w:hideMark/>
          </w:tcPr>
          <w:p w14:paraId="2D1CC5B2" w14:textId="77777777" w:rsidR="00553430" w:rsidRDefault="00212577">
            <w:pPr>
              <w:pStyle w:val="P68B1DB1-Normal148"/>
              <w:spacing w:before="120" w:after="0" w:line="240" w:lineRule="auto"/>
              <w:jc w:val="both"/>
              <w:textAlignment w:val="baseline"/>
              <w:rPr>
                <w:noProof/>
              </w:rPr>
            </w:pPr>
            <w:r>
              <w:rPr>
                <w:noProof/>
              </w:rPr>
              <w:t>Montant des acomptes provisionnels </w:t>
            </w:r>
          </w:p>
        </w:tc>
        <w:tc>
          <w:tcPr>
            <w:tcW w:w="5529" w:type="dxa"/>
            <w:shd w:val="clear" w:color="auto" w:fill="C6EFCE"/>
            <w:vAlign w:val="bottom"/>
            <w:hideMark/>
          </w:tcPr>
          <w:p w14:paraId="43D90D03" w14:textId="1DAD9711" w:rsidR="00553430" w:rsidRDefault="00212577">
            <w:pPr>
              <w:pStyle w:val="P68B1DB1-Normal59"/>
              <w:spacing w:before="120" w:after="0" w:line="240" w:lineRule="auto"/>
              <w:jc w:val="both"/>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2</w:t>
            </w:r>
            <w:r>
              <w:rPr>
                <w:rFonts w:ascii="Times New Roman" w:hAnsi="Times New Roman" w:cs="Times New Roman"/>
                <w:noProof/>
                <w:color w:val="000000"/>
              </w:rPr>
              <w:t> </w:t>
            </w:r>
            <w:r>
              <w:rPr>
                <w:rFonts w:ascii="Times New Roman" w:eastAsia="Times New Roman" w:hAnsi="Times New Roman" w:cs="Times New Roman"/>
                <w:noProof/>
                <w:kern w:val="0"/>
                <w14:ligatures w14:val="none"/>
              </w:rPr>
              <w:t>060</w:t>
            </w:r>
            <w:r>
              <w:rPr>
                <w:rFonts w:ascii="Times New Roman" w:hAnsi="Times New Roman" w:cs="Times New Roman"/>
                <w:noProof/>
                <w:color w:val="000000"/>
              </w:rPr>
              <w:t> </w:t>
            </w:r>
            <w:r>
              <w:rPr>
                <w:rFonts w:ascii="Times New Roman" w:eastAsia="Times New Roman" w:hAnsi="Times New Roman" w:cs="Times New Roman"/>
                <w:noProof/>
                <w:kern w:val="0"/>
                <w14:ligatures w14:val="none"/>
              </w:rPr>
              <w:t>436</w:t>
            </w:r>
            <w:r>
              <w:rPr>
                <w:rFonts w:ascii="Times New Roman" w:hAnsi="Times New Roman" w:cs="Times New Roman"/>
                <w:noProof/>
                <w:color w:val="000000"/>
              </w:rPr>
              <w:t> </w:t>
            </w:r>
            <w:r>
              <w:rPr>
                <w:rFonts w:ascii="Times New Roman" w:eastAsia="Times New Roman" w:hAnsi="Times New Roman" w:cs="Times New Roman"/>
                <w:noProof/>
                <w:kern w:val="0"/>
                <w14:ligatures w14:val="none"/>
              </w:rPr>
              <w:t>258</w:t>
            </w:r>
            <w:r>
              <w:rPr>
                <w:rFonts w:ascii="Times New Roman" w:hAnsi="Times New Roman" w:cs="Times New Roman"/>
                <w:noProof/>
                <w:color w:val="000000"/>
              </w:rPr>
              <w:t xml:space="preserve"> </w:t>
            </w:r>
            <w:r>
              <w:rPr>
                <w:rFonts w:ascii="Times New Roman" w:eastAsia="Times New Roman" w:hAnsi="Times New Roman" w:cs="Times New Roman"/>
                <w:noProof/>
                <w:kern w:val="0"/>
                <w14:ligatures w14:val="none"/>
              </w:rPr>
              <w:t>EUR</w:t>
            </w:r>
          </w:p>
        </w:tc>
      </w:tr>
    </w:tbl>
    <w:p w14:paraId="215F5578" w14:textId="77777777" w:rsidR="00553430" w:rsidRDefault="00553430">
      <w:pPr>
        <w:spacing w:after="0" w:line="240" w:lineRule="auto"/>
        <w:ind w:left="705"/>
        <w:jc w:val="both"/>
        <w:textAlignment w:val="baseline"/>
        <w:rPr>
          <w:rFonts w:ascii="Segoe UI" w:eastAsia="Times New Roman" w:hAnsi="Segoe UI" w:cs="Segoe UI"/>
          <w:noProof/>
          <w:sz w:val="18"/>
          <w:szCs w:val="18"/>
        </w:rPr>
      </w:pPr>
    </w:p>
    <w:p w14:paraId="615E9CCE" w14:textId="77777777" w:rsidR="00553430" w:rsidRDefault="00212577">
      <w:pPr>
        <w:pStyle w:val="P68B1DB1-Normal134"/>
        <w:spacing w:after="0" w:line="240" w:lineRule="auto"/>
        <w:jc w:val="both"/>
        <w:textAlignment w:val="baseline"/>
        <w:rPr>
          <w:rFonts w:ascii="Segoe UI" w:hAnsi="Segoe UI" w:cs="Segoe UI"/>
          <w:noProof/>
          <w:sz w:val="18"/>
          <w:szCs w:val="18"/>
        </w:rPr>
      </w:pPr>
      <w:r>
        <w:rPr>
          <w:noProof/>
        </w:rPr>
        <w:t> </w:t>
      </w:r>
    </w:p>
    <w:p w14:paraId="05B27E3B" w14:textId="77777777" w:rsidR="00553430" w:rsidRDefault="00553430">
      <w:pPr>
        <w:spacing w:after="0" w:line="240" w:lineRule="auto"/>
        <w:jc w:val="both"/>
        <w:textAlignment w:val="baseline"/>
        <w:rPr>
          <w:rFonts w:eastAsia="Times New Roman"/>
          <w:b/>
          <w:bCs/>
          <w:noProof/>
          <w:szCs w:val="24"/>
        </w:rPr>
        <w:sectPr w:rsidR="00553430" w:rsidSect="00FA29B2">
          <w:headerReference w:type="even" r:id="rId459"/>
          <w:headerReference w:type="default" r:id="rId460"/>
          <w:footerReference w:type="even" r:id="rId461"/>
          <w:footerReference w:type="default" r:id="rId462"/>
          <w:headerReference w:type="first" r:id="rId463"/>
          <w:footerReference w:type="first" r:id="rId464"/>
          <w:pgSz w:w="11907" w:h="16839"/>
          <w:pgMar w:top="1134" w:right="1134" w:bottom="1134" w:left="1134" w:header="567" w:footer="567" w:gutter="0"/>
          <w:cols w:space="708"/>
          <w:docGrid w:linePitch="360"/>
        </w:sectPr>
      </w:pPr>
    </w:p>
    <w:p w14:paraId="2BA1466C" w14:textId="27232555" w:rsidR="00553430" w:rsidRDefault="00212577">
      <w:pPr>
        <w:pStyle w:val="P68B1DB1-Normal140"/>
        <w:spacing w:line="240" w:lineRule="auto"/>
        <w:jc w:val="both"/>
        <w:textAlignment w:val="baseline"/>
        <w:rPr>
          <w:bCs/>
          <w:noProof/>
          <w:szCs w:val="24"/>
        </w:rPr>
      </w:pPr>
      <w:r>
        <w:rPr>
          <w:noProof/>
        </w:rPr>
        <w:t xml:space="preserve">SECTION 3: DISPOSITIONS SUPPLÉMENTAIRES </w:t>
      </w:r>
    </w:p>
    <w:p w14:paraId="65175E6C" w14:textId="77777777" w:rsidR="00553430" w:rsidRDefault="00212577">
      <w:pPr>
        <w:pStyle w:val="P68B1DB1-Normal83"/>
        <w:numPr>
          <w:ilvl w:val="0"/>
          <w:numId w:val="82"/>
        </w:numPr>
        <w:spacing w:line="240" w:lineRule="auto"/>
        <w:jc w:val="both"/>
        <w:textAlignment w:val="baseline"/>
        <w:rPr>
          <w:noProof/>
        </w:rPr>
      </w:pPr>
      <w:r>
        <w:rPr>
          <w:b/>
          <w:noProof/>
        </w:rPr>
        <w:t>Modalités de suivi et de mise en œuvre du plan pour la reprise et la résilience</w:t>
      </w:r>
      <w:r>
        <w:rPr>
          <w:noProof/>
        </w:rPr>
        <w:t> </w:t>
      </w:r>
    </w:p>
    <w:p w14:paraId="4C8E301F" w14:textId="77777777" w:rsidR="00553430" w:rsidRDefault="00212577">
      <w:pPr>
        <w:pStyle w:val="P68B1DB1-Normal83"/>
        <w:spacing w:line="240" w:lineRule="auto"/>
        <w:jc w:val="both"/>
        <w:textAlignment w:val="baseline"/>
        <w:rPr>
          <w:noProof/>
        </w:rPr>
      </w:pPr>
      <w:r>
        <w:rPr>
          <w:noProof/>
        </w:rPr>
        <w:t xml:space="preserve">Le suivi et la mise en œuvre du plan pour la reprise et la </w:t>
      </w:r>
      <w:r>
        <w:rPr>
          <w:noProof/>
        </w:rPr>
        <w:t>résilience de la Croatie s’effectuent conformément aux modalités suivantes: </w:t>
      </w:r>
    </w:p>
    <w:p w14:paraId="05D8FBC4" w14:textId="77777777" w:rsidR="00553430" w:rsidRDefault="00212577">
      <w:pPr>
        <w:pStyle w:val="P68B1DB1-Normal83"/>
        <w:spacing w:line="240" w:lineRule="auto"/>
        <w:jc w:val="both"/>
        <w:textAlignment w:val="baseline"/>
        <w:rPr>
          <w:noProof/>
        </w:rPr>
      </w:pPr>
      <w:r>
        <w:rPr>
          <w:noProof/>
        </w:rPr>
        <w:t>Une structure de gouvernance, de suivi et de mise en œuvre à plusieurs niveaux est mise en place, avec des tâches et des responsabilités spécifiques applicables à chaque niveau, c</w:t>
      </w:r>
      <w:r>
        <w:rPr>
          <w:noProof/>
        </w:rPr>
        <w:t>omme indiqué ci-dessous:</w:t>
      </w:r>
    </w:p>
    <w:p w14:paraId="703F5442" w14:textId="77777777" w:rsidR="00553430" w:rsidRDefault="00212577">
      <w:pPr>
        <w:pStyle w:val="P68B1DB1-Normal83"/>
        <w:spacing w:line="240" w:lineRule="auto"/>
        <w:ind w:left="567"/>
        <w:jc w:val="both"/>
        <w:textAlignment w:val="baseline"/>
        <w:rPr>
          <w:noProof/>
        </w:rPr>
      </w:pPr>
      <w:r>
        <w:rPr>
          <w:noProof/>
        </w:rPr>
        <w:t>a) Comité directeur, présidé par le Premier ministre, chargé de la direction politique et du suivi de la mise en œuvre du plan.</w:t>
      </w:r>
    </w:p>
    <w:p w14:paraId="489061CF" w14:textId="77777777" w:rsidR="00553430" w:rsidRDefault="00212577">
      <w:pPr>
        <w:pStyle w:val="P68B1DB1-Normal83"/>
        <w:spacing w:line="240" w:lineRule="auto"/>
        <w:ind w:left="567"/>
        <w:jc w:val="both"/>
        <w:textAlignment w:val="baseline"/>
        <w:rPr>
          <w:noProof/>
        </w:rPr>
      </w:pPr>
      <w:r>
        <w:rPr>
          <w:noProof/>
        </w:rPr>
        <w:t>b) Comité de mise en œuvre, composé de représentants du cabinet du Premier ministre, de l'organe de coo</w:t>
      </w:r>
      <w:r>
        <w:rPr>
          <w:noProof/>
        </w:rPr>
        <w:t xml:space="preserve">rdination, des organes de mise en œuvre, de l'autorité d'audit, de l'organisme chargé de l'envoi des demandes de paiement et du ministère du développement régional et des fonds de l'UE, chargé du suivi global et de la mise en œuvre du plan ainsi que de la </w:t>
      </w:r>
      <w:r>
        <w:rPr>
          <w:noProof/>
        </w:rPr>
        <w:t xml:space="preserve">cohérence avec les autres fonds de l'UE. </w:t>
      </w:r>
    </w:p>
    <w:p w14:paraId="66052986" w14:textId="77777777" w:rsidR="00553430" w:rsidRDefault="00212577">
      <w:pPr>
        <w:pStyle w:val="P68B1DB1-Normal83"/>
        <w:spacing w:line="240" w:lineRule="auto"/>
        <w:ind w:left="567"/>
        <w:jc w:val="both"/>
        <w:textAlignment w:val="baseline"/>
        <w:rPr>
          <w:noProof/>
        </w:rPr>
      </w:pPr>
      <w:r>
        <w:rPr>
          <w:noProof/>
        </w:rPr>
        <w:t>c) Organe central de coordination, créé sous l'autorité du ministère des finances (direction de l'analyse macroéconomique) et chargé de la coordination opérationnelle et du suivi du plan pour la reprise et la résil</w:t>
      </w:r>
      <w:r>
        <w:rPr>
          <w:noProof/>
        </w:rPr>
        <w:t>ience, y compris le suivi actif des progrès accomplis dans la mise en œuvre des mesures sur la base des jalons et cibles fixés pour chaque composante.</w:t>
      </w:r>
    </w:p>
    <w:p w14:paraId="6F16E606" w14:textId="77777777" w:rsidR="00553430" w:rsidRDefault="00212577">
      <w:pPr>
        <w:pStyle w:val="P68B1DB1-Normal83"/>
        <w:spacing w:line="240" w:lineRule="auto"/>
        <w:ind w:left="567"/>
        <w:jc w:val="both"/>
        <w:textAlignment w:val="baseline"/>
        <w:rPr>
          <w:noProof/>
        </w:rPr>
      </w:pPr>
      <w:r>
        <w:rPr>
          <w:noProof/>
        </w:rPr>
        <w:t>d) Autorité d'audit, l'Agence pour l'audit du système de mise en œuvre des programmes de l'Union européen</w:t>
      </w:r>
      <w:r>
        <w:rPr>
          <w:noProof/>
        </w:rPr>
        <w:t>ne, chargée d'effectuer des audits dans le cadre du plan croate pour la reprise et la résilience.</w:t>
      </w:r>
    </w:p>
    <w:p w14:paraId="5C83670B" w14:textId="77777777" w:rsidR="00553430" w:rsidRDefault="00212577">
      <w:pPr>
        <w:pStyle w:val="P68B1DB1-Normal83"/>
        <w:spacing w:line="240" w:lineRule="auto"/>
        <w:ind w:left="567"/>
        <w:jc w:val="both"/>
        <w:textAlignment w:val="baseline"/>
        <w:rPr>
          <w:noProof/>
        </w:rPr>
      </w:pPr>
      <w:r>
        <w:rPr>
          <w:noProof/>
        </w:rPr>
        <w:t>e) l'organisme chargé de l'envoi des demandes de paiement, le Fonds national relevant du ministère des finances, chargé de l'établissement et de la présentati</w:t>
      </w:r>
      <w:r>
        <w:rPr>
          <w:noProof/>
        </w:rPr>
        <w:t>on des demandes de paiement et des déclarations de gestion.</w:t>
      </w:r>
    </w:p>
    <w:p w14:paraId="3814FC5F" w14:textId="77777777" w:rsidR="00553430" w:rsidRDefault="00212577">
      <w:pPr>
        <w:pStyle w:val="P68B1DB1-Normal83"/>
        <w:spacing w:line="240" w:lineRule="auto"/>
        <w:ind w:left="567"/>
        <w:jc w:val="both"/>
        <w:textAlignment w:val="baseline"/>
        <w:rPr>
          <w:noProof/>
        </w:rPr>
      </w:pPr>
      <w:r>
        <w:rPr>
          <w:noProof/>
        </w:rPr>
        <w:t xml:space="preserve">f) les organismes d'exécution et les agences responsables de la mise en œuvre de chaque mesure spécifique ainsi que du suivi de l'avancement des projets. </w:t>
      </w:r>
    </w:p>
    <w:p w14:paraId="5DF867DA" w14:textId="77777777" w:rsidR="00553430" w:rsidRDefault="00212577">
      <w:pPr>
        <w:pStyle w:val="P68B1DB1-Normal83"/>
        <w:spacing w:line="240" w:lineRule="auto"/>
        <w:jc w:val="both"/>
        <w:textAlignment w:val="baseline"/>
        <w:rPr>
          <w:noProof/>
        </w:rPr>
      </w:pPr>
      <w:r>
        <w:rPr>
          <w:noProof/>
        </w:rPr>
        <w:t>Le plan croate pour la reprise et la rési</w:t>
      </w:r>
      <w:r>
        <w:rPr>
          <w:noProof/>
        </w:rPr>
        <w:t>lience indique que les procédures sont en place pour garantir le respect du droit de l’Union et du droit national applicables, tout au long de la mise en œuvre des mesures. En outre, ces procédures doivent être appliquées pour remédier à toutes les irrégul</w:t>
      </w:r>
      <w:r>
        <w:rPr>
          <w:noProof/>
        </w:rPr>
        <w:t>arités graves (fraude, corruption, conflit d’intérêts) et au double financement en permettant la mise en œuvre de contrôles et d’audits au niveau du ministère compétent. Afin de garantir la fiabilité des données communiquées, les organismes chargés de la m</w:t>
      </w:r>
      <w:r>
        <w:rPr>
          <w:noProof/>
        </w:rPr>
        <w:t>ise en œuvre de chaque composante effectuent des contrôles administratifs et des contrôles sur place. Des contrôles réguliers de la véracité et de l'exactitude des données sont effectués par l'organisme de coordination en coopération avec le Fonds national</w:t>
      </w:r>
      <w:r>
        <w:rPr>
          <w:noProof/>
        </w:rPr>
        <w:t>. En outre, l’autorité d’audit effectuera les contrôles de deuxième niveau, sur la base d’un cycle semestriel, y compris des audits des systèmes et des audits de la réalisation des jalons et cibles.</w:t>
      </w:r>
    </w:p>
    <w:p w14:paraId="18228728" w14:textId="1DB5005F" w:rsidR="00553430" w:rsidRDefault="00212577">
      <w:pPr>
        <w:pStyle w:val="P68B1DB1-Normal83"/>
        <w:spacing w:line="240" w:lineRule="auto"/>
        <w:jc w:val="both"/>
        <w:textAlignment w:val="baseline"/>
        <w:rPr>
          <w:noProof/>
        </w:rPr>
      </w:pPr>
      <w:r>
        <w:rPr>
          <w:noProof/>
        </w:rPr>
        <w:t> </w:t>
      </w:r>
    </w:p>
    <w:p w14:paraId="7FA7B74F" w14:textId="77777777" w:rsidR="00553430" w:rsidRDefault="00212577">
      <w:pPr>
        <w:pStyle w:val="P68B1DB1-Normal83"/>
        <w:numPr>
          <w:ilvl w:val="0"/>
          <w:numId w:val="83"/>
        </w:numPr>
        <w:spacing w:line="240" w:lineRule="auto"/>
        <w:jc w:val="both"/>
        <w:textAlignment w:val="baseline"/>
        <w:rPr>
          <w:noProof/>
        </w:rPr>
      </w:pPr>
      <w:r>
        <w:rPr>
          <w:b/>
          <w:noProof/>
        </w:rPr>
        <w:t>Modalités permettant à la Commission d'accéder pleineme</w:t>
      </w:r>
      <w:r>
        <w:rPr>
          <w:b/>
          <w:noProof/>
        </w:rPr>
        <w:t>nt aux données sous-jacentes</w:t>
      </w:r>
      <w:r>
        <w:rPr>
          <w:noProof/>
        </w:rPr>
        <w:t> </w:t>
      </w:r>
    </w:p>
    <w:p w14:paraId="6030513A" w14:textId="77777777" w:rsidR="00553430" w:rsidRDefault="00212577">
      <w:pPr>
        <w:pStyle w:val="P68B1DB1-Normal83"/>
        <w:spacing w:line="240" w:lineRule="auto"/>
        <w:jc w:val="both"/>
        <w:textAlignment w:val="baseline"/>
        <w:rPr>
          <w:noProof/>
        </w:rPr>
      </w:pPr>
      <w:r>
        <w:rPr>
          <w:noProof/>
        </w:rPr>
        <w:t>Afin de permettre à la Commission d'accéder pleinement aux données pertinentes sous-jacentes, la Croatie met en place les dispositions suivantes: </w:t>
      </w:r>
    </w:p>
    <w:p w14:paraId="38A8FDE8" w14:textId="77777777" w:rsidR="00553430" w:rsidRDefault="00212577">
      <w:pPr>
        <w:pStyle w:val="P68B1DB1-Normal83"/>
        <w:spacing w:line="240" w:lineRule="auto"/>
        <w:jc w:val="both"/>
        <w:textAlignment w:val="baseline"/>
        <w:rPr>
          <w:noProof/>
        </w:rPr>
      </w:pPr>
      <w:r>
        <w:rPr>
          <w:noProof/>
        </w:rPr>
        <w:t xml:space="preserve">L’organisme central de coordination est chargé de la mise en œuvre globale des </w:t>
      </w:r>
      <w:r>
        <w:rPr>
          <w:noProof/>
        </w:rPr>
        <w:t>plans pour la reprise et la résilience, d’assurer la coordination avec les autres autorités compétentes du pays (y compris d’assurer la cohérence en ce qui concerne l’utilisation des autres fonds de l’Union), de suivre les progrès accomplis en ce qui conce</w:t>
      </w:r>
      <w:r>
        <w:rPr>
          <w:noProof/>
        </w:rPr>
        <w:t xml:space="preserve">rne les jalons et cibles et de fournir tous les rapports nécessaires. </w:t>
      </w:r>
    </w:p>
    <w:p w14:paraId="46216CF8" w14:textId="77777777" w:rsidR="00553430" w:rsidRDefault="00212577">
      <w:pPr>
        <w:pStyle w:val="P68B1DB1-Normal83"/>
        <w:spacing w:line="240" w:lineRule="auto"/>
        <w:jc w:val="both"/>
        <w:textAlignment w:val="baseline"/>
        <w:rPr>
          <w:noProof/>
        </w:rPr>
      </w:pPr>
      <w:r>
        <w:rPr>
          <w:noProof/>
        </w:rPr>
        <w:t>Dans l’exercice de ses fonctions, l’organisme de coordination s’appuie sur le système informatique eFondovi, utilisé pour le suivi des Fonds structurels et d’investissement européens, q</w:t>
      </w:r>
      <w:r>
        <w:rPr>
          <w:noProof/>
        </w:rPr>
        <w:t>ui est mis à niveau avec des fonctionnalités développées pour rendre compte des indicateurs qualitatifs et quantitatifs du plan pour la reprise et la résilience. Le système informatique permet de recueillir auprès des bénéficiaires du projet des informatio</w:t>
      </w:r>
      <w:r>
        <w:rPr>
          <w:noProof/>
        </w:rPr>
        <w:t>ns sur l’état d’avancement de la mise en œuvre des conventions de subvention. Les organismes d'exécution sont responsables de l'exactitude et de l'exhaustivité des données collectées. Des contrôles réguliers de la véracité et de l'exactitude des données so</w:t>
      </w:r>
      <w:r>
        <w:rPr>
          <w:noProof/>
        </w:rPr>
        <w:t>nt effectués par l'organisme de coordination en coopération avec le Fonds national.</w:t>
      </w:r>
    </w:p>
    <w:p w14:paraId="0B5E4F12" w14:textId="77777777" w:rsidR="00553430" w:rsidRDefault="00212577">
      <w:pPr>
        <w:pStyle w:val="P68B1DB1-Normal83"/>
        <w:jc w:val="both"/>
        <w:rPr>
          <w:noProof/>
        </w:rPr>
      </w:pPr>
      <w:r>
        <w:rPr>
          <w:noProof/>
        </w:rPr>
        <w:t>Conformément à l’article 24, paragraphe 2, du règlement (UE) 2021/241, lorsque les jalons et cibles pertinents convenus à la section 2.1 de la présente annexe sont atteints</w:t>
      </w:r>
      <w:r>
        <w:rPr>
          <w:noProof/>
        </w:rPr>
        <w:t>, la Croatie présente à la Commission une demande dûment justifiée de paiement de la contribution financière. La Croatie veille à ce que, sur demande, la Commission ait pleinement accès aux données pertinentes sous-jacentes qui étayent la justification app</w:t>
      </w:r>
      <w:r>
        <w:rPr>
          <w:noProof/>
        </w:rPr>
        <w:t>ropriée de la demande de paiement, tant pour l’évaluation de la demande de paiement conformément à l’article 24, paragraphe 3, du règlement (UE) 2021/241 qu’à des fins d’audit et de contrôle.</w:t>
      </w:r>
      <w:bookmarkEnd w:id="0"/>
    </w:p>
    <w:sectPr w:rsidR="00553430">
      <w:headerReference w:type="even" r:id="rId465"/>
      <w:headerReference w:type="default" r:id="rId466"/>
      <w:footerReference w:type="even" r:id="rId467"/>
      <w:footerReference w:type="default" r:id="rId468"/>
      <w:headerReference w:type="first" r:id="rId469"/>
      <w:footerReference w:type="first" r:id="rId470"/>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EDE5B7" w14:textId="77777777" w:rsidR="00066B4B" w:rsidRDefault="00066B4B">
      <w:pPr>
        <w:spacing w:after="0" w:line="240" w:lineRule="auto"/>
      </w:pPr>
      <w:r>
        <w:separator/>
      </w:r>
    </w:p>
  </w:endnote>
  <w:endnote w:type="continuationSeparator" w:id="0">
    <w:p w14:paraId="34E28811" w14:textId="77777777" w:rsidR="00066B4B" w:rsidRDefault="00066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Display">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ew Roman">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EC Square Sans Pro">
    <w:altName w:val="Segoe UI"/>
    <w:charset w:val="00"/>
    <w:family w:val="swiss"/>
    <w:pitch w:val="variable"/>
    <w:sig w:usb0="20000287" w:usb1="00000001" w:usb2="00000000" w:usb3="00000000" w:csb0="0000019F" w:csb1="00000000"/>
  </w:font>
  <w:font w:name="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77FF2" w14:textId="0A23C2B4" w:rsidR="00212577" w:rsidRPr="00212577" w:rsidRDefault="00212577" w:rsidP="00212577">
    <w:pPr>
      <w:pStyle w:val="FooterCoverPage"/>
      <w:rPr>
        <w:rFonts w:ascii="Arial" w:hAnsi="Arial" w:cs="Arial"/>
        <w:b/>
        <w:sz w:val="48"/>
      </w:rPr>
    </w:pPr>
    <w:r w:rsidRPr="00212577">
      <w:rPr>
        <w:rFonts w:ascii="Arial" w:hAnsi="Arial" w:cs="Arial"/>
        <w:b/>
        <w:sz w:val="48"/>
      </w:rPr>
      <w:t>FR</w:t>
    </w:r>
    <w:r w:rsidRPr="00212577">
      <w:rPr>
        <w:rFonts w:ascii="Arial" w:hAnsi="Arial" w:cs="Arial"/>
        <w:b/>
        <w:sz w:val="48"/>
      </w:rPr>
      <w:tab/>
    </w:r>
    <w:r w:rsidRPr="00212577">
      <w:rPr>
        <w:rFonts w:ascii="Arial" w:hAnsi="Arial" w:cs="Arial"/>
        <w:b/>
        <w:sz w:val="48"/>
      </w:rPr>
      <w:tab/>
    </w:r>
    <w:r w:rsidRPr="00212577">
      <w:tab/>
    </w:r>
    <w:r w:rsidRPr="0021257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4E715" w14:textId="58E0262B" w:rsidR="00212577" w:rsidRPr="00212577" w:rsidRDefault="00212577" w:rsidP="00212577">
    <w:pPr>
      <w:pStyle w:val="FooterCoverPage"/>
      <w:rPr>
        <w:rFonts w:ascii="Arial" w:hAnsi="Arial" w:cs="Arial"/>
        <w:b/>
        <w:sz w:val="48"/>
      </w:rPr>
    </w:pPr>
    <w:r w:rsidRPr="00212577">
      <w:rPr>
        <w:rFonts w:ascii="Arial" w:hAnsi="Arial" w:cs="Arial"/>
        <w:b/>
        <w:sz w:val="48"/>
      </w:rPr>
      <w:t>FR</w:t>
    </w:r>
    <w:r w:rsidRPr="00212577">
      <w:rPr>
        <w:rFonts w:ascii="Arial" w:hAnsi="Arial" w:cs="Arial"/>
        <w:b/>
        <w:sz w:val="48"/>
      </w:rPr>
      <w:tab/>
    </w:r>
    <w:r w:rsidRPr="00212577">
      <w:rPr>
        <w:rFonts w:ascii="Arial" w:hAnsi="Arial" w:cs="Arial"/>
        <w:b/>
        <w:sz w:val="48"/>
      </w:rPr>
      <w:tab/>
    </w:r>
    <w:r w:rsidRPr="00212577">
      <w:tab/>
    </w:r>
    <w:r w:rsidRPr="0021257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3110C" w14:textId="77777777" w:rsidR="00212577" w:rsidRPr="00212577" w:rsidRDefault="00212577" w:rsidP="0021257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7BBD1" w14:textId="77777777" w:rsidR="00553430" w:rsidRDefault="005534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2651314"/>
      <w:docPartObj>
        <w:docPartGallery w:val="Page Numbers (Bottom of Page)"/>
        <w:docPartUnique/>
      </w:docPartObj>
    </w:sdtPr>
    <w:sdtEndPr>
      <w:rPr>
        <w:noProof/>
      </w:rPr>
    </w:sdtEndPr>
    <w:sdtContent>
      <w:p w14:paraId="3C46B3CD" w14:textId="551BBB0A" w:rsidR="00553430" w:rsidRDefault="00212577">
        <w:pPr>
          <w:pStyle w:val="Footer"/>
          <w:jc w:val="center"/>
        </w:pPr>
        <w:r>
          <w:fldChar w:fldCharType="begin"/>
        </w:r>
        <w:r>
          <w:instrText xml:space="preserve"> PAGE   \* MERGEFORMAT </w:instrText>
        </w:r>
        <w:r>
          <w:fldChar w:fldCharType="separate"/>
        </w:r>
        <w:r>
          <w:rPr>
            <w:noProof/>
          </w:rPr>
          <w:t>8</w:t>
        </w:r>
        <w:r>
          <w:fldChar w:fldCharType="end"/>
        </w:r>
      </w:p>
    </w:sdtContent>
  </w:sdt>
  <w:p w14:paraId="141AB4DB" w14:textId="77777777" w:rsidR="00553430" w:rsidRDefault="0055343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CE703" w14:textId="77777777" w:rsidR="00553430" w:rsidRDefault="0055343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AA3E8" w14:textId="77777777" w:rsidR="00553430" w:rsidRDefault="0055343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9790053"/>
      <w:docPartObj>
        <w:docPartGallery w:val="Page Numbers (Bottom of Page)"/>
        <w:docPartUnique/>
      </w:docPartObj>
    </w:sdtPr>
    <w:sdtEndPr>
      <w:rPr>
        <w:noProof/>
      </w:rPr>
    </w:sdtEndPr>
    <w:sdtContent>
      <w:p w14:paraId="7978D470" w14:textId="5127280D" w:rsidR="00553430" w:rsidRDefault="00212577">
        <w:pPr>
          <w:pStyle w:val="Footer"/>
          <w:jc w:val="center"/>
        </w:pPr>
        <w:r>
          <w:fldChar w:fldCharType="begin"/>
        </w:r>
        <w:r>
          <w:instrText xml:space="preserve"> PAGE   \* MERGEFORMAT </w:instrText>
        </w:r>
        <w:r>
          <w:fldChar w:fldCharType="separate"/>
        </w:r>
        <w:r>
          <w:rPr>
            <w:noProof/>
          </w:rPr>
          <w:t>11</w:t>
        </w:r>
        <w:r>
          <w:fldChar w:fldCharType="end"/>
        </w:r>
      </w:p>
    </w:sdtContent>
  </w:sdt>
  <w:p w14:paraId="53D4AA3E" w14:textId="77777777" w:rsidR="00553430" w:rsidRDefault="00553430">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85C19" w14:textId="77777777" w:rsidR="00553430" w:rsidRDefault="0055343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B7D9E" w14:textId="77777777" w:rsidR="00553430" w:rsidRDefault="0055343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89766"/>
      <w:docPartObj>
        <w:docPartGallery w:val="Page Numbers (Bottom of Page)"/>
        <w:docPartUnique/>
      </w:docPartObj>
    </w:sdtPr>
    <w:sdtEndPr>
      <w:rPr>
        <w:noProof/>
      </w:rPr>
    </w:sdtEndPr>
    <w:sdtContent>
      <w:p w14:paraId="54B3B3F8" w14:textId="2BC35AFB"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3C163137" w14:textId="77777777" w:rsidR="00553430" w:rsidRDefault="00553430">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C29B6" w14:textId="77777777" w:rsidR="00553430" w:rsidRDefault="0055343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A0EFD" w14:textId="77777777" w:rsidR="00553430" w:rsidRDefault="0055343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195073"/>
      <w:docPartObj>
        <w:docPartGallery w:val="Page Numbers (Bottom of Page)"/>
        <w:docPartUnique/>
      </w:docPartObj>
    </w:sdtPr>
    <w:sdtEndPr>
      <w:rPr>
        <w:noProof/>
      </w:rPr>
    </w:sdtEndPr>
    <w:sdtContent>
      <w:p w14:paraId="2CCAB678" w14:textId="5A1CD6D7"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3EB0A35F" w14:textId="77777777" w:rsidR="00553430" w:rsidRDefault="00553430">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DD735" w14:textId="77777777" w:rsidR="00553430" w:rsidRDefault="0055343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E484F" w14:textId="77777777" w:rsidR="00553430" w:rsidRDefault="0055343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6759489"/>
      <w:docPartObj>
        <w:docPartGallery w:val="Page Numbers (Bottom of Page)"/>
        <w:docPartUnique/>
      </w:docPartObj>
    </w:sdtPr>
    <w:sdtEndPr>
      <w:rPr>
        <w:noProof/>
      </w:rPr>
    </w:sdtEndPr>
    <w:sdtContent>
      <w:p w14:paraId="51D74CC6" w14:textId="67BB0ADD"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0FEFA911" w14:textId="77777777" w:rsidR="00553430" w:rsidRDefault="00553430">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D4FD6" w14:textId="77777777" w:rsidR="00553430" w:rsidRDefault="0055343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AA4AF" w14:textId="77777777" w:rsidR="00553430" w:rsidRDefault="0055343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617164"/>
      <w:docPartObj>
        <w:docPartGallery w:val="Page Numbers (Bottom of Page)"/>
        <w:docPartUnique/>
      </w:docPartObj>
    </w:sdtPr>
    <w:sdtEndPr>
      <w:rPr>
        <w:noProof/>
      </w:rPr>
    </w:sdtEndPr>
    <w:sdtContent>
      <w:p w14:paraId="4B33DE88" w14:textId="013973C5"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66D4FFB6" w14:textId="77777777" w:rsidR="00553430" w:rsidRDefault="00553430">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8B006" w14:textId="77777777" w:rsidR="00553430" w:rsidRDefault="0055343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079FA" w14:textId="77777777" w:rsidR="00553430" w:rsidRDefault="0055343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3262360"/>
      <w:docPartObj>
        <w:docPartGallery w:val="Page Numbers (Bottom of Page)"/>
        <w:docPartUnique/>
      </w:docPartObj>
    </w:sdtPr>
    <w:sdtEndPr>
      <w:rPr>
        <w:noProof/>
      </w:rPr>
    </w:sdtEndPr>
    <w:sdtContent>
      <w:p w14:paraId="5E5B8138" w14:textId="69352B89"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15D9BEFA" w14:textId="77777777" w:rsidR="00553430" w:rsidRDefault="00553430">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1E49B" w14:textId="77777777" w:rsidR="00553430" w:rsidRDefault="0055343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61AD3" w14:textId="77777777" w:rsidR="00553430" w:rsidRDefault="0055343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443756"/>
      <w:docPartObj>
        <w:docPartGallery w:val="Page Numbers (Bottom of Page)"/>
        <w:docPartUnique/>
      </w:docPartObj>
    </w:sdtPr>
    <w:sdtEndPr>
      <w:rPr>
        <w:noProof/>
      </w:rPr>
    </w:sdtEndPr>
    <w:sdtContent>
      <w:p w14:paraId="43C0AD88" w14:textId="0CD65E90"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7B744260" w14:textId="77777777" w:rsidR="00553430" w:rsidRDefault="00553430">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4DAE6" w14:textId="77777777" w:rsidR="00553430" w:rsidRDefault="0055343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63395" w14:textId="77777777" w:rsidR="00553430" w:rsidRDefault="0055343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13338"/>
      <w:docPartObj>
        <w:docPartGallery w:val="Page Numbers (Bottom of Page)"/>
        <w:docPartUnique/>
      </w:docPartObj>
    </w:sdtPr>
    <w:sdtEndPr>
      <w:rPr>
        <w:noProof/>
      </w:rPr>
    </w:sdtEndPr>
    <w:sdtContent>
      <w:p w14:paraId="6D52910F" w14:textId="45A5ACE0"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75EC408E" w14:textId="77777777" w:rsidR="00553430" w:rsidRDefault="00553430">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9AE78" w14:textId="77777777" w:rsidR="00553430" w:rsidRDefault="0055343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C2C0B" w14:textId="77777777" w:rsidR="00553430" w:rsidRDefault="0055343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437232"/>
      <w:docPartObj>
        <w:docPartGallery w:val="Page Numbers (Bottom of Page)"/>
        <w:docPartUnique/>
      </w:docPartObj>
    </w:sdtPr>
    <w:sdtEndPr>
      <w:rPr>
        <w:noProof/>
      </w:rPr>
    </w:sdtEndPr>
    <w:sdtContent>
      <w:p w14:paraId="4F1A3EEE" w14:textId="4ED41C1A"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2E84236E" w14:textId="77777777" w:rsidR="00553430" w:rsidRDefault="00553430">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8B495" w14:textId="77777777" w:rsidR="00553430" w:rsidRDefault="0055343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01809" w14:textId="77777777" w:rsidR="00553430" w:rsidRDefault="0055343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2954922"/>
      <w:docPartObj>
        <w:docPartGallery w:val="Page Numbers (Bottom of Page)"/>
        <w:docPartUnique/>
      </w:docPartObj>
    </w:sdtPr>
    <w:sdtEndPr>
      <w:rPr>
        <w:noProof/>
      </w:rPr>
    </w:sdtEndPr>
    <w:sdtContent>
      <w:p w14:paraId="580EB404" w14:textId="0A20879E"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65513A70" w14:textId="77777777" w:rsidR="00553430" w:rsidRDefault="00553430">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D3ACB" w14:textId="77777777" w:rsidR="00553430" w:rsidRDefault="0055343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D1D5E" w14:textId="77777777" w:rsidR="00553430" w:rsidRDefault="0055343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7751606"/>
      <w:docPartObj>
        <w:docPartGallery w:val="Page Numbers (Bottom of Page)"/>
        <w:docPartUnique/>
      </w:docPartObj>
    </w:sdtPr>
    <w:sdtEndPr>
      <w:rPr>
        <w:noProof/>
      </w:rPr>
    </w:sdtEndPr>
    <w:sdtContent>
      <w:p w14:paraId="090582A5" w14:textId="1A0576F1"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63635AC4" w14:textId="77777777" w:rsidR="00553430" w:rsidRDefault="00553430">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17272" w14:textId="77777777" w:rsidR="00553430" w:rsidRDefault="0055343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DF4C9" w14:textId="77777777" w:rsidR="00553430" w:rsidRDefault="0055343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8201155"/>
      <w:docPartObj>
        <w:docPartGallery w:val="Page Numbers (Bottom of Page)"/>
        <w:docPartUnique/>
      </w:docPartObj>
    </w:sdtPr>
    <w:sdtEndPr>
      <w:rPr>
        <w:noProof/>
      </w:rPr>
    </w:sdtEndPr>
    <w:sdtContent>
      <w:p w14:paraId="3D65C29F" w14:textId="561CF8ED"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7CDA3D8D" w14:textId="77777777" w:rsidR="00553430" w:rsidRDefault="00553430">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BFA96" w14:textId="77777777" w:rsidR="00553430" w:rsidRDefault="0055343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07FE4" w14:textId="77777777" w:rsidR="00553430" w:rsidRDefault="0055343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8500331"/>
      <w:docPartObj>
        <w:docPartGallery w:val="Page Numbers (Bottom of Page)"/>
        <w:docPartUnique/>
      </w:docPartObj>
    </w:sdtPr>
    <w:sdtEndPr>
      <w:rPr>
        <w:noProof/>
      </w:rPr>
    </w:sdtEndPr>
    <w:sdtContent>
      <w:p w14:paraId="2F81B243" w14:textId="73CB2500"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1846555A" w14:textId="77777777" w:rsidR="00553430" w:rsidRDefault="00553430">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948FB" w14:textId="77777777" w:rsidR="00553430" w:rsidRDefault="0055343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F1EC9" w14:textId="77777777" w:rsidR="00553430" w:rsidRDefault="0055343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951687"/>
      <w:docPartObj>
        <w:docPartGallery w:val="Page Numbers (Bottom of Page)"/>
        <w:docPartUnique/>
      </w:docPartObj>
    </w:sdtPr>
    <w:sdtEndPr>
      <w:rPr>
        <w:noProof/>
      </w:rPr>
    </w:sdtEndPr>
    <w:sdtContent>
      <w:p w14:paraId="46815C88" w14:textId="7FDAA02E"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55BA9B37" w14:textId="77777777" w:rsidR="00553430" w:rsidRDefault="00553430">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28FA7" w14:textId="77777777" w:rsidR="00553430" w:rsidRDefault="0055343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306EF" w14:textId="77777777" w:rsidR="00553430" w:rsidRDefault="0055343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1379139"/>
      <w:docPartObj>
        <w:docPartGallery w:val="Page Numbers (Bottom of Page)"/>
        <w:docPartUnique/>
      </w:docPartObj>
    </w:sdtPr>
    <w:sdtEndPr>
      <w:rPr>
        <w:noProof/>
      </w:rPr>
    </w:sdtEndPr>
    <w:sdtContent>
      <w:p w14:paraId="0E277538" w14:textId="40C2316F"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247103FC" w14:textId="77777777" w:rsidR="00553430" w:rsidRDefault="00553430">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0E5A1" w14:textId="77777777" w:rsidR="00553430" w:rsidRDefault="0055343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857B9" w14:textId="77777777" w:rsidR="00553430" w:rsidRDefault="0055343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7168364"/>
      <w:docPartObj>
        <w:docPartGallery w:val="Page Numbers (Bottom of Page)"/>
        <w:docPartUnique/>
      </w:docPartObj>
    </w:sdtPr>
    <w:sdtEndPr>
      <w:rPr>
        <w:noProof/>
      </w:rPr>
    </w:sdtEndPr>
    <w:sdtContent>
      <w:p w14:paraId="25748800" w14:textId="3875D017"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1B350F78" w14:textId="77777777" w:rsidR="00553430" w:rsidRDefault="00553430">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69F42" w14:textId="77777777" w:rsidR="00553430" w:rsidRDefault="0055343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EFA83" w14:textId="77777777" w:rsidR="00553430" w:rsidRDefault="0055343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358007"/>
      <w:docPartObj>
        <w:docPartGallery w:val="Page Numbers (Bottom of Page)"/>
        <w:docPartUnique/>
      </w:docPartObj>
    </w:sdtPr>
    <w:sdtEndPr>
      <w:rPr>
        <w:noProof/>
      </w:rPr>
    </w:sdtEndPr>
    <w:sdtContent>
      <w:p w14:paraId="60A249D9" w14:textId="59FE257A"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3F019AAA" w14:textId="77777777" w:rsidR="00553430" w:rsidRDefault="00553430">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6E870" w14:textId="77777777" w:rsidR="00553430" w:rsidRDefault="0055343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0878D" w14:textId="77777777" w:rsidR="00553430" w:rsidRDefault="0055343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585879"/>
      <w:docPartObj>
        <w:docPartGallery w:val="Page Numbers (Bottom of Page)"/>
        <w:docPartUnique/>
      </w:docPartObj>
    </w:sdtPr>
    <w:sdtEndPr>
      <w:rPr>
        <w:noProof/>
      </w:rPr>
    </w:sdtEndPr>
    <w:sdtContent>
      <w:p w14:paraId="7D835F59" w14:textId="1D5463E3"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103336E0" w14:textId="77777777" w:rsidR="00553430" w:rsidRDefault="00553430">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E2A73" w14:textId="77777777" w:rsidR="00553430" w:rsidRDefault="0055343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7E35C" w14:textId="77777777" w:rsidR="00553430" w:rsidRDefault="0055343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6722001"/>
      <w:docPartObj>
        <w:docPartGallery w:val="Page Numbers (Bottom of Page)"/>
        <w:docPartUnique/>
      </w:docPartObj>
    </w:sdtPr>
    <w:sdtEndPr>
      <w:rPr>
        <w:noProof/>
      </w:rPr>
    </w:sdtEndPr>
    <w:sdtContent>
      <w:p w14:paraId="7A427DB8" w14:textId="03405F38"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75CB8F3F" w14:textId="77777777" w:rsidR="00553430" w:rsidRDefault="00553430">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C013D" w14:textId="77777777" w:rsidR="00553430" w:rsidRDefault="0055343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51291" w14:textId="77777777" w:rsidR="00553430" w:rsidRDefault="0055343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34538"/>
      <w:docPartObj>
        <w:docPartGallery w:val="Page Numbers (Bottom of Page)"/>
        <w:docPartUnique/>
      </w:docPartObj>
    </w:sdtPr>
    <w:sdtEndPr>
      <w:rPr>
        <w:noProof/>
      </w:rPr>
    </w:sdtEndPr>
    <w:sdtContent>
      <w:p w14:paraId="07FDF8BE" w14:textId="6EDBC0F7"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0C83DCDB" w14:textId="77777777" w:rsidR="00553430" w:rsidRDefault="00553430">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0145B" w14:textId="77777777" w:rsidR="00553430" w:rsidRDefault="0055343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67EB9" w14:textId="77777777" w:rsidR="00553430" w:rsidRDefault="0055343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6214177"/>
      <w:docPartObj>
        <w:docPartGallery w:val="Page Numbers (Bottom of Page)"/>
        <w:docPartUnique/>
      </w:docPartObj>
    </w:sdtPr>
    <w:sdtEndPr>
      <w:rPr>
        <w:noProof/>
      </w:rPr>
    </w:sdtEndPr>
    <w:sdtContent>
      <w:p w14:paraId="16E0865D" w14:textId="158880D7"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110177E1" w14:textId="77777777" w:rsidR="00553430" w:rsidRDefault="00553430">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7CE00" w14:textId="77777777" w:rsidR="00553430" w:rsidRDefault="0055343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712A3" w14:textId="77777777" w:rsidR="00553430" w:rsidRDefault="0055343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7249589"/>
      <w:docPartObj>
        <w:docPartGallery w:val="Page Numbers (Bottom of Page)"/>
        <w:docPartUnique/>
      </w:docPartObj>
    </w:sdtPr>
    <w:sdtEndPr>
      <w:rPr>
        <w:noProof/>
      </w:rPr>
    </w:sdtEndPr>
    <w:sdtContent>
      <w:p w14:paraId="3290F882" w14:textId="6335CE1D"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33A4BCBF" w14:textId="77777777" w:rsidR="00553430" w:rsidRDefault="00553430">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307B9" w14:textId="77777777" w:rsidR="00553430" w:rsidRDefault="0055343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70336" w14:textId="77777777" w:rsidR="00553430" w:rsidRDefault="0055343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7901691"/>
      <w:docPartObj>
        <w:docPartGallery w:val="Page Numbers (Bottom of Page)"/>
        <w:docPartUnique/>
      </w:docPartObj>
    </w:sdtPr>
    <w:sdtEndPr>
      <w:rPr>
        <w:noProof/>
      </w:rPr>
    </w:sdtEndPr>
    <w:sdtContent>
      <w:p w14:paraId="610127BB" w14:textId="58859F7F"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654B02D6" w14:textId="77777777" w:rsidR="00553430" w:rsidRDefault="00553430">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C0819" w14:textId="77777777" w:rsidR="00553430" w:rsidRDefault="00553430">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B1E71" w14:textId="77777777" w:rsidR="00553430" w:rsidRDefault="00553430">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424708"/>
      <w:docPartObj>
        <w:docPartGallery w:val="Page Numbers (Bottom of Page)"/>
        <w:docPartUnique/>
      </w:docPartObj>
    </w:sdtPr>
    <w:sdtEndPr>
      <w:rPr>
        <w:noProof/>
      </w:rPr>
    </w:sdtEndPr>
    <w:sdtContent>
      <w:p w14:paraId="23B3AE23" w14:textId="6CCE2A9E"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04AE1251" w14:textId="77777777" w:rsidR="00553430" w:rsidRDefault="00553430">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0031A" w14:textId="77777777" w:rsidR="00553430" w:rsidRDefault="00553430">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62256" w14:textId="77777777" w:rsidR="00553430" w:rsidRDefault="00553430">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8873533"/>
      <w:docPartObj>
        <w:docPartGallery w:val="Page Numbers (Bottom of Page)"/>
        <w:docPartUnique/>
      </w:docPartObj>
    </w:sdtPr>
    <w:sdtEndPr>
      <w:rPr>
        <w:noProof/>
      </w:rPr>
    </w:sdtEndPr>
    <w:sdtContent>
      <w:p w14:paraId="6F5F2DB1" w14:textId="182D1AE2"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1D314AE4" w14:textId="77777777" w:rsidR="00553430" w:rsidRDefault="00553430">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608D1" w14:textId="77777777" w:rsidR="00553430" w:rsidRDefault="00553430">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01EB0" w14:textId="77777777" w:rsidR="00553430" w:rsidRDefault="00553430">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3097832"/>
      <w:docPartObj>
        <w:docPartGallery w:val="Page Numbers (Bottom of Page)"/>
        <w:docPartUnique/>
      </w:docPartObj>
    </w:sdtPr>
    <w:sdtEndPr>
      <w:rPr>
        <w:noProof/>
      </w:rPr>
    </w:sdtEndPr>
    <w:sdtContent>
      <w:p w14:paraId="23C90B24" w14:textId="2CF8C816" w:rsidR="00553430" w:rsidRDefault="00212577">
        <w:pPr>
          <w:pStyle w:val="Footer"/>
          <w:jc w:val="center"/>
        </w:pPr>
        <w:r>
          <w:fldChar w:fldCharType="begin"/>
        </w:r>
        <w:r>
          <w:instrText xml:space="preserve"> PAGE   \</w:instrText>
        </w:r>
        <w:r>
          <w:instrText xml:space="preserve">* MERGEFORMAT </w:instrText>
        </w:r>
        <w:r>
          <w:fldChar w:fldCharType="separate"/>
        </w:r>
        <w:r>
          <w:t>2</w:t>
        </w:r>
        <w:r>
          <w:fldChar w:fldCharType="end"/>
        </w:r>
      </w:p>
    </w:sdtContent>
  </w:sdt>
  <w:p w14:paraId="467F51B3" w14:textId="77777777" w:rsidR="00553430" w:rsidRDefault="00553430">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7D301" w14:textId="77777777" w:rsidR="00553430" w:rsidRDefault="00553430">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4A2C9" w14:textId="77777777" w:rsidR="00553430" w:rsidRDefault="00553430">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4319168"/>
      <w:docPartObj>
        <w:docPartGallery w:val="Page Numbers (Bottom of Page)"/>
        <w:docPartUnique/>
      </w:docPartObj>
    </w:sdtPr>
    <w:sdtEndPr>
      <w:rPr>
        <w:noProof/>
      </w:rPr>
    </w:sdtEndPr>
    <w:sdtContent>
      <w:p w14:paraId="61EA0AB4" w14:textId="11578762"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34A559E5" w14:textId="77777777" w:rsidR="00553430" w:rsidRDefault="00553430">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176D1" w14:textId="77777777" w:rsidR="00553430" w:rsidRDefault="00553430">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C06F2" w14:textId="77777777" w:rsidR="00553430" w:rsidRDefault="00553430">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48401"/>
      <w:docPartObj>
        <w:docPartGallery w:val="Page Numbers (Bottom of Page)"/>
        <w:docPartUnique/>
      </w:docPartObj>
    </w:sdtPr>
    <w:sdtEndPr>
      <w:rPr>
        <w:noProof/>
      </w:rPr>
    </w:sdtEndPr>
    <w:sdtContent>
      <w:p w14:paraId="2A2D4D17" w14:textId="5B845A1E"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71666CA2" w14:textId="77777777" w:rsidR="00553430" w:rsidRDefault="00553430">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294A7" w14:textId="77777777" w:rsidR="00553430" w:rsidRDefault="00553430">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77F06" w14:textId="77777777" w:rsidR="00553430" w:rsidRDefault="00553430">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9030464"/>
      <w:docPartObj>
        <w:docPartGallery w:val="Page Numbers (Bottom of Page)"/>
        <w:docPartUnique/>
      </w:docPartObj>
    </w:sdtPr>
    <w:sdtEndPr>
      <w:rPr>
        <w:noProof/>
      </w:rPr>
    </w:sdtEndPr>
    <w:sdtContent>
      <w:p w14:paraId="5F579920" w14:textId="30E545C6"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75990BC7" w14:textId="77777777" w:rsidR="00553430" w:rsidRDefault="00553430">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B7A08" w14:textId="77777777" w:rsidR="00553430" w:rsidRDefault="00553430">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AD632" w14:textId="77777777" w:rsidR="00553430" w:rsidRDefault="00553430">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8885601"/>
      <w:docPartObj>
        <w:docPartGallery w:val="Page Numbers (Bottom of Page)"/>
        <w:docPartUnique/>
      </w:docPartObj>
    </w:sdtPr>
    <w:sdtEndPr>
      <w:rPr>
        <w:noProof/>
      </w:rPr>
    </w:sdtEndPr>
    <w:sdtContent>
      <w:p w14:paraId="398D6916" w14:textId="1A705361"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7B9A4D19" w14:textId="77777777" w:rsidR="00553430" w:rsidRDefault="00553430">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A5DA1" w14:textId="77777777" w:rsidR="00553430" w:rsidRDefault="00553430">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9035D" w14:textId="77777777" w:rsidR="00553430" w:rsidRDefault="00553430">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2855117"/>
      <w:docPartObj>
        <w:docPartGallery w:val="Page Numbers (Bottom of Page)"/>
        <w:docPartUnique/>
      </w:docPartObj>
    </w:sdtPr>
    <w:sdtEndPr>
      <w:rPr>
        <w:noProof/>
      </w:rPr>
    </w:sdtEndPr>
    <w:sdtContent>
      <w:p w14:paraId="72E9E93E" w14:textId="4F98CEAD"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67DF3D97" w14:textId="77777777" w:rsidR="00553430" w:rsidRDefault="00553430">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6FA5B" w14:textId="77777777" w:rsidR="00553430" w:rsidRDefault="00553430">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F8BA1" w14:textId="77777777" w:rsidR="00553430" w:rsidRDefault="00553430">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7725525"/>
      <w:docPartObj>
        <w:docPartGallery w:val="Page Numbers (Bottom of Page)"/>
        <w:docPartUnique/>
      </w:docPartObj>
    </w:sdtPr>
    <w:sdtEndPr>
      <w:rPr>
        <w:noProof/>
      </w:rPr>
    </w:sdtEndPr>
    <w:sdtContent>
      <w:p w14:paraId="2A83D80B" w14:textId="75098278"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5F5AAF08" w14:textId="77777777" w:rsidR="00553430" w:rsidRDefault="00553430">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9E6C1" w14:textId="77777777" w:rsidR="00553430" w:rsidRDefault="00553430">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0C2DD" w14:textId="77777777" w:rsidR="00553430" w:rsidRDefault="00553430">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4445942"/>
      <w:docPartObj>
        <w:docPartGallery w:val="Page Numbers (Bottom of Page)"/>
        <w:docPartUnique/>
      </w:docPartObj>
    </w:sdtPr>
    <w:sdtEndPr>
      <w:rPr>
        <w:noProof/>
      </w:rPr>
    </w:sdtEndPr>
    <w:sdtContent>
      <w:p w14:paraId="4695DDE1" w14:textId="2EB09A7F"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41A530BD" w14:textId="77777777" w:rsidR="00553430" w:rsidRDefault="00553430">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EE855" w14:textId="77777777" w:rsidR="00553430" w:rsidRDefault="00553430">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C387F" w14:textId="77777777" w:rsidR="00553430" w:rsidRDefault="00553430">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8059459"/>
      <w:docPartObj>
        <w:docPartGallery w:val="Page Numbers (Bottom of Page)"/>
        <w:docPartUnique/>
      </w:docPartObj>
    </w:sdtPr>
    <w:sdtEndPr>
      <w:rPr>
        <w:noProof/>
      </w:rPr>
    </w:sdtEndPr>
    <w:sdtContent>
      <w:p w14:paraId="525C2C85" w14:textId="449E54F6"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59BA835F" w14:textId="77777777" w:rsidR="00553430" w:rsidRDefault="00553430">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3ACB8" w14:textId="77777777" w:rsidR="00553430" w:rsidRDefault="00553430">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4328B" w14:textId="77777777" w:rsidR="00553430" w:rsidRDefault="00553430">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1180481"/>
      <w:docPartObj>
        <w:docPartGallery w:val="Page Numbers (Bottom of Page)"/>
        <w:docPartUnique/>
      </w:docPartObj>
    </w:sdtPr>
    <w:sdtEndPr>
      <w:rPr>
        <w:noProof/>
      </w:rPr>
    </w:sdtEndPr>
    <w:sdtContent>
      <w:p w14:paraId="38DCFAC2" w14:textId="667D2461"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350BFC2D" w14:textId="77777777" w:rsidR="00553430" w:rsidRDefault="00553430">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B8DA9" w14:textId="77777777" w:rsidR="00553430" w:rsidRDefault="00553430">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5BEC0" w14:textId="77777777" w:rsidR="00553430" w:rsidRDefault="00553430">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466850"/>
      <w:docPartObj>
        <w:docPartGallery w:val="Page Numbers (Bottom of Page)"/>
        <w:docPartUnique/>
      </w:docPartObj>
    </w:sdtPr>
    <w:sdtEndPr>
      <w:rPr>
        <w:noProof/>
      </w:rPr>
    </w:sdtEndPr>
    <w:sdtContent>
      <w:p w14:paraId="59B40891" w14:textId="1A0FD3BD" w:rsidR="00553430" w:rsidRDefault="00212577">
        <w:pPr>
          <w:pStyle w:val="Footer"/>
          <w:jc w:val="center"/>
        </w:pPr>
        <w:r>
          <w:fldChar w:fldCharType="begin"/>
        </w:r>
        <w:r>
          <w:instrText xml:space="preserve"> </w:instrText>
        </w:r>
        <w:r>
          <w:instrText xml:space="preserve">PAGE   \* MERGEFORMAT </w:instrText>
        </w:r>
        <w:r>
          <w:fldChar w:fldCharType="separate"/>
        </w:r>
        <w:r>
          <w:t>2</w:t>
        </w:r>
        <w:r>
          <w:fldChar w:fldCharType="end"/>
        </w:r>
      </w:p>
    </w:sdtContent>
  </w:sdt>
  <w:p w14:paraId="39298188" w14:textId="77777777" w:rsidR="00553430" w:rsidRDefault="00553430">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523EA" w14:textId="77777777" w:rsidR="00553430" w:rsidRDefault="00553430">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C6E97" w14:textId="77777777" w:rsidR="00553430" w:rsidRDefault="00553430">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2621592"/>
      <w:docPartObj>
        <w:docPartGallery w:val="Page Numbers (Bottom of Page)"/>
        <w:docPartUnique/>
      </w:docPartObj>
    </w:sdtPr>
    <w:sdtEndPr>
      <w:rPr>
        <w:noProof/>
      </w:rPr>
    </w:sdtEndPr>
    <w:sdtContent>
      <w:p w14:paraId="51CEAF06" w14:textId="729324C1"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33ED818A" w14:textId="77777777" w:rsidR="00553430" w:rsidRDefault="00553430">
    <w:pPr>
      <w:pStyle w:val="FooterCouncil"/>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D8211" w14:textId="77777777" w:rsidR="00553430" w:rsidRDefault="00553430">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37158" w14:textId="77777777" w:rsidR="00553430" w:rsidRDefault="00553430">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0808024"/>
      <w:docPartObj>
        <w:docPartGallery w:val="Page Numbers (Bottom of Page)"/>
        <w:docPartUnique/>
      </w:docPartObj>
    </w:sdtPr>
    <w:sdtEndPr>
      <w:rPr>
        <w:noProof/>
      </w:rPr>
    </w:sdtEndPr>
    <w:sdtContent>
      <w:p w14:paraId="3C958451" w14:textId="3291EEA9"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71479AB4" w14:textId="77777777" w:rsidR="00553430" w:rsidRDefault="00553430">
    <w:pPr>
      <w:pStyle w:val="FooterCouncil"/>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CFF75" w14:textId="77777777" w:rsidR="00553430" w:rsidRDefault="00553430">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CC69A" w14:textId="77777777" w:rsidR="00553430" w:rsidRDefault="00553430">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6938873"/>
      <w:docPartObj>
        <w:docPartGallery w:val="Page Numbers (Bottom of Page)"/>
        <w:docPartUnique/>
      </w:docPartObj>
    </w:sdtPr>
    <w:sdtEndPr>
      <w:rPr>
        <w:noProof/>
      </w:rPr>
    </w:sdtEndPr>
    <w:sdtContent>
      <w:p w14:paraId="144632B8" w14:textId="2AA8AEC1"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3630AE40" w14:textId="77777777" w:rsidR="00553430" w:rsidRDefault="00553430">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DF3C6" w14:textId="77777777" w:rsidR="00553430" w:rsidRDefault="00553430">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857ED" w14:textId="77777777" w:rsidR="00553430" w:rsidRDefault="00553430">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2802112"/>
      <w:docPartObj>
        <w:docPartGallery w:val="Page Numbers (Bottom of Page)"/>
        <w:docPartUnique/>
      </w:docPartObj>
    </w:sdtPr>
    <w:sdtEndPr>
      <w:rPr>
        <w:noProof/>
      </w:rPr>
    </w:sdtEndPr>
    <w:sdtContent>
      <w:p w14:paraId="40A28830" w14:textId="5C4176FA"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36A319E0" w14:textId="77777777" w:rsidR="00553430" w:rsidRDefault="00553430">
    <w:pPr>
      <w:pStyle w:val="FooterCouncil"/>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1C824" w14:textId="77777777" w:rsidR="00553430" w:rsidRDefault="00553430">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A4F78" w14:textId="77777777" w:rsidR="00553430" w:rsidRDefault="00553430">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2178803"/>
      <w:docPartObj>
        <w:docPartGallery w:val="Page Numbers (Bottom of Page)"/>
        <w:docPartUnique/>
      </w:docPartObj>
    </w:sdtPr>
    <w:sdtEndPr>
      <w:rPr>
        <w:noProof/>
      </w:rPr>
    </w:sdtEndPr>
    <w:sdtContent>
      <w:p w14:paraId="64AC735E" w14:textId="42B0E10E"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7F06BBCF" w14:textId="77777777" w:rsidR="00553430" w:rsidRDefault="00553430">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699D6" w14:textId="77777777" w:rsidR="00553430" w:rsidRDefault="00553430">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AA74A" w14:textId="77777777" w:rsidR="00553430" w:rsidRDefault="00553430">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6499088"/>
      <w:docPartObj>
        <w:docPartGallery w:val="Page Numbers (Bottom of Page)"/>
        <w:docPartUnique/>
      </w:docPartObj>
    </w:sdtPr>
    <w:sdtEndPr>
      <w:rPr>
        <w:noProof/>
      </w:rPr>
    </w:sdtEndPr>
    <w:sdtContent>
      <w:p w14:paraId="432924B2" w14:textId="25289178"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05F1A0CF" w14:textId="77777777" w:rsidR="00553430" w:rsidRDefault="00553430">
    <w:pPr>
      <w:pStyle w:val="FooterCouncil"/>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95070" w14:textId="77777777" w:rsidR="00553430" w:rsidRDefault="00553430">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C2CD" w14:textId="77777777" w:rsidR="00553430" w:rsidRDefault="00553430">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4905552"/>
      <w:docPartObj>
        <w:docPartGallery w:val="Page Numbers (Bottom of Page)"/>
        <w:docPartUnique/>
      </w:docPartObj>
    </w:sdtPr>
    <w:sdtEndPr>
      <w:rPr>
        <w:noProof/>
      </w:rPr>
    </w:sdtEndPr>
    <w:sdtContent>
      <w:p w14:paraId="16A34D2D" w14:textId="192B0EF0"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2935181D" w14:textId="77777777" w:rsidR="00553430" w:rsidRDefault="00553430">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9BDAC" w14:textId="77777777" w:rsidR="00553430" w:rsidRDefault="00553430">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CE89F" w14:textId="77777777" w:rsidR="00553430" w:rsidRDefault="00553430">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403779"/>
      <w:docPartObj>
        <w:docPartGallery w:val="Page Numbers (Bottom of Page)"/>
        <w:docPartUnique/>
      </w:docPartObj>
    </w:sdtPr>
    <w:sdtEndPr>
      <w:rPr>
        <w:noProof/>
      </w:rPr>
    </w:sdtEndPr>
    <w:sdtContent>
      <w:p w14:paraId="5D58B924" w14:textId="3401ED17"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3BAD6541" w14:textId="77777777" w:rsidR="00553430" w:rsidRDefault="00553430">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D829B" w14:textId="77777777" w:rsidR="00553430" w:rsidRDefault="00553430">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4D150" w14:textId="77777777" w:rsidR="00553430" w:rsidRDefault="00553430">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101391"/>
      <w:docPartObj>
        <w:docPartGallery w:val="Page Numbers (Bottom of Page)"/>
        <w:docPartUnique/>
      </w:docPartObj>
    </w:sdtPr>
    <w:sdtEndPr>
      <w:rPr>
        <w:noProof/>
      </w:rPr>
    </w:sdtEndPr>
    <w:sdtContent>
      <w:p w14:paraId="49D15D38" w14:textId="41A22C87"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3A285716" w14:textId="77777777" w:rsidR="00553430" w:rsidRDefault="00553430">
    <w:pPr>
      <w:pStyle w:val="FooterCouncil"/>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AF3F3" w14:textId="77777777" w:rsidR="00553430" w:rsidRDefault="00553430">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6FAC3" w14:textId="77777777" w:rsidR="00553430" w:rsidRDefault="00553430">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77062"/>
      <w:docPartObj>
        <w:docPartGallery w:val="Page Numbers (Bottom of Page)"/>
        <w:docPartUnique/>
      </w:docPartObj>
    </w:sdtPr>
    <w:sdtEndPr>
      <w:rPr>
        <w:noProof/>
      </w:rPr>
    </w:sdtEndPr>
    <w:sdtContent>
      <w:p w14:paraId="57CB00B4" w14:textId="6DDE1F39" w:rsidR="00553430" w:rsidRDefault="00212577">
        <w:pPr>
          <w:pStyle w:val="Footer"/>
          <w:jc w:val="center"/>
        </w:pPr>
        <w:r>
          <w:fldChar w:fldCharType="begin"/>
        </w:r>
        <w:r>
          <w:instrText xml:space="preserve"> PAGE   \* MERGEFORMA</w:instrText>
        </w:r>
        <w:r>
          <w:instrText xml:space="preserve">T </w:instrText>
        </w:r>
        <w:r>
          <w:fldChar w:fldCharType="separate"/>
        </w:r>
        <w:r>
          <w:t>2</w:t>
        </w:r>
        <w:r>
          <w:fldChar w:fldCharType="end"/>
        </w:r>
      </w:p>
    </w:sdtContent>
  </w:sdt>
  <w:p w14:paraId="7286183C" w14:textId="77777777" w:rsidR="00553430" w:rsidRDefault="00553430">
    <w:pPr>
      <w:pStyle w:val="FooterCouncil"/>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59468" w14:textId="77777777" w:rsidR="00553430" w:rsidRDefault="00553430">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6609E" w14:textId="77777777" w:rsidR="00553430" w:rsidRDefault="00553430">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5539983"/>
      <w:docPartObj>
        <w:docPartGallery w:val="Page Numbers (Bottom of Page)"/>
        <w:docPartUnique/>
      </w:docPartObj>
    </w:sdtPr>
    <w:sdtEndPr>
      <w:rPr>
        <w:noProof/>
      </w:rPr>
    </w:sdtEndPr>
    <w:sdtContent>
      <w:p w14:paraId="100C0CBF" w14:textId="4B4F33AA"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2903D3BB" w14:textId="77777777" w:rsidR="00553430" w:rsidRDefault="00553430">
    <w:pPr>
      <w:pStyle w:val="FooterCouncil"/>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5CD99" w14:textId="77777777" w:rsidR="00553430" w:rsidRDefault="00553430">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31A1B" w14:textId="77777777" w:rsidR="00553430" w:rsidRDefault="00553430">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6182530"/>
      <w:docPartObj>
        <w:docPartGallery w:val="Page Numbers (Bottom of Page)"/>
        <w:docPartUnique/>
      </w:docPartObj>
    </w:sdtPr>
    <w:sdtEndPr>
      <w:rPr>
        <w:noProof/>
      </w:rPr>
    </w:sdtEndPr>
    <w:sdtContent>
      <w:p w14:paraId="435329C0" w14:textId="3B051BE5"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7741735E" w14:textId="77777777" w:rsidR="00553430" w:rsidRDefault="00553430">
    <w:pPr>
      <w:pStyle w:val="FooterCouncil"/>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62B0D" w14:textId="77777777" w:rsidR="00553430" w:rsidRDefault="00553430">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30B3E" w14:textId="77777777" w:rsidR="00553430" w:rsidRDefault="00553430">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0258320"/>
      <w:docPartObj>
        <w:docPartGallery w:val="Page Numbers (Bottom of Page)"/>
        <w:docPartUnique/>
      </w:docPartObj>
    </w:sdtPr>
    <w:sdtEndPr>
      <w:rPr>
        <w:noProof/>
      </w:rPr>
    </w:sdtEndPr>
    <w:sdtContent>
      <w:p w14:paraId="051A5EBA" w14:textId="62A13898"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1824277A" w14:textId="77777777" w:rsidR="00553430" w:rsidRDefault="00553430">
    <w:pPr>
      <w:pStyle w:val="FooterCouncil"/>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04E44" w14:textId="77777777" w:rsidR="00553430" w:rsidRDefault="00553430">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13217" w14:textId="77777777" w:rsidR="00553430" w:rsidRDefault="00553430">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3502062"/>
      <w:docPartObj>
        <w:docPartGallery w:val="Page Numbers (Bottom of Page)"/>
        <w:docPartUnique/>
      </w:docPartObj>
    </w:sdtPr>
    <w:sdtEndPr>
      <w:rPr>
        <w:noProof/>
      </w:rPr>
    </w:sdtEndPr>
    <w:sdtContent>
      <w:p w14:paraId="3AC69E93" w14:textId="6D8FE4D5"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6F08BAF9" w14:textId="77777777" w:rsidR="00553430" w:rsidRDefault="00553430">
    <w:pPr>
      <w:pStyle w:val="FooterCouncil"/>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8070F" w14:textId="77777777" w:rsidR="00553430" w:rsidRDefault="00553430">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74DB1" w14:textId="77777777" w:rsidR="00553430" w:rsidRDefault="00553430">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645128"/>
      <w:docPartObj>
        <w:docPartGallery w:val="Page Numbers (Bottom of Page)"/>
        <w:docPartUnique/>
      </w:docPartObj>
    </w:sdtPr>
    <w:sdtEndPr>
      <w:rPr>
        <w:noProof/>
      </w:rPr>
    </w:sdtEndPr>
    <w:sdtContent>
      <w:p w14:paraId="605E428F" w14:textId="06549254"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5FB8DA9B" w14:textId="77777777" w:rsidR="00553430" w:rsidRDefault="00553430">
    <w:pPr>
      <w:pStyle w:val="FooterCouncil"/>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43BC8" w14:textId="77777777" w:rsidR="00553430" w:rsidRDefault="00553430">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14001" w14:textId="77777777" w:rsidR="00553430" w:rsidRDefault="00553430">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6273475"/>
      <w:docPartObj>
        <w:docPartGallery w:val="Page Numbers (Bottom of Page)"/>
        <w:docPartUnique/>
      </w:docPartObj>
    </w:sdtPr>
    <w:sdtEndPr>
      <w:rPr>
        <w:noProof/>
      </w:rPr>
    </w:sdtEndPr>
    <w:sdtContent>
      <w:p w14:paraId="6F1FAD11" w14:textId="1FF41EBE"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65F6117F" w14:textId="77777777" w:rsidR="00553430" w:rsidRDefault="00553430">
    <w:pPr>
      <w:pStyle w:val="FooterCouncil"/>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79CFE" w14:textId="77777777" w:rsidR="00553430" w:rsidRDefault="00553430">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7D485" w14:textId="77777777" w:rsidR="00553430" w:rsidRDefault="00553430">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2139395"/>
      <w:docPartObj>
        <w:docPartGallery w:val="Page Numbers (Bottom of Page)"/>
        <w:docPartUnique/>
      </w:docPartObj>
    </w:sdtPr>
    <w:sdtEndPr>
      <w:rPr>
        <w:noProof/>
      </w:rPr>
    </w:sdtEndPr>
    <w:sdtContent>
      <w:p w14:paraId="535A3C21" w14:textId="2334A747"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0372EA23" w14:textId="77777777" w:rsidR="00553430" w:rsidRDefault="00553430">
    <w:pPr>
      <w:pStyle w:val="FooterCouncil"/>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A848A" w14:textId="77777777" w:rsidR="00553430" w:rsidRDefault="00553430">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C4C40" w14:textId="77777777" w:rsidR="00553430" w:rsidRDefault="00553430">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945525"/>
      <w:docPartObj>
        <w:docPartGallery w:val="Page Numbers (Bottom of Page)"/>
        <w:docPartUnique/>
      </w:docPartObj>
    </w:sdtPr>
    <w:sdtEndPr>
      <w:rPr>
        <w:noProof/>
      </w:rPr>
    </w:sdtEndPr>
    <w:sdtContent>
      <w:p w14:paraId="54B0521D" w14:textId="20EB3FFF"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4F66B25E" w14:textId="77777777" w:rsidR="00553430" w:rsidRDefault="00553430">
    <w:pPr>
      <w:pStyle w:val="FooterCouncil"/>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BD7BD" w14:textId="77777777" w:rsidR="00553430" w:rsidRDefault="00553430">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15354" w14:textId="77777777" w:rsidR="00553430" w:rsidRDefault="00553430">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4804708"/>
      <w:docPartObj>
        <w:docPartGallery w:val="Page Numbers (Bottom of Page)"/>
        <w:docPartUnique/>
      </w:docPartObj>
    </w:sdtPr>
    <w:sdtEndPr>
      <w:rPr>
        <w:noProof/>
      </w:rPr>
    </w:sdtEndPr>
    <w:sdtContent>
      <w:p w14:paraId="60E0C8AC" w14:textId="38624607"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40D79A47" w14:textId="77777777" w:rsidR="00553430" w:rsidRDefault="00553430">
    <w:pPr>
      <w:pStyle w:val="FooterCouncil"/>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AEC2E" w14:textId="77777777" w:rsidR="00553430" w:rsidRDefault="00553430">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6322B" w14:textId="77777777" w:rsidR="00553430" w:rsidRDefault="00553430">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7962683"/>
      <w:docPartObj>
        <w:docPartGallery w:val="Page Numbers (Bottom of Page)"/>
        <w:docPartUnique/>
      </w:docPartObj>
    </w:sdtPr>
    <w:sdtEndPr>
      <w:rPr>
        <w:noProof/>
      </w:rPr>
    </w:sdtEndPr>
    <w:sdtContent>
      <w:p w14:paraId="0D664F6A" w14:textId="0FFFE923"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0EC41671" w14:textId="77777777" w:rsidR="00553430" w:rsidRDefault="00553430">
    <w:pPr>
      <w:pStyle w:val="FooterCouncil"/>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4C6D9" w14:textId="77777777" w:rsidR="00553430" w:rsidRDefault="00553430">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64406" w14:textId="77777777" w:rsidR="00553430" w:rsidRDefault="00553430">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6747908"/>
      <w:docPartObj>
        <w:docPartGallery w:val="Page Numbers (Bottom of Page)"/>
        <w:docPartUnique/>
      </w:docPartObj>
    </w:sdtPr>
    <w:sdtEndPr>
      <w:rPr>
        <w:noProof/>
      </w:rPr>
    </w:sdtEndPr>
    <w:sdtContent>
      <w:p w14:paraId="3D70A3B5" w14:textId="2D22B122"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2C9B4FD1" w14:textId="77777777" w:rsidR="00553430" w:rsidRDefault="00553430">
    <w:pPr>
      <w:pStyle w:val="FooterCouncil"/>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52AD4" w14:textId="77777777" w:rsidR="00553430" w:rsidRDefault="00553430">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6A4FD" w14:textId="77777777" w:rsidR="00553430" w:rsidRDefault="00553430">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3363287"/>
      <w:docPartObj>
        <w:docPartGallery w:val="Page Numbers (Bottom of Page)"/>
        <w:docPartUnique/>
      </w:docPartObj>
    </w:sdtPr>
    <w:sdtEndPr>
      <w:rPr>
        <w:noProof/>
      </w:rPr>
    </w:sdtEndPr>
    <w:sdtContent>
      <w:p w14:paraId="24DF5E6D" w14:textId="469D9FD4"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181344FE" w14:textId="77777777" w:rsidR="00553430" w:rsidRDefault="00553430">
    <w:pPr>
      <w:pStyle w:val="FooterCouncil"/>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E518A" w14:textId="77777777" w:rsidR="00553430" w:rsidRDefault="00553430">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59B87" w14:textId="77777777" w:rsidR="00553430" w:rsidRDefault="00553430">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2938893"/>
      <w:docPartObj>
        <w:docPartGallery w:val="Page Numbers (Bottom of Page)"/>
        <w:docPartUnique/>
      </w:docPartObj>
    </w:sdtPr>
    <w:sdtEndPr>
      <w:rPr>
        <w:noProof/>
      </w:rPr>
    </w:sdtEndPr>
    <w:sdtContent>
      <w:p w14:paraId="1F0B02D5" w14:textId="3D1A7378"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07AF1CD6" w14:textId="77777777" w:rsidR="00553430" w:rsidRDefault="00553430">
    <w:pPr>
      <w:pStyle w:val="FooterCouncil"/>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12658" w14:textId="77777777" w:rsidR="00553430" w:rsidRDefault="00553430">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DA266" w14:textId="77777777" w:rsidR="00553430" w:rsidRDefault="00553430">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672208"/>
      <w:docPartObj>
        <w:docPartGallery w:val="Page Numbers (Bottom of Page)"/>
        <w:docPartUnique/>
      </w:docPartObj>
    </w:sdtPr>
    <w:sdtEndPr>
      <w:rPr>
        <w:noProof/>
      </w:rPr>
    </w:sdtEndPr>
    <w:sdtContent>
      <w:p w14:paraId="46DAB3A9" w14:textId="68905A61"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7FBE8EAD" w14:textId="77777777" w:rsidR="00553430" w:rsidRDefault="00553430">
    <w:pPr>
      <w:pStyle w:val="FooterCouncil"/>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55FEB" w14:textId="77777777" w:rsidR="00553430" w:rsidRDefault="00553430">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A5133" w14:textId="77777777" w:rsidR="00553430" w:rsidRDefault="00553430">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170895"/>
      <w:docPartObj>
        <w:docPartGallery w:val="Page Numbers (Bottom of Page)"/>
        <w:docPartUnique/>
      </w:docPartObj>
    </w:sdtPr>
    <w:sdtEndPr>
      <w:rPr>
        <w:noProof/>
      </w:rPr>
    </w:sdtEndPr>
    <w:sdtContent>
      <w:p w14:paraId="250C6927" w14:textId="4C00B086"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0A71F90F" w14:textId="77777777" w:rsidR="00553430" w:rsidRDefault="00553430">
    <w:pPr>
      <w:pStyle w:val="FooterCouncil"/>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50938" w14:textId="77777777" w:rsidR="00553430" w:rsidRDefault="00553430">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EE834" w14:textId="77777777" w:rsidR="00553430" w:rsidRDefault="00553430">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0421637"/>
      <w:docPartObj>
        <w:docPartGallery w:val="Page Numbers (Bottom of Page)"/>
        <w:docPartUnique/>
      </w:docPartObj>
    </w:sdtPr>
    <w:sdtEndPr>
      <w:rPr>
        <w:noProof/>
      </w:rPr>
    </w:sdtEndPr>
    <w:sdtContent>
      <w:p w14:paraId="3E05A2DC" w14:textId="16C03275"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41DFD8E2" w14:textId="77777777" w:rsidR="00553430" w:rsidRDefault="00553430">
    <w:pPr>
      <w:pStyle w:val="FooterCouncil"/>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DB688" w14:textId="77777777" w:rsidR="00553430" w:rsidRDefault="00553430">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08367" w14:textId="77777777" w:rsidR="00553430" w:rsidRDefault="00553430">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8982558"/>
      <w:docPartObj>
        <w:docPartGallery w:val="Page Numbers (Bottom of Page)"/>
        <w:docPartUnique/>
      </w:docPartObj>
    </w:sdtPr>
    <w:sdtEndPr>
      <w:rPr>
        <w:noProof/>
      </w:rPr>
    </w:sdtEndPr>
    <w:sdtContent>
      <w:p w14:paraId="1E3BCD63" w14:textId="1C36AAF3"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74EFB110" w14:textId="77777777" w:rsidR="00553430" w:rsidRDefault="00553430">
    <w:pPr>
      <w:pStyle w:val="FooterCouncil"/>
    </w:pP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80BD6" w14:textId="77777777" w:rsidR="00553430" w:rsidRDefault="00553430">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DE1B4" w14:textId="77777777" w:rsidR="00553430" w:rsidRDefault="00553430">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561440"/>
      <w:docPartObj>
        <w:docPartGallery w:val="Page Numbers (Bottom of Page)"/>
        <w:docPartUnique/>
      </w:docPartObj>
    </w:sdtPr>
    <w:sdtEndPr>
      <w:rPr>
        <w:noProof/>
      </w:rPr>
    </w:sdtEndPr>
    <w:sdtContent>
      <w:p w14:paraId="11231100" w14:textId="227F219A"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07C68407" w14:textId="77777777" w:rsidR="00553430" w:rsidRDefault="00553430">
    <w:pPr>
      <w:pStyle w:val="FooterCouncil"/>
    </w:pP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B695F" w14:textId="77777777" w:rsidR="00553430" w:rsidRDefault="00553430">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4C377" w14:textId="77777777" w:rsidR="00553430" w:rsidRDefault="00553430">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3406098"/>
      <w:docPartObj>
        <w:docPartGallery w:val="Page Numbers (Bottom of Page)"/>
        <w:docPartUnique/>
      </w:docPartObj>
    </w:sdtPr>
    <w:sdtEndPr>
      <w:rPr>
        <w:noProof/>
      </w:rPr>
    </w:sdtEndPr>
    <w:sdtContent>
      <w:p w14:paraId="681E2920" w14:textId="10BD915E"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0CB24A03" w14:textId="77777777" w:rsidR="00553430" w:rsidRDefault="00553430">
    <w:pPr>
      <w:pStyle w:val="FooterCouncil"/>
    </w:pP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834E1" w14:textId="77777777" w:rsidR="00553430" w:rsidRDefault="00553430">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15B55" w14:textId="77777777" w:rsidR="00553430" w:rsidRDefault="00553430">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8274020"/>
      <w:docPartObj>
        <w:docPartGallery w:val="Page Numbers (Bottom of Page)"/>
        <w:docPartUnique/>
      </w:docPartObj>
    </w:sdtPr>
    <w:sdtEndPr>
      <w:rPr>
        <w:noProof/>
      </w:rPr>
    </w:sdtEndPr>
    <w:sdtContent>
      <w:p w14:paraId="6AAF60C1" w14:textId="5D59D05E"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68008C76" w14:textId="77777777" w:rsidR="00553430" w:rsidRDefault="00553430">
    <w:pPr>
      <w:pStyle w:val="FooterCouncil"/>
    </w:pP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BF4F2" w14:textId="77777777" w:rsidR="00553430" w:rsidRDefault="00553430">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F1D4C" w14:textId="77777777" w:rsidR="00553430" w:rsidRDefault="00553430">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899826"/>
      <w:docPartObj>
        <w:docPartGallery w:val="Page Numbers (Bottom of Page)"/>
        <w:docPartUnique/>
      </w:docPartObj>
    </w:sdtPr>
    <w:sdtEndPr>
      <w:rPr>
        <w:noProof/>
      </w:rPr>
    </w:sdtEndPr>
    <w:sdtContent>
      <w:p w14:paraId="70BC616E" w14:textId="1198339F"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243B6B9F" w14:textId="77777777" w:rsidR="00553430" w:rsidRDefault="00553430">
    <w:pPr>
      <w:pStyle w:val="FooterCouncil"/>
    </w:pPr>
  </w:p>
</w:ftr>
</file>

<file path=word/footer2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5C67F" w14:textId="77777777" w:rsidR="00553430" w:rsidRDefault="00553430">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025B0" w14:textId="77777777" w:rsidR="00553430" w:rsidRDefault="00553430">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211471"/>
      <w:docPartObj>
        <w:docPartGallery w:val="Page Numbers (Bottom of Page)"/>
        <w:docPartUnique/>
      </w:docPartObj>
    </w:sdtPr>
    <w:sdtEndPr>
      <w:rPr>
        <w:noProof/>
      </w:rPr>
    </w:sdtEndPr>
    <w:sdtContent>
      <w:p w14:paraId="4C118F5B" w14:textId="5AE0EB06"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7E661111" w14:textId="77777777" w:rsidR="00553430" w:rsidRDefault="00553430">
    <w:pPr>
      <w:pStyle w:val="FooterCouncil"/>
    </w:pPr>
  </w:p>
</w:ftr>
</file>

<file path=word/footer2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3D20F" w14:textId="77777777" w:rsidR="00553430" w:rsidRDefault="00553430">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8CE6D" w14:textId="77777777" w:rsidR="00553430" w:rsidRDefault="00553430">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3851970"/>
      <w:docPartObj>
        <w:docPartGallery w:val="Page Numbers (Bottom of Page)"/>
        <w:docPartUnique/>
      </w:docPartObj>
    </w:sdtPr>
    <w:sdtEndPr>
      <w:rPr>
        <w:noProof/>
      </w:rPr>
    </w:sdtEndPr>
    <w:sdtContent>
      <w:p w14:paraId="76A0C740" w14:textId="479D0229"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12346C57" w14:textId="77777777" w:rsidR="00553430" w:rsidRDefault="00553430">
    <w:pPr>
      <w:pStyle w:val="FooterCouncil"/>
    </w:pPr>
  </w:p>
</w:ftr>
</file>

<file path=word/footer2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6A6F0" w14:textId="77777777" w:rsidR="00553430" w:rsidRDefault="00553430">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28D33" w14:textId="77777777" w:rsidR="00553430" w:rsidRDefault="00553430">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7821222"/>
      <w:docPartObj>
        <w:docPartGallery w:val="Page Numbers (Bottom of Page)"/>
        <w:docPartUnique/>
      </w:docPartObj>
    </w:sdtPr>
    <w:sdtEndPr>
      <w:rPr>
        <w:noProof/>
      </w:rPr>
    </w:sdtEndPr>
    <w:sdtContent>
      <w:p w14:paraId="392771D4" w14:textId="35BB1F9A"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6901E05C" w14:textId="77777777" w:rsidR="00553430" w:rsidRDefault="00553430">
    <w:pPr>
      <w:pStyle w:val="FooterCouncil"/>
    </w:pPr>
  </w:p>
</w:ftr>
</file>

<file path=word/footer2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E2330" w14:textId="77777777" w:rsidR="00553430" w:rsidRDefault="00553430">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14530" w14:textId="77777777" w:rsidR="00553430" w:rsidRDefault="00553430">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5957819"/>
      <w:docPartObj>
        <w:docPartGallery w:val="Page Numbers (Bottom of Page)"/>
        <w:docPartUnique/>
      </w:docPartObj>
    </w:sdtPr>
    <w:sdtEndPr>
      <w:rPr>
        <w:noProof/>
      </w:rPr>
    </w:sdtEndPr>
    <w:sdtContent>
      <w:p w14:paraId="22FD48FB" w14:textId="51CD99EE"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5BE0B503" w14:textId="77777777" w:rsidR="00553430" w:rsidRDefault="00553430">
    <w:pPr>
      <w:pStyle w:val="FooterCouncil"/>
    </w:pPr>
  </w:p>
</w:ftr>
</file>

<file path=word/footer2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B9F6D" w14:textId="77777777" w:rsidR="00553430" w:rsidRDefault="00553430">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341C1" w14:textId="77777777" w:rsidR="00553430" w:rsidRDefault="00553430">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1495690"/>
      <w:docPartObj>
        <w:docPartGallery w:val="Page Numbers (Bottom of Page)"/>
        <w:docPartUnique/>
      </w:docPartObj>
    </w:sdtPr>
    <w:sdtEndPr>
      <w:rPr>
        <w:noProof/>
      </w:rPr>
    </w:sdtEndPr>
    <w:sdtContent>
      <w:p w14:paraId="3B3ED99B" w14:textId="03A7F8AC"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454658D3" w14:textId="77777777" w:rsidR="00553430" w:rsidRDefault="00553430">
    <w:pPr>
      <w:pStyle w:val="FooterCouncil"/>
    </w:pPr>
  </w:p>
</w:ftr>
</file>

<file path=word/footer2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D1FB4" w14:textId="77777777" w:rsidR="00553430" w:rsidRDefault="00553430">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E8F90" w14:textId="77777777" w:rsidR="00553430" w:rsidRDefault="00553430">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6398616"/>
      <w:docPartObj>
        <w:docPartGallery w:val="Page Numbers (Bottom of Page)"/>
        <w:docPartUnique/>
      </w:docPartObj>
    </w:sdtPr>
    <w:sdtEndPr>
      <w:rPr>
        <w:noProof/>
      </w:rPr>
    </w:sdtEndPr>
    <w:sdtContent>
      <w:p w14:paraId="493CE103" w14:textId="684758DD"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44F6F22A" w14:textId="77777777" w:rsidR="00553430" w:rsidRDefault="00553430">
    <w:pPr>
      <w:pStyle w:val="FooterCouncil"/>
    </w:pPr>
  </w:p>
</w:ftr>
</file>

<file path=word/footer2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CFC74" w14:textId="77777777" w:rsidR="00553430" w:rsidRDefault="00553430">
    <w:pPr>
      <w:pStyle w:val="Footer"/>
    </w:pPr>
  </w:p>
</w:ftr>
</file>

<file path=word/footer2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729B4" w14:textId="77777777" w:rsidR="00553430" w:rsidRDefault="00553430">
    <w:pPr>
      <w:pStyle w:val="Footer"/>
    </w:pPr>
  </w:p>
</w:ftr>
</file>

<file path=word/footer2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810032"/>
      <w:docPartObj>
        <w:docPartGallery w:val="Page Numbers (Bottom of Page)"/>
        <w:docPartUnique/>
      </w:docPartObj>
    </w:sdtPr>
    <w:sdtEndPr>
      <w:rPr>
        <w:noProof/>
      </w:rPr>
    </w:sdtEndPr>
    <w:sdtContent>
      <w:p w14:paraId="076F4F92" w14:textId="6D5D2216"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06F7CBB7" w14:textId="77777777" w:rsidR="00553430" w:rsidRDefault="00553430">
    <w:pPr>
      <w:pStyle w:val="FooterCouncil"/>
    </w:pPr>
  </w:p>
</w:ftr>
</file>

<file path=word/footer2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B2909" w14:textId="77777777" w:rsidR="00553430" w:rsidRDefault="00553430">
    <w:pPr>
      <w:pStyle w:val="Footer"/>
    </w:pPr>
  </w:p>
</w:ftr>
</file>

<file path=word/footer2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DA227" w14:textId="77777777" w:rsidR="00553430" w:rsidRDefault="00553430">
    <w:pPr>
      <w:pStyle w:val="Footer"/>
    </w:pPr>
  </w:p>
</w:ftr>
</file>

<file path=word/footer2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5997233"/>
      <w:docPartObj>
        <w:docPartGallery w:val="Page Numbers (Bottom of Page)"/>
        <w:docPartUnique/>
      </w:docPartObj>
    </w:sdtPr>
    <w:sdtEndPr>
      <w:rPr>
        <w:noProof/>
      </w:rPr>
    </w:sdtEndPr>
    <w:sdtContent>
      <w:p w14:paraId="75F4501F" w14:textId="23DAFC42" w:rsidR="00553430" w:rsidRDefault="00212577">
        <w:pPr>
          <w:pStyle w:val="Footer"/>
          <w:jc w:val="center"/>
        </w:pPr>
        <w:r>
          <w:fldChar w:fldCharType="begin"/>
        </w:r>
        <w:r>
          <w:instrText xml:space="preserve"> PAGE   \* MERGEFORMAT </w:instrText>
        </w:r>
        <w:r>
          <w:fldChar w:fldCharType="separate"/>
        </w:r>
        <w:r>
          <w:t>2</w:t>
        </w:r>
        <w:r>
          <w:fldChar w:fldCharType="end"/>
        </w:r>
      </w:p>
    </w:sdtContent>
  </w:sdt>
  <w:p w14:paraId="6A317937" w14:textId="77777777" w:rsidR="00553430" w:rsidRDefault="00553430">
    <w:pPr>
      <w:pStyle w:val="FooterCouncil"/>
    </w:pPr>
  </w:p>
</w:ftr>
</file>

<file path=word/footer2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85625" w14:textId="77777777" w:rsidR="00553430" w:rsidRDefault="005534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2E571B" w14:textId="77777777" w:rsidR="00066B4B" w:rsidRDefault="00066B4B">
      <w:pPr>
        <w:spacing w:after="0" w:line="240" w:lineRule="auto"/>
      </w:pPr>
      <w:r>
        <w:separator/>
      </w:r>
    </w:p>
  </w:footnote>
  <w:footnote w:type="continuationSeparator" w:id="0">
    <w:p w14:paraId="4B9C29C6" w14:textId="77777777" w:rsidR="00066B4B" w:rsidRDefault="00066B4B">
      <w:pPr>
        <w:spacing w:after="0" w:line="240" w:lineRule="auto"/>
      </w:pPr>
      <w:r>
        <w:continuationSeparator/>
      </w:r>
    </w:p>
  </w:footnote>
  <w:footnote w:id="1">
    <w:p w14:paraId="5EB3745E" w14:textId="77777777" w:rsidR="00553430" w:rsidRDefault="00212577">
      <w:pPr>
        <w:pStyle w:val="FootnoteText"/>
        <w:ind w:left="142" w:hanging="142"/>
        <w:jc w:val="both"/>
        <w:rPr>
          <w:sz w:val="18"/>
          <w:szCs w:val="18"/>
        </w:rPr>
      </w:pPr>
      <w:r>
        <w:rPr>
          <w:rStyle w:val="FootnoteReference"/>
          <w:sz w:val="18"/>
          <w:szCs w:val="18"/>
        </w:rPr>
        <w:footnoteRef/>
      </w:r>
      <w:r>
        <w:rPr>
          <w:sz w:val="18"/>
          <w:szCs w:val="18"/>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w:t>
      </w:r>
      <w:r>
        <w:rPr>
          <w:sz w:val="18"/>
          <w:szCs w:val="18"/>
        </w:rPr>
        <w:t>ions techniques «Ne pas causer de préjudice important» (2021/C58/01) et b) des activités et actifs visés au point ii) pour lesquels l’utilisation de combustibles fossiles est temporaire et techniquement inévitable pour la transition en temps utile vers une</w:t>
      </w:r>
      <w:r>
        <w:rPr>
          <w:sz w:val="18"/>
          <w:szCs w:val="18"/>
        </w:rPr>
        <w:t xml:space="preserve"> exploitation sans combustibles fossiles.</w:t>
      </w:r>
    </w:p>
  </w:footnote>
  <w:footnote w:id="2">
    <w:p w14:paraId="258415CA" w14:textId="77777777" w:rsidR="00553430" w:rsidRDefault="00212577">
      <w:pPr>
        <w:pStyle w:val="FootnoteText"/>
        <w:ind w:left="142" w:hanging="142"/>
        <w:jc w:val="both"/>
      </w:pPr>
      <w:r>
        <w:rPr>
          <w:rStyle w:val="FootnoteReference"/>
          <w:sz w:val="18"/>
          <w:szCs w:val="18"/>
        </w:rPr>
        <w:footnoteRef/>
      </w:r>
      <w:r>
        <w:t xml:space="preserve"> </w:t>
      </w:r>
      <w:r>
        <w:rPr>
          <w:sz w:val="18"/>
          <w:szCs w:val="18"/>
        </w:rPr>
        <w:t>Lorsque l’activité soutenue atteint des émissions de gaz à effet de serre projetées qui ne sont pas sensiblement inférieures aux référentiels pertinents, une explication des raisons pour lesquelles cela n’est pas</w:t>
      </w:r>
      <w:r>
        <w:rPr>
          <w:sz w:val="18"/>
          <w:szCs w:val="18"/>
        </w:rPr>
        <w:t xml:space="preserve"> possible est fournie. Indices de référence établis pour l’allocation de quotas à titre gratuit pour les activités relevant du champ d’application du système d’échange de quotas d’émission, tels que définis dans le règlement d’exécution (UE) 2021/447 de la</w:t>
      </w:r>
      <w:r>
        <w:rPr>
          <w:sz w:val="18"/>
          <w:szCs w:val="18"/>
        </w:rPr>
        <w:t xml:space="preserve"> Commission.</w:t>
      </w:r>
      <w:r>
        <w:t> </w:t>
      </w:r>
    </w:p>
  </w:footnote>
  <w:footnote w:id="3">
    <w:p w14:paraId="57449F7A" w14:textId="77777777" w:rsidR="00553430" w:rsidRDefault="00212577">
      <w:pPr>
        <w:pStyle w:val="FootnoteText"/>
        <w:ind w:left="142" w:hanging="142"/>
        <w:jc w:val="both"/>
      </w:pPr>
      <w:r>
        <w:rPr>
          <w:rStyle w:val="FootnoteReference"/>
          <w:sz w:val="18"/>
          <w:szCs w:val="18"/>
        </w:rPr>
        <w:footnoteRef/>
      </w:r>
      <w:r>
        <w:t xml:space="preserve"> </w:t>
      </w:r>
      <w:r>
        <w:rPr>
          <w:sz w:val="18"/>
          <w:szCs w:val="18"/>
        </w:rPr>
        <w:t xml:space="preserve">Cette exclusion ne s’applique pas aux actions au titre de la présente mesure dans les installations exclusivement consacrées au traitement des déchets dangereux non recyclables, ni aux installations existantes, lorsque les actions au titre </w:t>
      </w:r>
      <w:r>
        <w:rPr>
          <w:sz w:val="18"/>
          <w:szCs w:val="18"/>
        </w:rPr>
        <w:t>de la présente mesure visent à accroître l’efficacité énergétique, à capter les gaz d’échappement en vue de leur stockage ou de leur utilisation ou à récupérer des matériaux à partir de cendres d’incinération, pour autant que ces actions au titre de la pré</w:t>
      </w:r>
      <w:r>
        <w:rPr>
          <w:sz w:val="18"/>
          <w:szCs w:val="18"/>
        </w:rPr>
        <w:t>sente mesure n’entraînent pas une augmentation de la capacité de traitement des déchets des installations ou une prolongation de la durée de vie des installations; pour lesquels des éléments de preuve sont fournis au niveau de l’installation. </w:t>
      </w:r>
      <w:r>
        <w:t> </w:t>
      </w:r>
    </w:p>
  </w:footnote>
  <w:footnote w:id="4">
    <w:p w14:paraId="660DCC68" w14:textId="6D2D4199" w:rsidR="00553430" w:rsidRDefault="00212577">
      <w:pPr>
        <w:pStyle w:val="FootnoteText"/>
        <w:ind w:left="120" w:hanging="120"/>
        <w:jc w:val="both"/>
        <w:rPr>
          <w:sz w:val="18"/>
          <w:szCs w:val="18"/>
        </w:rPr>
      </w:pPr>
      <w:r>
        <w:rPr>
          <w:rStyle w:val="FootnoteReference"/>
          <w:sz w:val="18"/>
          <w:szCs w:val="18"/>
        </w:rPr>
        <w:footnoteRef/>
      </w:r>
      <w:r>
        <w:rPr>
          <w:sz w:val="18"/>
          <w:szCs w:val="18"/>
        </w:rPr>
        <w:t xml:space="preserve"> Cette exc</w:t>
      </w:r>
      <w:r>
        <w:rPr>
          <w:sz w:val="18"/>
          <w:szCs w:val="18"/>
        </w:rPr>
        <w:t>lusion ne s’applique pas aux actions au titre de la présente mesure dans les installations de traitement biologique mécanique existantes, lorsque les actions au titre de la présente mesure visent à accroître l’efficacité énergétique ou à adapter les opérat</w:t>
      </w:r>
      <w:r>
        <w:rPr>
          <w:sz w:val="18"/>
          <w:szCs w:val="18"/>
        </w:rPr>
        <w:t>ions de recyclage des déchets séparés au compostage des biodéchets et à la digestion anaérobie des biodéchets, pour autant que ces actions au titre de la présente mesure n’entraînent pas une augmentation de la capacité de traitement des déchets des install</w:t>
      </w:r>
      <w:r>
        <w:rPr>
          <w:sz w:val="18"/>
          <w:szCs w:val="18"/>
        </w:rPr>
        <w:t>ations ou une prolongation de la durée de vie des installations; pour lesquels des éléments de preuve sont fournis au niveau de l’installation.</w:t>
      </w:r>
    </w:p>
  </w:footnote>
  <w:footnote w:id="5">
    <w:p w14:paraId="3A679C1B" w14:textId="77777777" w:rsidR="00553430" w:rsidRDefault="00212577">
      <w:pPr>
        <w:pStyle w:val="FootnoteText"/>
        <w:ind w:left="142" w:hanging="142"/>
        <w:jc w:val="both"/>
      </w:pPr>
      <w:r>
        <w:rPr>
          <w:rStyle w:val="FootnoteReference"/>
          <w:sz w:val="18"/>
          <w:szCs w:val="18"/>
        </w:rPr>
        <w:footnoteRef/>
      </w:r>
      <w:r>
        <w:rPr>
          <w:sz w:val="18"/>
          <w:szCs w:val="18"/>
        </w:rPr>
        <w:t xml:space="preserve"> Il est considéré qu’un bénéficiaire final a un «accent substantiel» sur un secteur ou une activité commerciale</w:t>
      </w:r>
      <w:r>
        <w:rPr>
          <w:sz w:val="18"/>
          <w:szCs w:val="18"/>
        </w:rPr>
        <w:t xml:space="preserve"> si ce secteur ou cette activité est identifié comme étant une partie essentielle de l’activité commerciale du bénéficiaire final, respectivement en ce qui concerne les recettes brutes, les bénéfices ou la clientèle du bénéficiaire final. Les recettes brut</w:t>
      </w:r>
      <w:r>
        <w:rPr>
          <w:sz w:val="18"/>
          <w:szCs w:val="18"/>
        </w:rPr>
        <w:t>es générées par le secteur ou l'activité faisant l'objet de restrictions ne dépassent en aucun cas 50 % des recettes brutes.</w:t>
      </w:r>
    </w:p>
  </w:footnote>
  <w:footnote w:id="6">
    <w:p w14:paraId="33DC87FC" w14:textId="77777777" w:rsidR="00553430" w:rsidRDefault="00212577">
      <w:pPr>
        <w:pStyle w:val="FootnoteText"/>
        <w:ind w:left="142" w:hanging="142"/>
        <w:jc w:val="both"/>
      </w:pPr>
      <w:r>
        <w:rPr>
          <w:rStyle w:val="FootnoteReference"/>
          <w:sz w:val="18"/>
          <w:szCs w:val="18"/>
        </w:rPr>
        <w:footnoteRef/>
      </w:r>
      <w:r>
        <w:rPr>
          <w:rStyle w:val="FootnoteReference"/>
          <w:sz w:val="18"/>
          <w:szCs w:val="18"/>
        </w:rPr>
        <w:t xml:space="preserve"> </w:t>
      </w:r>
      <w:r>
        <w:rPr>
          <w:sz w:val="18"/>
          <w:szCs w:val="18"/>
        </w:rPr>
        <w:t>À l’exception a) des actifs et activités de production d’électricité et/ou de chaleur, ainsi que des infrastructures de transport</w:t>
      </w:r>
      <w:r>
        <w:rPr>
          <w:sz w:val="18"/>
          <w:szCs w:val="18"/>
        </w:rPr>
        <w:t xml:space="preserve"> et de distribution connexes, utilisant du gaz naturel, qui sont conformes aux conditions énoncées à l’annexe III des orientations techniques «Ne pas causer de préjudice important» (2021/C58/01) et b) des activités et actifs visés au point ii) pour lesquel</w:t>
      </w:r>
      <w:r>
        <w:rPr>
          <w:sz w:val="18"/>
          <w:szCs w:val="18"/>
        </w:rPr>
        <w:t>s l’utilisation de combustibles fossiles est temporaire et techniquement inévitable pour la transition en temps utile vers une exploitation sans combustibles fossiles.</w:t>
      </w:r>
    </w:p>
  </w:footnote>
  <w:footnote w:id="7">
    <w:p w14:paraId="2E598FA9" w14:textId="77777777" w:rsidR="00553430" w:rsidRDefault="00212577">
      <w:pPr>
        <w:pStyle w:val="FootnoteText"/>
        <w:ind w:left="142" w:hanging="142"/>
        <w:jc w:val="both"/>
      </w:pPr>
      <w:r>
        <w:rPr>
          <w:rStyle w:val="FootnoteReference"/>
          <w:sz w:val="18"/>
          <w:szCs w:val="18"/>
        </w:rPr>
        <w:footnoteRef/>
      </w:r>
      <w:r>
        <w:rPr>
          <w:rStyle w:val="FootnoteReference"/>
          <w:sz w:val="18"/>
          <w:szCs w:val="18"/>
        </w:rPr>
        <w:t xml:space="preserve"> </w:t>
      </w:r>
      <w:r>
        <w:rPr>
          <w:sz w:val="18"/>
          <w:szCs w:val="18"/>
        </w:rPr>
        <w:t>Y compris les activités et les actifs relevant du système d’échange de quotas d’émissi</w:t>
      </w:r>
      <w:r>
        <w:rPr>
          <w:sz w:val="18"/>
          <w:szCs w:val="18"/>
        </w:rPr>
        <w:t>on (SEQE) de l’UE qui permettent d’atteindre des émissions de gaz à effet de serre prévues qui ne sont pas inférieures aux référentiels pertinents. Lorsque l’activité soutenue atteint des émissions de gaz à effet de serre projetées qui ne sont pas sensible</w:t>
      </w:r>
      <w:r>
        <w:rPr>
          <w:sz w:val="18"/>
          <w:szCs w:val="18"/>
        </w:rPr>
        <w:t>ment inférieures aux référentiels pertinents, une explication des raisons pour lesquelles cela n’est pas possible est fournie. Indices de référence établis pour l’allocation de quotas à titre gratuit pour les activités relevant du champ d’application du sy</w:t>
      </w:r>
      <w:r>
        <w:rPr>
          <w:sz w:val="18"/>
          <w:szCs w:val="18"/>
        </w:rPr>
        <w:t>stème d’échange de quotas d’émission, tels que définis dans le règlement d’exécution (UE) 2021/447 de la Commission.</w:t>
      </w:r>
    </w:p>
  </w:footnote>
  <w:footnote w:id="8">
    <w:p w14:paraId="3CE91A51" w14:textId="77777777" w:rsidR="00553430" w:rsidRDefault="00212577">
      <w:pPr>
        <w:pStyle w:val="FootnoteText"/>
        <w:ind w:left="142" w:hanging="142"/>
        <w:jc w:val="both"/>
      </w:pPr>
      <w:r>
        <w:rPr>
          <w:rStyle w:val="FootnoteReference"/>
          <w:sz w:val="18"/>
          <w:szCs w:val="18"/>
        </w:rPr>
        <w:footnoteRef/>
      </w:r>
      <w:r>
        <w:rPr>
          <w:rStyle w:val="FootnoteReference"/>
          <w:sz w:val="18"/>
          <w:szCs w:val="18"/>
        </w:rPr>
        <w:t xml:space="preserve"> </w:t>
      </w:r>
      <w:r>
        <w:rPr>
          <w:rFonts w:eastAsia="EC Square Sans Pro"/>
          <w:sz w:val="18"/>
          <w:szCs w:val="18"/>
        </w:rPr>
        <w:t>Les véhicules polluants sont définis comme des véhicules à émissions non nulles.</w:t>
      </w:r>
    </w:p>
  </w:footnote>
  <w:footnote w:id="9">
    <w:p w14:paraId="55A359AF" w14:textId="77777777" w:rsidR="00553430" w:rsidRDefault="00212577">
      <w:pPr>
        <w:pStyle w:val="FootnoteText"/>
        <w:ind w:left="142" w:hanging="142"/>
        <w:jc w:val="both"/>
      </w:pPr>
      <w:r>
        <w:rPr>
          <w:rStyle w:val="FootnoteReference"/>
          <w:sz w:val="18"/>
          <w:szCs w:val="18"/>
        </w:rPr>
        <w:footnoteRef/>
      </w:r>
      <w:r>
        <w:rPr>
          <w:rStyle w:val="FootnoteReference"/>
          <w:sz w:val="18"/>
          <w:szCs w:val="18"/>
        </w:rPr>
        <w:t xml:space="preserve"> </w:t>
      </w:r>
      <w:r>
        <w:rPr>
          <w:rFonts w:eastAsia="Times New Roman"/>
          <w:sz w:val="18"/>
          <w:szCs w:val="18"/>
        </w:rPr>
        <w:t>Cette exclusion ne s’applique pas aux actions dans les</w:t>
      </w:r>
      <w:r>
        <w:rPr>
          <w:rFonts w:eastAsia="Times New Roman"/>
          <w:sz w:val="18"/>
          <w:szCs w:val="18"/>
        </w:rPr>
        <w:t xml:space="preserve"> installations exclusivement consacrées au traitement des déchets dangereux non recyclables, ni aux installations existantes, lorsque les actions au titre de la présente mesure visent à accroître l’efficacité énergétique, à capter les gaz d’échappement en </w:t>
      </w:r>
      <w:r>
        <w:rPr>
          <w:rFonts w:eastAsia="Times New Roman"/>
          <w:sz w:val="18"/>
          <w:szCs w:val="18"/>
        </w:rPr>
        <w:t>vue de leur stockage ou de leur utilisation ou à récupérer des matériaux à partir de cendres d’incinération, pour autant que ces actions au titre de la présente mesure n’entraînent pas une augmentation de la capacité de traitement des déchets des installat</w:t>
      </w:r>
      <w:r>
        <w:rPr>
          <w:rFonts w:eastAsia="Times New Roman"/>
          <w:sz w:val="18"/>
          <w:szCs w:val="18"/>
        </w:rPr>
        <w:t>ions ou une prolongation de la durée de vie des installations; pour lesquels des éléments de preuve sont fournis au niveau de l’installation.</w:t>
      </w:r>
    </w:p>
  </w:footnote>
  <w:footnote w:id="10">
    <w:p w14:paraId="76B47A9E" w14:textId="77777777" w:rsidR="00553430" w:rsidRDefault="00212577">
      <w:pPr>
        <w:pStyle w:val="FootnoteText"/>
        <w:ind w:left="426" w:hanging="426"/>
        <w:jc w:val="both"/>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à l’exception a) des actifs et activités de production d’électricité et/ou de chaleur, ainsi que des infrastruc</w:t>
      </w:r>
      <w:r>
        <w:rPr>
          <w:rFonts w:eastAsia="Times New Roman"/>
          <w:sz w:val="18"/>
          <w:szCs w:val="18"/>
        </w:rPr>
        <w:t xml:space="preserve">tures de transport et de distribution connexes, utilisant du gaz naturel, qui sont conformes aux conditions énoncées à l’annexe III des orientations techniques «Ne pas causer de préjudice important» (2021/C58/01); b) les activités et actifs visés au point </w:t>
      </w:r>
      <w:r>
        <w:rPr>
          <w:rFonts w:eastAsia="Times New Roman"/>
          <w:sz w:val="18"/>
          <w:szCs w:val="18"/>
        </w:rPr>
        <w:t>ii) pour lesquels l’utilisation de combustibles fossiles est temporaire et techniquement inévitable en vue de la transition en temps utile vers une exploitation sans combustibles fossiles; c) les aéronefs utilisés pour la protection civile ou la lutte cont</w:t>
      </w:r>
      <w:r>
        <w:rPr>
          <w:rFonts w:eastAsia="Times New Roman"/>
          <w:sz w:val="18"/>
          <w:szCs w:val="18"/>
        </w:rPr>
        <w:t>re l’incendie et les véhicules à usage spécial qui sont fondés sur les meilleurs niveaux de performance environnementale disponibles dans le secteur; et d) la construction de nouvelles liaisons routières, de nouveaux ponts et/ou de nouveaux tunnels d’une l</w:t>
      </w:r>
      <w:r>
        <w:rPr>
          <w:rFonts w:eastAsia="Times New Roman"/>
          <w:sz w:val="18"/>
          <w:szCs w:val="18"/>
        </w:rPr>
        <w:t>ongueur individuelle inférieure à 20 kilomètres et la rénovation de routes, de ponts et/ou de tunnels.</w:t>
      </w:r>
    </w:p>
  </w:footnote>
  <w:footnote w:id="11">
    <w:p w14:paraId="04D0FCC2" w14:textId="77777777" w:rsidR="00553430" w:rsidRDefault="00212577">
      <w:pPr>
        <w:pStyle w:val="FootnoteText"/>
        <w:ind w:left="426" w:hanging="426"/>
        <w:jc w:val="both"/>
        <w:rPr>
          <w:rFonts w:eastAsia="EC Square Sans Pro"/>
          <w:sz w:val="18"/>
          <w:szCs w:val="18"/>
        </w:rPr>
      </w:pPr>
      <w:r>
        <w:rPr>
          <w:rStyle w:val="FootnoteReference"/>
          <w:sz w:val="18"/>
          <w:szCs w:val="18"/>
        </w:rPr>
        <w:footnoteRef/>
      </w:r>
      <w:r>
        <w:rPr>
          <w:sz w:val="18"/>
          <w:szCs w:val="18"/>
        </w:rPr>
        <w:t xml:space="preserve"> </w:t>
      </w:r>
      <w:r>
        <w:rPr>
          <w:sz w:val="18"/>
          <w:szCs w:val="18"/>
        </w:rPr>
        <w:tab/>
        <w:t>Lorsque l’activité soutenue atteint des émissions de gaz à effet de serre projetées qui ne sont pas sensiblement inférieures aux référentiels pertinen</w:t>
      </w:r>
      <w:r>
        <w:rPr>
          <w:sz w:val="18"/>
          <w:szCs w:val="18"/>
        </w:rPr>
        <w:t>ts, une explication des raisons pour lesquelles cela n’est pas possible est fournie. Indices de référence établis pour l’allocation de quotas à titre gratuit pour les activités relevant du champ d’application du système d’échange de quotas d’émission, tels</w:t>
      </w:r>
      <w:r>
        <w:rPr>
          <w:sz w:val="18"/>
          <w:szCs w:val="18"/>
        </w:rPr>
        <w:t xml:space="preserve"> que définis dans le règlement d’exécution (UE) 2021/447 de la Commission. </w:t>
      </w:r>
    </w:p>
  </w:footnote>
  <w:footnote w:id="12">
    <w:p w14:paraId="607D4D9B" w14:textId="77777777" w:rsidR="00553430" w:rsidRDefault="00212577">
      <w:pPr>
        <w:pStyle w:val="FootnoteText"/>
        <w:ind w:left="426" w:hanging="426"/>
        <w:jc w:val="both"/>
        <w:rPr>
          <w:sz w:val="18"/>
          <w:szCs w:val="18"/>
        </w:rPr>
      </w:pPr>
      <w:r>
        <w:rPr>
          <w:rStyle w:val="FootnoteReference"/>
          <w:sz w:val="18"/>
          <w:szCs w:val="18"/>
        </w:rPr>
        <w:footnoteRef/>
      </w:r>
      <w:r>
        <w:rPr>
          <w:sz w:val="18"/>
          <w:szCs w:val="18"/>
        </w:rPr>
        <w:t xml:space="preserve"> </w:t>
      </w:r>
      <w:r>
        <w:rPr>
          <w:sz w:val="18"/>
          <w:szCs w:val="18"/>
        </w:rPr>
        <w:tab/>
        <w:t>Cette exclusion ne s’applique pas aux actions au titre de la présente mesure dans les installations exclusivement consacrées au traitement des déchets dangereux non recyclables,</w:t>
      </w:r>
      <w:r>
        <w:rPr>
          <w:sz w:val="18"/>
          <w:szCs w:val="18"/>
        </w:rPr>
        <w:t xml:space="preserve"> ni aux installations existantes, lorsque les actions au titre de la présente mesure visent à accroître l’efficacité énergétique, à capter les gaz d’échappement en vue de leur stockage ou de leur utilisation ou à récupérer des matériaux à partir de cendres</w:t>
      </w:r>
      <w:r>
        <w:rPr>
          <w:sz w:val="18"/>
          <w:szCs w:val="18"/>
        </w:rPr>
        <w:t xml:space="preserve"> d’incinération, pour autant que ces actions au titre de la présente mesure n’entraînent pas une augmentation de la capacité de traitement des déchets des installations ou une prolongation de la durée de vie des installations; pour lesquels des éléments de</w:t>
      </w:r>
      <w:r>
        <w:rPr>
          <w:sz w:val="18"/>
          <w:szCs w:val="18"/>
        </w:rPr>
        <w:t xml:space="preserve"> preuve sont fournis au niveau de l’installation. </w:t>
      </w:r>
    </w:p>
  </w:footnote>
  <w:footnote w:id="13">
    <w:p w14:paraId="421716D0" w14:textId="77777777" w:rsidR="00553430" w:rsidRDefault="00212577">
      <w:pPr>
        <w:pStyle w:val="FootnoteText"/>
        <w:ind w:left="426" w:hanging="426"/>
        <w:jc w:val="both"/>
        <w:rPr>
          <w:sz w:val="18"/>
          <w:szCs w:val="18"/>
        </w:rPr>
      </w:pPr>
      <w:r>
        <w:rPr>
          <w:rStyle w:val="FootnoteReference"/>
          <w:sz w:val="18"/>
          <w:szCs w:val="18"/>
        </w:rPr>
        <w:footnoteRef/>
      </w:r>
      <w:r>
        <w:rPr>
          <w:sz w:val="18"/>
          <w:szCs w:val="18"/>
        </w:rPr>
        <w:t xml:space="preserve"> </w:t>
      </w:r>
      <w:r>
        <w:rPr>
          <w:sz w:val="18"/>
          <w:szCs w:val="18"/>
        </w:rPr>
        <w:tab/>
        <w:t>Cette exclusion ne s’applique pas aux actions au titre de la présente mesure dans les installations de traitement biologique mécanique existantes, lorsque les actions au titre de la présente mesure vise</w:t>
      </w:r>
      <w:r>
        <w:rPr>
          <w:sz w:val="18"/>
          <w:szCs w:val="18"/>
        </w:rPr>
        <w:t>nt à accroître l’efficacité énergétique ou à adapter les opérations de recyclage des déchets séparés au compostage des biodéchets et à la digestion anaérobie des biodéchets, pour autant que ces actions au titre de la présente mesure n’entraînent pas une au</w:t>
      </w:r>
      <w:r>
        <w:rPr>
          <w:sz w:val="18"/>
          <w:szCs w:val="18"/>
        </w:rPr>
        <w:t>gmentation de la capacité de traitement des déchets des installations ou une prolongation de la durée de vie des installations; pour lesquels des éléments de preuve sont fournis au niveau de l’installation. </w:t>
      </w:r>
    </w:p>
  </w:footnote>
  <w:footnote w:id="14">
    <w:p w14:paraId="0AD30BCC" w14:textId="77777777" w:rsidR="00553430" w:rsidRDefault="00212577">
      <w:pPr>
        <w:pStyle w:val="FootnoteText"/>
        <w:ind w:left="426" w:hanging="426"/>
        <w:jc w:val="both"/>
        <w:rPr>
          <w:sz w:val="18"/>
          <w:szCs w:val="18"/>
        </w:rPr>
      </w:pPr>
      <w:r>
        <w:rPr>
          <w:sz w:val="14"/>
          <w:szCs w:val="14"/>
        </w:rPr>
        <w:footnoteRef/>
      </w:r>
      <w:r>
        <w:rPr>
          <w:sz w:val="14"/>
          <w:szCs w:val="14"/>
        </w:rPr>
        <w:t xml:space="preserve"> </w:t>
      </w:r>
      <w:r>
        <w:rPr>
          <w:sz w:val="18"/>
          <w:szCs w:val="18"/>
        </w:rPr>
        <w:t xml:space="preserve"> </w:t>
      </w:r>
      <w:r>
        <w:rPr>
          <w:sz w:val="18"/>
          <w:szCs w:val="18"/>
        </w:rPr>
        <w:tab/>
        <w:t>Il est considéré qu’un bénéficiaire final se</w:t>
      </w:r>
      <w:r>
        <w:rPr>
          <w:sz w:val="18"/>
          <w:szCs w:val="18"/>
        </w:rPr>
        <w:t xml:space="preserve"> concentre «de manière substantielle» sur un secteur ou une activité commerciale si les recettes brutes générées par le secteur ou l’activité faisant l’objet de restrictions dépassent 50 % des recettes brutes.</w:t>
      </w:r>
    </w:p>
  </w:footnote>
  <w:footnote w:id="15">
    <w:p w14:paraId="5D78499B" w14:textId="77777777" w:rsidR="00553430" w:rsidRDefault="00212577">
      <w:pPr>
        <w:pStyle w:val="FootnoteText"/>
        <w:ind w:left="426" w:hanging="426"/>
        <w:jc w:val="both"/>
        <w:rPr>
          <w:rFonts w:eastAsia="Times New Roman"/>
          <w:sz w:val="18"/>
          <w:szCs w:val="18"/>
        </w:rPr>
      </w:pPr>
      <w:r>
        <w:rPr>
          <w:sz w:val="14"/>
          <w:szCs w:val="14"/>
        </w:rPr>
        <w:footnoteRef/>
      </w:r>
      <w:r>
        <w:rPr>
          <w:sz w:val="14"/>
          <w:szCs w:val="14"/>
        </w:rPr>
        <w:t xml:space="preserve"> </w:t>
      </w:r>
      <w:r>
        <w:rPr>
          <w:sz w:val="18"/>
          <w:szCs w:val="18"/>
        </w:rPr>
        <w:t xml:space="preserve"> </w:t>
      </w:r>
      <w:r>
        <w:rPr>
          <w:sz w:val="18"/>
          <w:szCs w:val="18"/>
        </w:rPr>
        <w:tab/>
        <w:t>À l’exception a) des actifs et activités d</w:t>
      </w:r>
      <w:r>
        <w:rPr>
          <w:sz w:val="18"/>
          <w:szCs w:val="18"/>
        </w:rPr>
        <w:t>e production d’électricité et/ou de chaleur, ainsi que des infrastructures de transport et de distribution connexes, utilisant du gaz naturel, qui sont conformes aux conditions énoncées à l’annexe III des orientations techniques «Ne pas causer de préjudice</w:t>
      </w:r>
      <w:r>
        <w:rPr>
          <w:sz w:val="18"/>
          <w:szCs w:val="18"/>
        </w:rPr>
        <w:t xml:space="preserv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16">
    <w:p w14:paraId="6AAC977F" w14:textId="77777777" w:rsidR="00553430" w:rsidRDefault="00212577">
      <w:pPr>
        <w:pStyle w:val="FootnoteText"/>
        <w:ind w:left="426" w:hanging="426"/>
        <w:jc w:val="both"/>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Y compris les activités et les actifs relevant du système d’échange de quotas d’émission (SEQE) de l’UE qui permettent d’atteindre des émissions de gaz à effet de serre prévues qui ne sont pas inférieures aux référentiels pertinents. Lorsque l’activité s</w:t>
      </w:r>
      <w:r>
        <w:rPr>
          <w:rFonts w:eastAsia="Times New Roman"/>
          <w:sz w:val="18"/>
          <w:szCs w:val="18"/>
        </w:rPr>
        <w:t>outenue atteint des émissions de gaz à effet de serre projetées qui ne sont pas sensiblement inférieures aux référentiels pertinents, une explication des raisons pour lesquelles cela n’est pas possible est fournie. Indices de référence établis pour l’alloc</w:t>
      </w:r>
      <w:r>
        <w:rPr>
          <w:rFonts w:eastAsia="Times New Roman"/>
          <w:sz w:val="18"/>
          <w:szCs w:val="18"/>
        </w:rPr>
        <w:t>ation de quotas à titre gratuit pour les activités relevant du champ d’application du système d’échange de quotas d’émission, tels que définis dans le règlement d’exécution (UE) 2021/447 de la Commission.</w:t>
      </w:r>
    </w:p>
  </w:footnote>
  <w:footnote w:id="17">
    <w:p w14:paraId="7A3CDB52" w14:textId="77777777" w:rsidR="00553430" w:rsidRDefault="00212577">
      <w:pPr>
        <w:pStyle w:val="FootnoteText"/>
        <w:ind w:left="426" w:hanging="426"/>
        <w:jc w:val="both"/>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 xml:space="preserve">Les véhicules polluants sont définis comme des </w:t>
      </w:r>
      <w:r>
        <w:rPr>
          <w:rFonts w:eastAsia="Times New Roman"/>
          <w:sz w:val="18"/>
          <w:szCs w:val="18"/>
        </w:rPr>
        <w:t>véhicules à émissions non nulles. Cette exclusion ne s’applique pas aux aéronefs utilisés pour la protection civile ou la lutte contre l’incendie et aux véhicules à usage spécial qui sont fondés sur les meilleurs niveaux de performance environnementale dis</w:t>
      </w:r>
      <w:r>
        <w:rPr>
          <w:rFonts w:eastAsia="Times New Roman"/>
          <w:sz w:val="18"/>
          <w:szCs w:val="18"/>
        </w:rPr>
        <w:t>ponibles dans le secteur.</w:t>
      </w:r>
    </w:p>
  </w:footnote>
  <w:footnote w:id="18">
    <w:p w14:paraId="0BB6C01E" w14:textId="77777777" w:rsidR="00553430" w:rsidRDefault="00212577">
      <w:pPr>
        <w:pStyle w:val="FootnoteText"/>
        <w:ind w:left="426" w:hanging="426"/>
        <w:jc w:val="both"/>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Cette exclusion ne s’applique pas aux actions dans les installations exclusivement consacrées au traitement des déchets dangereux non recyclables, ni aux installations existantes, lorsque les actions au titre de la présente mes</w:t>
      </w:r>
      <w:r>
        <w:rPr>
          <w:rFonts w:eastAsia="Times New Roman"/>
          <w:sz w:val="18"/>
          <w:szCs w:val="18"/>
        </w:rPr>
        <w:t>ure visent à accroître l’efficacité énergétique, à capter les gaz d’échappement en vue de leur stockage ou de leur utilisation ou à récupérer des matériaux à partir de cendres d’incinération, pour autant que ces actions au titre de la présente mesure n’ent</w:t>
      </w:r>
      <w:r>
        <w:rPr>
          <w:rFonts w:eastAsia="Times New Roman"/>
          <w:sz w:val="18"/>
          <w:szCs w:val="18"/>
        </w:rPr>
        <w:t>raînent pas une augmentation de la capacité de traitement des déchets des installations ou une prolongation de la durée de vie des installations; pour lesquels des éléments de preuve sont fournis au niveau de l’installation.</w:t>
      </w:r>
    </w:p>
  </w:footnote>
  <w:footnote w:id="19">
    <w:p w14:paraId="7CF504F4" w14:textId="77777777" w:rsidR="00553430" w:rsidRDefault="00212577">
      <w:pPr>
        <w:pStyle w:val="FootnoteText"/>
        <w:rPr>
          <w:sz w:val="18"/>
          <w:szCs w:val="18"/>
        </w:rPr>
      </w:pPr>
      <w:r>
        <w:rPr>
          <w:rStyle w:val="FootnoteReference"/>
          <w:sz w:val="18"/>
          <w:szCs w:val="18"/>
        </w:rPr>
        <w:footnoteRef/>
      </w:r>
      <w:r>
        <w:rPr>
          <w:sz w:val="18"/>
          <w:szCs w:val="18"/>
        </w:rPr>
        <w:t xml:space="preserve"> </w:t>
      </w:r>
      <w:r>
        <w:rPr>
          <w:sz w:val="18"/>
          <w:szCs w:val="18"/>
        </w:rPr>
        <w:tab/>
        <w:t xml:space="preserve">En particulier, les enfants </w:t>
      </w:r>
      <w:r>
        <w:rPr>
          <w:sz w:val="18"/>
          <w:szCs w:val="18"/>
        </w:rPr>
        <w:t>roms, les enfants handicapés, les enfants vivant dans les régions les moins développées de Croatie, les enfants issus de familles de statut socio-économique inférieur et d’autres groupes d’enfants vulnérables.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24C79" w14:textId="77777777" w:rsidR="00212577" w:rsidRPr="00212577" w:rsidRDefault="00212577" w:rsidP="0021257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2E076" w14:textId="77777777" w:rsidR="00212577" w:rsidRPr="00212577" w:rsidRDefault="00212577" w:rsidP="0021257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4CD23" w14:textId="77777777" w:rsidR="00212577" w:rsidRPr="00212577" w:rsidRDefault="00212577" w:rsidP="0021257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85103" w14:textId="77777777" w:rsidR="00553430" w:rsidRDefault="005534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035FF" w14:textId="77777777" w:rsidR="00553430" w:rsidRDefault="00212577">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9B256" w14:textId="77777777" w:rsidR="00553430" w:rsidRDefault="0055343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3C1CC" w14:textId="77777777" w:rsidR="00553430" w:rsidRDefault="0055343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CF4B5" w14:textId="77777777" w:rsidR="00553430" w:rsidRDefault="00212577">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EBE54" w14:textId="77777777" w:rsidR="00553430" w:rsidRDefault="0055343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A76DC" w14:textId="77777777" w:rsidR="00553430" w:rsidRDefault="0055343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0F7C1" w14:textId="77777777" w:rsidR="00553430" w:rsidRDefault="00212577">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302F3" w14:textId="77777777" w:rsidR="00553430" w:rsidRDefault="0055343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9442D" w14:textId="77777777" w:rsidR="00553430" w:rsidRDefault="0055343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E90A0" w14:textId="77777777" w:rsidR="00553430" w:rsidRDefault="00212577">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E6A8B" w14:textId="77777777" w:rsidR="00553430" w:rsidRDefault="0055343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E92C6" w14:textId="77777777" w:rsidR="00553430" w:rsidRDefault="0055343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590B4" w14:textId="77777777" w:rsidR="00553430" w:rsidRDefault="00212577">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EFD69" w14:textId="77777777" w:rsidR="00553430" w:rsidRDefault="0055343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02872" w14:textId="77777777" w:rsidR="00553430" w:rsidRDefault="0055343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3FDF6" w14:textId="77777777" w:rsidR="00553430" w:rsidRDefault="00212577">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7DB5D" w14:textId="77777777" w:rsidR="00553430" w:rsidRDefault="0055343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BD173" w14:textId="77777777" w:rsidR="00553430" w:rsidRDefault="0055343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7892B" w14:textId="77777777" w:rsidR="00553430" w:rsidRDefault="00212577">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71648" w14:textId="77777777" w:rsidR="00553430" w:rsidRDefault="0055343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ECC82" w14:textId="77777777" w:rsidR="00553430" w:rsidRDefault="0055343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5F2CB" w14:textId="77777777" w:rsidR="00553430" w:rsidRDefault="00212577">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9EBDD" w14:textId="77777777" w:rsidR="00553430" w:rsidRDefault="0055343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C96CD" w14:textId="77777777" w:rsidR="00553430" w:rsidRDefault="0055343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184CF" w14:textId="77777777" w:rsidR="00553430" w:rsidRDefault="00212577">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A8EDB" w14:textId="77777777" w:rsidR="00553430" w:rsidRDefault="0055343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60324" w14:textId="77777777" w:rsidR="00553430" w:rsidRDefault="0055343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817DE" w14:textId="77777777" w:rsidR="00553430" w:rsidRDefault="00212577">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019EE" w14:textId="77777777" w:rsidR="00553430" w:rsidRDefault="0055343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65E1B" w14:textId="77777777" w:rsidR="00553430" w:rsidRDefault="0055343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623FC" w14:textId="77777777" w:rsidR="00553430" w:rsidRDefault="00212577">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4F033" w14:textId="77777777" w:rsidR="00553430" w:rsidRDefault="0055343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8E605" w14:textId="77777777" w:rsidR="00553430" w:rsidRDefault="0055343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EAB33" w14:textId="77777777" w:rsidR="00553430" w:rsidRDefault="00212577">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5531A" w14:textId="77777777" w:rsidR="00553430" w:rsidRDefault="0055343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AD1AA" w14:textId="77777777" w:rsidR="00553430" w:rsidRDefault="0055343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9DF11" w14:textId="77777777" w:rsidR="00553430" w:rsidRDefault="00212577">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75D3E" w14:textId="77777777" w:rsidR="00553430" w:rsidRDefault="0055343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D3636" w14:textId="77777777" w:rsidR="00553430" w:rsidRDefault="0055343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7BD58" w14:textId="77777777" w:rsidR="00553430" w:rsidRDefault="00212577">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E07A8" w14:textId="77777777" w:rsidR="00553430" w:rsidRDefault="0055343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77BE4" w14:textId="77777777" w:rsidR="00553430" w:rsidRDefault="0055343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744D5" w14:textId="77777777" w:rsidR="00553430" w:rsidRDefault="00212577">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85804" w14:textId="77777777" w:rsidR="00553430" w:rsidRDefault="0055343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D3B96" w14:textId="77777777" w:rsidR="00553430" w:rsidRDefault="0055343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4EF71" w14:textId="77777777" w:rsidR="00553430" w:rsidRDefault="00212577">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F2CBE" w14:textId="77777777" w:rsidR="00553430" w:rsidRDefault="0055343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C09B" w14:textId="77777777" w:rsidR="00553430" w:rsidRDefault="0055343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C59F5" w14:textId="77777777" w:rsidR="00553430" w:rsidRDefault="00212577">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C027B" w14:textId="77777777" w:rsidR="00553430" w:rsidRDefault="0055343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117E8" w14:textId="77777777" w:rsidR="00553430" w:rsidRDefault="0055343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91034" w14:textId="77777777" w:rsidR="00553430" w:rsidRDefault="00212577">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7F36F" w14:textId="77777777" w:rsidR="00553430" w:rsidRDefault="0055343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AA919" w14:textId="77777777" w:rsidR="00553430" w:rsidRDefault="0055343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11E9C" w14:textId="77777777" w:rsidR="00553430" w:rsidRDefault="00212577">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D20B3" w14:textId="77777777" w:rsidR="00553430" w:rsidRDefault="0055343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233EF" w14:textId="77777777" w:rsidR="00553430" w:rsidRDefault="0055343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8B923" w14:textId="77777777" w:rsidR="00553430" w:rsidRDefault="00212577">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09E56" w14:textId="77777777" w:rsidR="00553430" w:rsidRDefault="0055343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3F77D" w14:textId="77777777" w:rsidR="00553430" w:rsidRDefault="0055343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C20DF" w14:textId="77777777" w:rsidR="00553430" w:rsidRDefault="00212577">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0265B" w14:textId="77777777" w:rsidR="00553430" w:rsidRDefault="0055343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4C19D" w14:textId="77777777" w:rsidR="00553430" w:rsidRDefault="0055343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B17B0" w14:textId="77777777" w:rsidR="00553430" w:rsidRDefault="00212577">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A3F98" w14:textId="77777777" w:rsidR="00553430" w:rsidRDefault="0055343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8D6D3" w14:textId="77777777" w:rsidR="00553430" w:rsidRDefault="0055343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A0C34" w14:textId="77777777" w:rsidR="00553430" w:rsidRDefault="00212577">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6A6E3" w14:textId="77777777" w:rsidR="00553430" w:rsidRDefault="0055343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B759F" w14:textId="77777777" w:rsidR="00553430" w:rsidRDefault="0055343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3924F" w14:textId="77777777" w:rsidR="00553430" w:rsidRDefault="00212577">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A2881" w14:textId="77777777" w:rsidR="00553430" w:rsidRDefault="00553430">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3FC32" w14:textId="77777777" w:rsidR="00553430" w:rsidRDefault="00553430">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33081" w14:textId="77777777" w:rsidR="00553430" w:rsidRDefault="00212577">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0B42C" w14:textId="77777777" w:rsidR="00553430" w:rsidRDefault="00553430">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DB707" w14:textId="77777777" w:rsidR="00553430" w:rsidRDefault="00553430">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F9D0D" w14:textId="77777777" w:rsidR="00553430" w:rsidRDefault="00212577">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55BFC" w14:textId="77777777" w:rsidR="00553430" w:rsidRDefault="00553430">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C859A" w14:textId="77777777" w:rsidR="00553430" w:rsidRDefault="00553430">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37492" w14:textId="77777777" w:rsidR="00553430" w:rsidRDefault="00212577">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651A9" w14:textId="77777777" w:rsidR="00553430" w:rsidRDefault="00553430">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A211E" w14:textId="77777777" w:rsidR="00553430" w:rsidRDefault="00553430">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3B562" w14:textId="77777777" w:rsidR="00553430" w:rsidRDefault="00212577">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9308C" w14:textId="77777777" w:rsidR="00553430" w:rsidRDefault="00553430">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5803A" w14:textId="77777777" w:rsidR="00553430" w:rsidRDefault="00553430">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97C35" w14:textId="77777777" w:rsidR="00553430" w:rsidRDefault="00212577">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3936C" w14:textId="77777777" w:rsidR="00553430" w:rsidRDefault="00553430">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655" w14:textId="77777777" w:rsidR="00553430" w:rsidRDefault="00553430">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7D9A0" w14:textId="77777777" w:rsidR="00553430" w:rsidRDefault="00212577">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E3BE3" w14:textId="77777777" w:rsidR="00553430" w:rsidRDefault="00553430">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D91D4" w14:textId="77777777" w:rsidR="00553430" w:rsidRDefault="00553430">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5735D" w14:textId="77777777" w:rsidR="00553430" w:rsidRDefault="00212577">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88BC8" w14:textId="77777777" w:rsidR="00553430" w:rsidRDefault="00553430">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4497A" w14:textId="77777777" w:rsidR="00553430" w:rsidRDefault="00553430">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A39F0" w14:textId="77777777" w:rsidR="00553430" w:rsidRDefault="00212577">
    <w:r>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C3904" w14:textId="77777777" w:rsidR="00553430" w:rsidRDefault="00553430">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FC582" w14:textId="77777777" w:rsidR="00553430" w:rsidRDefault="00553430">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2BA13" w14:textId="77777777" w:rsidR="00553430" w:rsidRDefault="00212577">
    <w:r>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DFE42" w14:textId="77777777" w:rsidR="00553430" w:rsidRDefault="00553430">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A3FCC" w14:textId="77777777" w:rsidR="00553430" w:rsidRDefault="00553430">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01074" w14:textId="77777777" w:rsidR="00553430" w:rsidRDefault="00212577">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5976C" w14:textId="77777777" w:rsidR="00553430" w:rsidRDefault="00553430">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56AD8" w14:textId="77777777" w:rsidR="00553430" w:rsidRDefault="00553430">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20294" w14:textId="77777777" w:rsidR="00553430" w:rsidRDefault="00212577">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3129E" w14:textId="77777777" w:rsidR="00553430" w:rsidRDefault="00553430">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BE378" w14:textId="77777777" w:rsidR="00553430" w:rsidRDefault="00553430">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063EA" w14:textId="77777777" w:rsidR="00553430" w:rsidRDefault="00212577">
    <w:r>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8AD5A" w14:textId="77777777" w:rsidR="00553430" w:rsidRDefault="00553430">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9C189" w14:textId="77777777" w:rsidR="00553430" w:rsidRDefault="00553430">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98650" w14:textId="77777777" w:rsidR="00553430" w:rsidRDefault="00212577">
    <w:r>
      <w:t> </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F8040" w14:textId="77777777" w:rsidR="00553430" w:rsidRDefault="00553430">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E2B73" w14:textId="77777777" w:rsidR="00553430" w:rsidRDefault="00553430">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2E2F4" w14:textId="77777777" w:rsidR="00553430" w:rsidRDefault="00212577">
    <w:r>
      <w:t> </w:t>
    </w: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59B60" w14:textId="77777777" w:rsidR="00553430" w:rsidRDefault="00553430">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60678" w14:textId="77777777" w:rsidR="00553430" w:rsidRDefault="00553430">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9C2FA" w14:textId="77777777" w:rsidR="00553430" w:rsidRDefault="00212577">
    <w:r>
      <w:t>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8F7F8" w14:textId="77777777" w:rsidR="00553430" w:rsidRDefault="00553430">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B67F6" w14:textId="77777777" w:rsidR="00553430" w:rsidRDefault="00553430">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6793B" w14:textId="77777777" w:rsidR="00553430" w:rsidRDefault="00212577">
    <w:r>
      <w:t> </w:t>
    </w: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7C588" w14:textId="77777777" w:rsidR="00553430" w:rsidRDefault="00553430">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10F94" w14:textId="77777777" w:rsidR="00553430" w:rsidRDefault="00553430">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372AC" w14:textId="77777777" w:rsidR="00553430" w:rsidRDefault="00212577">
    <w:r>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B833C" w14:textId="77777777" w:rsidR="00553430" w:rsidRDefault="00553430">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A22F0" w14:textId="77777777" w:rsidR="00553430" w:rsidRDefault="00553430">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6435B" w14:textId="77777777" w:rsidR="00553430" w:rsidRDefault="00212577">
    <w:r>
      <w:t>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19781" w14:textId="77777777" w:rsidR="00553430" w:rsidRDefault="00553430">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ADA9F" w14:textId="77777777" w:rsidR="00553430" w:rsidRDefault="00553430">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F95BB" w14:textId="77777777" w:rsidR="00553430" w:rsidRDefault="00212577">
    <w:r>
      <w:t> </w:t>
    </w: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9812E" w14:textId="77777777" w:rsidR="00553430" w:rsidRDefault="00553430">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F9899" w14:textId="77777777" w:rsidR="00553430" w:rsidRDefault="00553430">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0321E" w14:textId="77777777" w:rsidR="00553430" w:rsidRDefault="00212577">
    <w:r>
      <w:t>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B165C" w14:textId="77777777" w:rsidR="00553430" w:rsidRDefault="00553430">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78ECA" w14:textId="77777777" w:rsidR="00553430" w:rsidRDefault="00553430">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9B391" w14:textId="77777777" w:rsidR="00553430" w:rsidRDefault="00212577">
    <w:r>
      <w:t> </w: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1481A" w14:textId="77777777" w:rsidR="00553430" w:rsidRDefault="00553430">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371EC" w14:textId="77777777" w:rsidR="00553430" w:rsidRDefault="00553430">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A0754" w14:textId="77777777" w:rsidR="00553430" w:rsidRDefault="00212577">
    <w:r>
      <w:t> </w:t>
    </w: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F0B13" w14:textId="77777777" w:rsidR="00553430" w:rsidRDefault="00553430">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43A32" w14:textId="77777777" w:rsidR="00553430" w:rsidRDefault="00553430">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99E31" w14:textId="77777777" w:rsidR="00553430" w:rsidRDefault="00212577">
    <w:r>
      <w:t> </w: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7342B" w14:textId="77777777" w:rsidR="00553430" w:rsidRDefault="00553430">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AB108" w14:textId="77777777" w:rsidR="00553430" w:rsidRDefault="00553430">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9CC78" w14:textId="77777777" w:rsidR="00553430" w:rsidRDefault="00212577">
    <w:r>
      <w:t> </w:t>
    </w: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215D1" w14:textId="77777777" w:rsidR="00553430" w:rsidRDefault="00553430">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A507C" w14:textId="77777777" w:rsidR="00553430" w:rsidRDefault="00553430">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3A777" w14:textId="77777777" w:rsidR="00553430" w:rsidRDefault="00212577">
    <w:r>
      <w:t> </w:t>
    </w: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1AA11" w14:textId="77777777" w:rsidR="00553430" w:rsidRDefault="00553430">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52E2B" w14:textId="77777777" w:rsidR="00553430" w:rsidRDefault="00553430">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676E2" w14:textId="77777777" w:rsidR="00553430" w:rsidRDefault="00212577">
    <w:r>
      <w:t> </w:t>
    </w: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12887" w14:textId="77777777" w:rsidR="00553430" w:rsidRDefault="00553430">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20F04" w14:textId="77777777" w:rsidR="00553430" w:rsidRDefault="00553430">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BCA9B" w14:textId="77777777" w:rsidR="00553430" w:rsidRDefault="00212577">
    <w:r>
      <w:t> </w:t>
    </w: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27C50" w14:textId="77777777" w:rsidR="00553430" w:rsidRDefault="00553430">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5C840" w14:textId="77777777" w:rsidR="00553430" w:rsidRDefault="00553430">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470E1" w14:textId="77777777" w:rsidR="00553430" w:rsidRDefault="00212577">
    <w:r>
      <w:t> </w:t>
    </w: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2265B" w14:textId="77777777" w:rsidR="00553430" w:rsidRDefault="00553430">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A4823" w14:textId="77777777" w:rsidR="00553430" w:rsidRDefault="00553430">
    <w:pPr>
      <w:pStyle w:val="Header"/>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2BFFD" w14:textId="77777777" w:rsidR="00553430" w:rsidRDefault="00212577">
    <w:r>
      <w:t> </w:t>
    </w: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C7024" w14:textId="77777777" w:rsidR="00553430" w:rsidRDefault="00553430">
    <w:pPr>
      <w:pStyle w:val="Header"/>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E6D11" w14:textId="77777777" w:rsidR="00553430" w:rsidRDefault="00553430">
    <w:pPr>
      <w:pStyle w:val="Header"/>
    </w:pP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E8861" w14:textId="77777777" w:rsidR="00553430" w:rsidRDefault="00212577">
    <w:r>
      <w:t> </w:t>
    </w: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D7BA0" w14:textId="77777777" w:rsidR="00553430" w:rsidRDefault="00553430">
    <w:pPr>
      <w:pStyle w:val="Header"/>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C1374" w14:textId="77777777" w:rsidR="00553430" w:rsidRDefault="00553430">
    <w:pPr>
      <w:pStyle w:val="Header"/>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E8BE3" w14:textId="77777777" w:rsidR="00553430" w:rsidRDefault="00212577">
    <w:r>
      <w:t> </w:t>
    </w: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AC397" w14:textId="77777777" w:rsidR="00553430" w:rsidRDefault="00553430">
    <w:pPr>
      <w:pStyle w:val="Header"/>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EE4FB" w14:textId="77777777" w:rsidR="00553430" w:rsidRDefault="00553430">
    <w:pPr>
      <w:pStyle w:val="Header"/>
    </w:pP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A9677" w14:textId="77777777" w:rsidR="00553430" w:rsidRDefault="00212577">
    <w:r>
      <w:t> </w:t>
    </w: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B35AA" w14:textId="77777777" w:rsidR="00553430" w:rsidRDefault="00553430">
    <w:pPr>
      <w:pStyle w:val="Header"/>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74519" w14:textId="77777777" w:rsidR="00553430" w:rsidRDefault="00553430">
    <w:pPr>
      <w:pStyle w:val="Header"/>
    </w:pP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1FE38" w14:textId="77777777" w:rsidR="00553430" w:rsidRDefault="00212577">
    <w:r>
      <w:t> </w:t>
    </w: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CCC54" w14:textId="77777777" w:rsidR="00553430" w:rsidRDefault="00553430">
    <w:pPr>
      <w:pStyle w:val="Header"/>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17EB5" w14:textId="77777777" w:rsidR="00553430" w:rsidRDefault="00553430">
    <w:pPr>
      <w:pStyle w:val="Header"/>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7083F" w14:textId="77777777" w:rsidR="00553430" w:rsidRDefault="00212577">
    <w:r>
      <w:t> </w:t>
    </w: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D1C41" w14:textId="77777777" w:rsidR="00553430" w:rsidRDefault="00553430">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5987F" w14:textId="77777777" w:rsidR="00553430" w:rsidRDefault="00553430">
    <w:pPr>
      <w:pStyle w:val="Header"/>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3B8B5" w14:textId="77777777" w:rsidR="00553430" w:rsidRDefault="00212577">
    <w:r>
      <w:t> </w:t>
    </w: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552F0" w14:textId="77777777" w:rsidR="00553430" w:rsidRDefault="00553430">
    <w:pPr>
      <w:pStyle w:val="Header"/>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C621" w14:textId="77777777" w:rsidR="00553430" w:rsidRDefault="00553430">
    <w:pPr>
      <w:pStyle w:val="Header"/>
    </w:pP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18C77" w14:textId="77777777" w:rsidR="00553430" w:rsidRDefault="00212577">
    <w:r>
      <w:t> </w:t>
    </w: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ECA42" w14:textId="77777777" w:rsidR="00553430" w:rsidRDefault="00553430">
    <w:pPr>
      <w:pStyle w:val="Header"/>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EC316" w14:textId="77777777" w:rsidR="00553430" w:rsidRDefault="00553430">
    <w:pPr>
      <w:pStyle w:val="Header"/>
    </w:pP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B6B4E" w14:textId="77777777" w:rsidR="00553430" w:rsidRDefault="00212577">
    <w:r>
      <w:t> </w:t>
    </w: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60245" w14:textId="77777777" w:rsidR="00553430" w:rsidRDefault="00553430">
    <w:pPr>
      <w:pStyle w:val="Header"/>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7437A" w14:textId="77777777" w:rsidR="00553430" w:rsidRDefault="00553430">
    <w:pPr>
      <w:pStyle w:val="Header"/>
    </w:pP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60BB2" w14:textId="77777777" w:rsidR="00553430" w:rsidRDefault="00212577">
    <w:r>
      <w:t> </w:t>
    </w: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217D9" w14:textId="77777777" w:rsidR="00553430" w:rsidRDefault="00553430">
    <w:pPr>
      <w:pStyle w:val="Header"/>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03FF6" w14:textId="77777777" w:rsidR="00553430" w:rsidRDefault="00553430">
    <w:pPr>
      <w:pStyle w:val="Header"/>
    </w:pP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0728B" w14:textId="77777777" w:rsidR="00553430" w:rsidRDefault="00212577">
    <w:r>
      <w:t> </w:t>
    </w: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6EA60" w14:textId="77777777" w:rsidR="00553430" w:rsidRDefault="00553430">
    <w:pPr>
      <w:pStyle w:val="Header"/>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0DC03" w14:textId="77777777" w:rsidR="00553430" w:rsidRDefault="00553430">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3ED04" w14:textId="77777777" w:rsidR="00553430" w:rsidRDefault="00212577">
    <w:r>
      <w:t> </w:t>
    </w: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9C1FB" w14:textId="77777777" w:rsidR="00553430" w:rsidRDefault="00553430">
    <w:pPr>
      <w:pStyle w:val="Header"/>
    </w:pP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D947E" w14:textId="77777777" w:rsidR="00553430" w:rsidRDefault="00553430">
    <w:pPr>
      <w:pStyle w:val="Header"/>
    </w:pP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5023" w14:textId="77777777" w:rsidR="00553430" w:rsidRDefault="00212577">
    <w:r>
      <w:t> </w:t>
    </w:r>
  </w:p>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E35CE" w14:textId="77777777" w:rsidR="00553430" w:rsidRDefault="00553430">
    <w:pPr>
      <w:pStyle w:val="Header"/>
    </w:pP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151B6" w14:textId="77777777" w:rsidR="00553430" w:rsidRDefault="00553430">
    <w:pPr>
      <w:pStyle w:val="Header"/>
    </w:pP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BFAFA" w14:textId="77777777" w:rsidR="00553430" w:rsidRDefault="00212577">
    <w:r>
      <w:t> </w:t>
    </w: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144A5" w14:textId="77777777" w:rsidR="00553430" w:rsidRDefault="00553430">
    <w:pPr>
      <w:pStyle w:val="Header"/>
    </w:pP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D711C" w14:textId="77777777" w:rsidR="00553430" w:rsidRDefault="00553430">
    <w:pPr>
      <w:pStyle w:val="Header"/>
    </w:pP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DCDC1" w14:textId="77777777" w:rsidR="00553430" w:rsidRDefault="00212577">
    <w:r>
      <w:t> </w:t>
    </w:r>
  </w:p>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B31DB" w14:textId="77777777" w:rsidR="00553430" w:rsidRDefault="00553430">
    <w:pPr>
      <w:pStyle w:val="Header"/>
    </w:pPr>
  </w:p>
</w:hdr>
</file>

<file path=word/header2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A9D84" w14:textId="77777777" w:rsidR="00553430" w:rsidRDefault="00553430">
    <w:pPr>
      <w:pStyle w:val="Header"/>
    </w:pPr>
  </w:p>
</w:hdr>
</file>

<file path=word/header2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67BFD" w14:textId="77777777" w:rsidR="00553430" w:rsidRDefault="00212577">
    <w:r>
      <w:t> </w:t>
    </w:r>
  </w:p>
</w:hdr>
</file>

<file path=word/header2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802DB" w14:textId="77777777" w:rsidR="00553430" w:rsidRDefault="00553430">
    <w:pPr>
      <w:pStyle w:val="Header"/>
    </w:pPr>
  </w:p>
</w:hdr>
</file>

<file path=word/header2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E0C9F" w14:textId="77777777" w:rsidR="00553430" w:rsidRDefault="00553430">
    <w:pPr>
      <w:pStyle w:val="Header"/>
    </w:pPr>
  </w:p>
</w:hdr>
</file>

<file path=word/header2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A2CE" w14:textId="77777777" w:rsidR="00553430" w:rsidRDefault="00212577">
    <w:r>
      <w:t> </w:t>
    </w:r>
  </w:p>
</w:hdr>
</file>

<file path=word/header2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A0C5E" w14:textId="77777777" w:rsidR="00553430" w:rsidRDefault="00553430">
    <w:pPr>
      <w:pStyle w:val="Header"/>
    </w:pPr>
  </w:p>
</w:hdr>
</file>

<file path=word/header2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0D87F" w14:textId="77777777" w:rsidR="00553430" w:rsidRDefault="00553430">
    <w:pPr>
      <w:pStyle w:val="Header"/>
    </w:pPr>
  </w:p>
</w:hdr>
</file>

<file path=word/header2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FB575" w14:textId="77777777" w:rsidR="00553430" w:rsidRDefault="00212577">
    <w:r>
      <w:t> </w:t>
    </w:r>
  </w:p>
</w:hdr>
</file>

<file path=word/header2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CF315" w14:textId="77777777" w:rsidR="00553430" w:rsidRDefault="00553430">
    <w:pPr>
      <w:pStyle w:val="Header"/>
    </w:pPr>
  </w:p>
</w:hdr>
</file>

<file path=word/header2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73B15" w14:textId="77777777" w:rsidR="00553430" w:rsidRDefault="00553430">
    <w:pPr>
      <w:pStyle w:val="Header"/>
    </w:pPr>
  </w:p>
</w:hdr>
</file>

<file path=word/header2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CA62F" w14:textId="77777777" w:rsidR="00553430" w:rsidRDefault="00212577">
    <w:r>
      <w:t> </w:t>
    </w:r>
  </w:p>
</w:hdr>
</file>

<file path=word/header2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2E072" w14:textId="77777777" w:rsidR="00553430" w:rsidRDefault="00553430">
    <w:pPr>
      <w:pStyle w:val="Header"/>
    </w:pPr>
  </w:p>
</w:hdr>
</file>

<file path=word/header2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63E52" w14:textId="77777777" w:rsidR="00553430" w:rsidRDefault="00553430">
    <w:pPr>
      <w:pStyle w:val="Header"/>
    </w:pPr>
  </w:p>
</w:hdr>
</file>

<file path=word/header2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C8C0A" w14:textId="77777777" w:rsidR="00553430" w:rsidRDefault="00212577">
    <w:r>
      <w:t> </w:t>
    </w:r>
  </w:p>
</w:hdr>
</file>

<file path=word/header2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2564B" w14:textId="77777777" w:rsidR="00553430" w:rsidRDefault="00553430">
    <w:pPr>
      <w:pStyle w:val="Header"/>
    </w:pPr>
  </w:p>
</w:hdr>
</file>

<file path=word/header2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8482E" w14:textId="77777777" w:rsidR="00553430" w:rsidRDefault="00553430">
    <w:pPr>
      <w:pStyle w:val="Header"/>
    </w:pPr>
  </w:p>
</w:hdr>
</file>

<file path=word/header2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1AF9E" w14:textId="77777777" w:rsidR="00553430" w:rsidRDefault="00212577">
    <w:r>
      <w:t> </w:t>
    </w:r>
  </w:p>
</w:hdr>
</file>

<file path=word/header2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47832" w14:textId="77777777" w:rsidR="00553430" w:rsidRDefault="00553430">
    <w:pPr>
      <w:pStyle w:val="Header"/>
    </w:pPr>
  </w:p>
</w:hdr>
</file>

<file path=word/header2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75E83" w14:textId="77777777" w:rsidR="00553430" w:rsidRDefault="00553430">
    <w:pPr>
      <w:pStyle w:val="Header"/>
    </w:pPr>
  </w:p>
</w:hdr>
</file>

<file path=word/header2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60E0D" w14:textId="77777777" w:rsidR="00553430" w:rsidRDefault="00212577">
    <w:r>
      <w:t> </w:t>
    </w:r>
  </w:p>
</w:hdr>
</file>

<file path=word/header2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A56F" w14:textId="77777777" w:rsidR="00553430" w:rsidRDefault="00553430">
    <w:pPr>
      <w:pStyle w:val="Header"/>
    </w:pPr>
  </w:p>
</w:hdr>
</file>

<file path=word/header2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DE55D" w14:textId="77777777" w:rsidR="00553430" w:rsidRDefault="00553430">
    <w:pPr>
      <w:pStyle w:val="Header"/>
    </w:pPr>
  </w:p>
</w:hdr>
</file>

<file path=word/header2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75976" w14:textId="77777777" w:rsidR="00553430" w:rsidRDefault="00212577">
    <w:r>
      <w:t> </w:t>
    </w:r>
  </w:p>
</w:hdr>
</file>

<file path=word/header2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13C20" w14:textId="77777777" w:rsidR="00553430" w:rsidRDefault="00553430">
    <w:pPr>
      <w:pStyle w:val="Header"/>
    </w:pPr>
  </w:p>
</w:hdr>
</file>

<file path=word/header2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FBC07" w14:textId="77777777" w:rsidR="00553430" w:rsidRDefault="00553430">
    <w:pPr>
      <w:pStyle w:val="Header"/>
    </w:pPr>
  </w:p>
</w:hdr>
</file>

<file path=word/header2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D853C" w14:textId="77777777" w:rsidR="00553430" w:rsidRDefault="00212577">
    <w:r>
      <w:t> </w:t>
    </w:r>
  </w:p>
</w:hdr>
</file>

<file path=word/header2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1842C" w14:textId="77777777" w:rsidR="00553430" w:rsidRDefault="005534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82DC9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D2C5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29445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3456D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CDCBF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DEF5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6B8A3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90A8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CAF4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F48B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2161EA"/>
    <w:multiLevelType w:val="hybridMultilevel"/>
    <w:tmpl w:val="6DCE0BCC"/>
    <w:lvl w:ilvl="0" w:tplc="E7B24D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27C77FD"/>
    <w:multiLevelType w:val="hybridMultilevel"/>
    <w:tmpl w:val="0DA84EE4"/>
    <w:lvl w:ilvl="0" w:tplc="4D866DF0">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7D09E6"/>
    <w:multiLevelType w:val="hybridMultilevel"/>
    <w:tmpl w:val="C1FA38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4"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15" w15:restartNumberingAfterBreak="0">
    <w:nsid w:val="08A307DD"/>
    <w:multiLevelType w:val="hybridMultilevel"/>
    <w:tmpl w:val="13A60900"/>
    <w:lvl w:ilvl="0" w:tplc="760E763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7" w15:restartNumberingAfterBreak="0">
    <w:nsid w:val="0A7EA0E4"/>
    <w:multiLevelType w:val="hybridMultilevel"/>
    <w:tmpl w:val="4796B168"/>
    <w:lvl w:ilvl="0" w:tplc="679AD682">
      <w:start w:val="1"/>
      <w:numFmt w:val="decimal"/>
      <w:lvlText w:val="%1)"/>
      <w:lvlJc w:val="left"/>
      <w:pPr>
        <w:ind w:left="720" w:hanging="360"/>
      </w:pPr>
    </w:lvl>
    <w:lvl w:ilvl="1" w:tplc="EA8C9E96">
      <w:start w:val="1"/>
      <w:numFmt w:val="lowerLetter"/>
      <w:lvlText w:val="%2."/>
      <w:lvlJc w:val="left"/>
      <w:pPr>
        <w:ind w:left="1440" w:hanging="360"/>
      </w:pPr>
    </w:lvl>
    <w:lvl w:ilvl="2" w:tplc="8376E3BA">
      <w:start w:val="1"/>
      <w:numFmt w:val="lowerRoman"/>
      <w:lvlText w:val="%3."/>
      <w:lvlJc w:val="right"/>
      <w:pPr>
        <w:ind w:left="2160" w:hanging="180"/>
      </w:pPr>
    </w:lvl>
    <w:lvl w:ilvl="3" w:tplc="025A9E68">
      <w:start w:val="1"/>
      <w:numFmt w:val="decimal"/>
      <w:lvlText w:val="%4."/>
      <w:lvlJc w:val="left"/>
      <w:pPr>
        <w:ind w:left="2880" w:hanging="360"/>
      </w:pPr>
    </w:lvl>
    <w:lvl w:ilvl="4" w:tplc="AB100CBC">
      <w:start w:val="1"/>
      <w:numFmt w:val="lowerLetter"/>
      <w:lvlText w:val="%5."/>
      <w:lvlJc w:val="left"/>
      <w:pPr>
        <w:ind w:left="3600" w:hanging="360"/>
      </w:pPr>
    </w:lvl>
    <w:lvl w:ilvl="5" w:tplc="FA205D72">
      <w:start w:val="1"/>
      <w:numFmt w:val="lowerRoman"/>
      <w:lvlText w:val="%6."/>
      <w:lvlJc w:val="right"/>
      <w:pPr>
        <w:ind w:left="4320" w:hanging="180"/>
      </w:pPr>
    </w:lvl>
    <w:lvl w:ilvl="6" w:tplc="76C0349E">
      <w:start w:val="1"/>
      <w:numFmt w:val="decimal"/>
      <w:lvlText w:val="%7."/>
      <w:lvlJc w:val="left"/>
      <w:pPr>
        <w:ind w:left="5040" w:hanging="360"/>
      </w:pPr>
    </w:lvl>
    <w:lvl w:ilvl="7" w:tplc="E6A2782E">
      <w:start w:val="1"/>
      <w:numFmt w:val="lowerLetter"/>
      <w:lvlText w:val="%8."/>
      <w:lvlJc w:val="left"/>
      <w:pPr>
        <w:ind w:left="5760" w:hanging="360"/>
      </w:pPr>
    </w:lvl>
    <w:lvl w:ilvl="8" w:tplc="17A47776">
      <w:start w:val="1"/>
      <w:numFmt w:val="lowerRoman"/>
      <w:lvlText w:val="%9."/>
      <w:lvlJc w:val="right"/>
      <w:pPr>
        <w:ind w:left="6480" w:hanging="180"/>
      </w:pPr>
    </w:lvl>
  </w:abstractNum>
  <w:abstractNum w:abstractNumId="18"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9" w15:restartNumberingAfterBreak="0">
    <w:nsid w:val="0DFA579A"/>
    <w:multiLevelType w:val="hybridMultilevel"/>
    <w:tmpl w:val="6128DAD0"/>
    <w:lvl w:ilvl="0" w:tplc="CF86C3D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0F6F4DA8"/>
    <w:multiLevelType w:val="multilevel"/>
    <w:tmpl w:val="FB62A0B4"/>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16976477"/>
    <w:multiLevelType w:val="hybridMultilevel"/>
    <w:tmpl w:val="6A048E4C"/>
    <w:lvl w:ilvl="0" w:tplc="0CEACD3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6D06282"/>
    <w:multiLevelType w:val="hybridMultilevel"/>
    <w:tmpl w:val="8A960314"/>
    <w:lvl w:ilvl="0" w:tplc="7FCC472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175428C7"/>
    <w:multiLevelType w:val="hybridMultilevel"/>
    <w:tmpl w:val="81E0E950"/>
    <w:lvl w:ilvl="0" w:tplc="B83EB5E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2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27" w15:restartNumberingAfterBreak="0">
    <w:nsid w:val="21F74AD3"/>
    <w:multiLevelType w:val="hybridMultilevel"/>
    <w:tmpl w:val="67E087B2"/>
    <w:lvl w:ilvl="0" w:tplc="128016B2">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9"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32B688E"/>
    <w:multiLevelType w:val="hybridMultilevel"/>
    <w:tmpl w:val="2EA61348"/>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40A5AC8"/>
    <w:multiLevelType w:val="hybridMultilevel"/>
    <w:tmpl w:val="FBFCB438"/>
    <w:lvl w:ilvl="0" w:tplc="0CEACD3E">
      <w:numFmt w:val="bullet"/>
      <w:lvlText w:val="-"/>
      <w:lvlJc w:val="left"/>
      <w:pPr>
        <w:ind w:left="1080" w:hanging="720"/>
      </w:pPr>
      <w:rPr>
        <w:rFonts w:ascii="Times New Roman" w:eastAsiaTheme="minorHAns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284069E4"/>
    <w:multiLevelType w:val="hybridMultilevel"/>
    <w:tmpl w:val="70D4FB68"/>
    <w:lvl w:ilvl="0" w:tplc="9FB695E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A2E70CA"/>
    <w:multiLevelType w:val="multilevel"/>
    <w:tmpl w:val="0409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3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38" w15:restartNumberingAfterBreak="0">
    <w:nsid w:val="30450841"/>
    <w:multiLevelType w:val="hybridMultilevel"/>
    <w:tmpl w:val="1D86DF28"/>
    <w:lvl w:ilvl="0" w:tplc="16BA58D4">
      <w:start w:val="1"/>
      <w:numFmt w:val="lowerRoman"/>
      <w:lvlText w:val="%1)"/>
      <w:lvlJc w:val="left"/>
      <w:pPr>
        <w:ind w:left="770" w:hanging="720"/>
      </w:pPr>
      <w:rPr>
        <w:rFonts w:hint="default"/>
      </w:rPr>
    </w:lvl>
    <w:lvl w:ilvl="1" w:tplc="18090019" w:tentative="1">
      <w:start w:val="1"/>
      <w:numFmt w:val="lowerLetter"/>
      <w:lvlText w:val="%2."/>
      <w:lvlJc w:val="left"/>
      <w:pPr>
        <w:ind w:left="1130" w:hanging="360"/>
      </w:pPr>
    </w:lvl>
    <w:lvl w:ilvl="2" w:tplc="1809001B" w:tentative="1">
      <w:start w:val="1"/>
      <w:numFmt w:val="lowerRoman"/>
      <w:lvlText w:val="%3."/>
      <w:lvlJc w:val="right"/>
      <w:pPr>
        <w:ind w:left="1850" w:hanging="180"/>
      </w:pPr>
    </w:lvl>
    <w:lvl w:ilvl="3" w:tplc="1809000F" w:tentative="1">
      <w:start w:val="1"/>
      <w:numFmt w:val="decimal"/>
      <w:lvlText w:val="%4."/>
      <w:lvlJc w:val="left"/>
      <w:pPr>
        <w:ind w:left="2570" w:hanging="360"/>
      </w:pPr>
    </w:lvl>
    <w:lvl w:ilvl="4" w:tplc="18090019" w:tentative="1">
      <w:start w:val="1"/>
      <w:numFmt w:val="lowerLetter"/>
      <w:lvlText w:val="%5."/>
      <w:lvlJc w:val="left"/>
      <w:pPr>
        <w:ind w:left="3290" w:hanging="360"/>
      </w:pPr>
    </w:lvl>
    <w:lvl w:ilvl="5" w:tplc="1809001B" w:tentative="1">
      <w:start w:val="1"/>
      <w:numFmt w:val="lowerRoman"/>
      <w:lvlText w:val="%6."/>
      <w:lvlJc w:val="right"/>
      <w:pPr>
        <w:ind w:left="4010" w:hanging="180"/>
      </w:pPr>
    </w:lvl>
    <w:lvl w:ilvl="6" w:tplc="1809000F" w:tentative="1">
      <w:start w:val="1"/>
      <w:numFmt w:val="decimal"/>
      <w:lvlText w:val="%7."/>
      <w:lvlJc w:val="left"/>
      <w:pPr>
        <w:ind w:left="4730" w:hanging="360"/>
      </w:pPr>
    </w:lvl>
    <w:lvl w:ilvl="7" w:tplc="18090019" w:tentative="1">
      <w:start w:val="1"/>
      <w:numFmt w:val="lowerLetter"/>
      <w:lvlText w:val="%8."/>
      <w:lvlJc w:val="left"/>
      <w:pPr>
        <w:ind w:left="5450" w:hanging="360"/>
      </w:pPr>
    </w:lvl>
    <w:lvl w:ilvl="8" w:tplc="1809001B" w:tentative="1">
      <w:start w:val="1"/>
      <w:numFmt w:val="lowerRoman"/>
      <w:lvlText w:val="%9."/>
      <w:lvlJc w:val="right"/>
      <w:pPr>
        <w:ind w:left="6170" w:hanging="180"/>
      </w:pPr>
    </w:lvl>
  </w:abstractNum>
  <w:abstractNum w:abstractNumId="39" w15:restartNumberingAfterBreak="0">
    <w:nsid w:val="321C0C3B"/>
    <w:multiLevelType w:val="hybridMultilevel"/>
    <w:tmpl w:val="1C72A07A"/>
    <w:lvl w:ilvl="0" w:tplc="B83EB5E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7F87260"/>
    <w:multiLevelType w:val="hybridMultilevel"/>
    <w:tmpl w:val="682AAEE2"/>
    <w:lvl w:ilvl="0" w:tplc="C2CCAE3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87FB44B"/>
    <w:multiLevelType w:val="hybridMultilevel"/>
    <w:tmpl w:val="DEA05708"/>
    <w:lvl w:ilvl="0" w:tplc="567A1E18">
      <w:start w:val="1"/>
      <w:numFmt w:val="bullet"/>
      <w:lvlText w:val=""/>
      <w:lvlJc w:val="left"/>
      <w:pPr>
        <w:ind w:left="720" w:hanging="360"/>
      </w:pPr>
      <w:rPr>
        <w:rFonts w:ascii="Symbol" w:hAnsi="Symbol" w:hint="default"/>
      </w:rPr>
    </w:lvl>
    <w:lvl w:ilvl="1" w:tplc="CC88F1B8">
      <w:start w:val="1"/>
      <w:numFmt w:val="bullet"/>
      <w:lvlText w:val="o"/>
      <w:lvlJc w:val="left"/>
      <w:pPr>
        <w:ind w:left="1440" w:hanging="360"/>
      </w:pPr>
      <w:rPr>
        <w:rFonts w:ascii="Courier New" w:hAnsi="Courier New" w:hint="default"/>
      </w:rPr>
    </w:lvl>
    <w:lvl w:ilvl="2" w:tplc="A7D6695C">
      <w:start w:val="1"/>
      <w:numFmt w:val="bullet"/>
      <w:lvlText w:val=""/>
      <w:lvlJc w:val="left"/>
      <w:pPr>
        <w:ind w:left="2160" w:hanging="360"/>
      </w:pPr>
      <w:rPr>
        <w:rFonts w:ascii="Wingdings" w:hAnsi="Wingdings" w:hint="default"/>
      </w:rPr>
    </w:lvl>
    <w:lvl w:ilvl="3" w:tplc="762859C8">
      <w:start w:val="1"/>
      <w:numFmt w:val="bullet"/>
      <w:lvlText w:val=""/>
      <w:lvlJc w:val="left"/>
      <w:pPr>
        <w:ind w:left="2880" w:hanging="360"/>
      </w:pPr>
      <w:rPr>
        <w:rFonts w:ascii="Symbol" w:hAnsi="Symbol" w:hint="default"/>
      </w:rPr>
    </w:lvl>
    <w:lvl w:ilvl="4" w:tplc="E0C0B2A8">
      <w:start w:val="1"/>
      <w:numFmt w:val="bullet"/>
      <w:lvlText w:val="o"/>
      <w:lvlJc w:val="left"/>
      <w:pPr>
        <w:ind w:left="3600" w:hanging="360"/>
      </w:pPr>
      <w:rPr>
        <w:rFonts w:ascii="Courier New" w:hAnsi="Courier New" w:hint="default"/>
      </w:rPr>
    </w:lvl>
    <w:lvl w:ilvl="5" w:tplc="5AD41340">
      <w:start w:val="1"/>
      <w:numFmt w:val="bullet"/>
      <w:lvlText w:val=""/>
      <w:lvlJc w:val="left"/>
      <w:pPr>
        <w:ind w:left="4320" w:hanging="360"/>
      </w:pPr>
      <w:rPr>
        <w:rFonts w:ascii="Wingdings" w:hAnsi="Wingdings" w:hint="default"/>
      </w:rPr>
    </w:lvl>
    <w:lvl w:ilvl="6" w:tplc="F118C9DE">
      <w:start w:val="1"/>
      <w:numFmt w:val="bullet"/>
      <w:lvlText w:val=""/>
      <w:lvlJc w:val="left"/>
      <w:pPr>
        <w:ind w:left="5040" w:hanging="360"/>
      </w:pPr>
      <w:rPr>
        <w:rFonts w:ascii="Symbol" w:hAnsi="Symbol" w:hint="default"/>
      </w:rPr>
    </w:lvl>
    <w:lvl w:ilvl="7" w:tplc="07D23DC0">
      <w:start w:val="1"/>
      <w:numFmt w:val="bullet"/>
      <w:lvlText w:val="o"/>
      <w:lvlJc w:val="left"/>
      <w:pPr>
        <w:ind w:left="5760" w:hanging="360"/>
      </w:pPr>
      <w:rPr>
        <w:rFonts w:ascii="Courier New" w:hAnsi="Courier New" w:hint="default"/>
      </w:rPr>
    </w:lvl>
    <w:lvl w:ilvl="8" w:tplc="666472EA">
      <w:start w:val="1"/>
      <w:numFmt w:val="bullet"/>
      <w:lvlText w:val=""/>
      <w:lvlJc w:val="left"/>
      <w:pPr>
        <w:ind w:left="6480" w:hanging="360"/>
      </w:pPr>
      <w:rPr>
        <w:rFonts w:ascii="Wingdings" w:hAnsi="Wingdings" w:hint="default"/>
      </w:rPr>
    </w:lvl>
  </w:abstractNum>
  <w:abstractNum w:abstractNumId="42"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43" w15:restartNumberingAfterBreak="0">
    <w:nsid w:val="39D9733B"/>
    <w:multiLevelType w:val="hybridMultilevel"/>
    <w:tmpl w:val="E1ECA474"/>
    <w:lvl w:ilvl="0" w:tplc="8AB60638">
      <w:start w:val="1"/>
      <w:numFmt w:val="lowerRoman"/>
      <w:lvlText w:val="%1)"/>
      <w:lvlJc w:val="left"/>
      <w:pPr>
        <w:ind w:left="1080" w:hanging="720"/>
      </w:pPr>
      <w:rPr>
        <w:rFonts w:asciiTheme="minorHAnsi" w:eastAsiaTheme="minorEastAsia" w:hAnsiTheme="minorHAnsi" w:cstheme="minorBid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45" w15:restartNumberingAfterBreak="0">
    <w:nsid w:val="3E447E24"/>
    <w:multiLevelType w:val="hybridMultilevel"/>
    <w:tmpl w:val="A15E2E82"/>
    <w:lvl w:ilvl="0" w:tplc="60C01E8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3E836F05"/>
    <w:multiLevelType w:val="multilevel"/>
    <w:tmpl w:val="04090023"/>
    <w:styleLink w:val="ArticleSection"/>
    <w:lvl w:ilvl="0">
      <w:start w:val="1"/>
      <w:numFmt w:val="upperRoman"/>
      <w:lvlText w:val="Article %1."/>
      <w:lvlJc w:val="left"/>
      <w:pPr>
        <w:ind w:left="0" w:firstLine="0"/>
      </w:pPr>
      <w:rPr>
        <w:rFonts w:ascii="Arial" w:hAnsi="Arial" w:cs="Arial"/>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48" w15:restartNumberingAfterBreak="0">
    <w:nsid w:val="401D58D2"/>
    <w:multiLevelType w:val="hybridMultilevel"/>
    <w:tmpl w:val="8124E400"/>
    <w:lvl w:ilvl="0" w:tplc="0CEACD3E">
      <w:numFmt w:val="bullet"/>
      <w:lvlText w:val="-"/>
      <w:lvlJc w:val="left"/>
      <w:pPr>
        <w:ind w:left="720" w:hanging="360"/>
      </w:pPr>
      <w:rPr>
        <w:rFonts w:ascii="Times New Roman" w:eastAsiaTheme="minorHAns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426605BC"/>
    <w:multiLevelType w:val="multilevel"/>
    <w:tmpl w:val="543E3B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51" w15:restartNumberingAfterBreak="0">
    <w:nsid w:val="46213169"/>
    <w:multiLevelType w:val="multilevel"/>
    <w:tmpl w:val="7668FC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63D5655"/>
    <w:multiLevelType w:val="multilevel"/>
    <w:tmpl w:val="7884D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86F11FC"/>
    <w:multiLevelType w:val="hybridMultilevel"/>
    <w:tmpl w:val="3E2A29B2"/>
    <w:lvl w:ilvl="0" w:tplc="237EDD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AC242EF"/>
    <w:multiLevelType w:val="hybridMultilevel"/>
    <w:tmpl w:val="BF141016"/>
    <w:lvl w:ilvl="0" w:tplc="8594059A">
      <w:start w:val="1"/>
      <w:numFmt w:val="lowerRoman"/>
      <w:lvlText w:val="%1)"/>
      <w:lvlJc w:val="left"/>
      <w:pPr>
        <w:ind w:left="720" w:hanging="360"/>
      </w:pPr>
      <w:rPr>
        <w:rFonts w:ascii="Times New Roman" w:eastAsia="Calibri"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4F1814D5"/>
    <w:multiLevelType w:val="multilevel"/>
    <w:tmpl w:val="A5683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5944CF3"/>
    <w:multiLevelType w:val="multilevel"/>
    <w:tmpl w:val="9FAAE9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58" w15:restartNumberingAfterBreak="0">
    <w:nsid w:val="57B75B56"/>
    <w:multiLevelType w:val="hybridMultilevel"/>
    <w:tmpl w:val="333873DE"/>
    <w:lvl w:ilvl="0" w:tplc="9AE6D7CA">
      <w:start w:val="1"/>
      <w:numFmt w:val="lowerRoman"/>
      <w:lvlText w:val="%1)"/>
      <w:lvlJc w:val="left"/>
      <w:pPr>
        <w:ind w:left="720" w:hanging="360"/>
      </w:pPr>
      <w:rPr>
        <w:rFonts w:ascii="Times New Roman" w:eastAsia="Calibri" w:hAnsi="Times New Roman" w:cs="Times New Roman"/>
      </w:rPr>
    </w:lvl>
    <w:lvl w:ilvl="1" w:tplc="66DEE652">
      <w:start w:val="1"/>
      <w:numFmt w:val="lowerLetter"/>
      <w:lvlText w:val="%2."/>
      <w:lvlJc w:val="left"/>
      <w:pPr>
        <w:ind w:left="1440" w:hanging="360"/>
      </w:pPr>
    </w:lvl>
    <w:lvl w:ilvl="2" w:tplc="5C50CD66">
      <w:start w:val="1"/>
      <w:numFmt w:val="lowerRoman"/>
      <w:lvlText w:val="%3."/>
      <w:lvlJc w:val="right"/>
      <w:pPr>
        <w:ind w:left="2160" w:hanging="180"/>
      </w:pPr>
    </w:lvl>
    <w:lvl w:ilvl="3" w:tplc="774C130A">
      <w:start w:val="1"/>
      <w:numFmt w:val="decimal"/>
      <w:lvlText w:val="%4."/>
      <w:lvlJc w:val="left"/>
      <w:pPr>
        <w:ind w:left="2880" w:hanging="360"/>
      </w:pPr>
    </w:lvl>
    <w:lvl w:ilvl="4" w:tplc="C22A4A64">
      <w:start w:val="1"/>
      <w:numFmt w:val="lowerLetter"/>
      <w:lvlText w:val="%5."/>
      <w:lvlJc w:val="left"/>
      <w:pPr>
        <w:ind w:left="3600" w:hanging="360"/>
      </w:pPr>
    </w:lvl>
    <w:lvl w:ilvl="5" w:tplc="3836D6C2">
      <w:start w:val="1"/>
      <w:numFmt w:val="lowerRoman"/>
      <w:lvlText w:val="%6."/>
      <w:lvlJc w:val="right"/>
      <w:pPr>
        <w:ind w:left="4320" w:hanging="180"/>
      </w:pPr>
    </w:lvl>
    <w:lvl w:ilvl="6" w:tplc="5922C4AC">
      <w:start w:val="1"/>
      <w:numFmt w:val="decimal"/>
      <w:lvlText w:val="%7."/>
      <w:lvlJc w:val="left"/>
      <w:pPr>
        <w:ind w:left="5040" w:hanging="360"/>
      </w:pPr>
    </w:lvl>
    <w:lvl w:ilvl="7" w:tplc="AF027C60">
      <w:start w:val="1"/>
      <w:numFmt w:val="lowerLetter"/>
      <w:lvlText w:val="%8."/>
      <w:lvlJc w:val="left"/>
      <w:pPr>
        <w:ind w:left="5760" w:hanging="360"/>
      </w:pPr>
    </w:lvl>
    <w:lvl w:ilvl="8" w:tplc="0E726754">
      <w:start w:val="1"/>
      <w:numFmt w:val="lowerRoman"/>
      <w:lvlText w:val="%9."/>
      <w:lvlJc w:val="right"/>
      <w:pPr>
        <w:ind w:left="6480" w:hanging="180"/>
      </w:pPr>
    </w:lvl>
  </w:abstractNum>
  <w:abstractNum w:abstractNumId="59"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58270A06"/>
    <w:multiLevelType w:val="multilevel"/>
    <w:tmpl w:val="0409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62" w15:restartNumberingAfterBreak="0">
    <w:nsid w:val="66E8322C"/>
    <w:multiLevelType w:val="hybridMultilevel"/>
    <w:tmpl w:val="2B48F81C"/>
    <w:lvl w:ilvl="0" w:tplc="FC50279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3"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64" w15:restartNumberingAfterBreak="0">
    <w:nsid w:val="681A7049"/>
    <w:multiLevelType w:val="hybridMultilevel"/>
    <w:tmpl w:val="C1627BDE"/>
    <w:lvl w:ilvl="0" w:tplc="63DC6B9E">
      <w:start w:val="1"/>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66" w15:restartNumberingAfterBreak="0">
    <w:nsid w:val="69DC7287"/>
    <w:multiLevelType w:val="multilevel"/>
    <w:tmpl w:val="FD7ABDB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6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6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70" w15:restartNumberingAfterBreak="0">
    <w:nsid w:val="6F847AB0"/>
    <w:multiLevelType w:val="hybridMultilevel"/>
    <w:tmpl w:val="C4FA45C8"/>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1" w15:restartNumberingAfterBreak="0">
    <w:nsid w:val="71192BC1"/>
    <w:multiLevelType w:val="hybridMultilevel"/>
    <w:tmpl w:val="68EE1420"/>
    <w:lvl w:ilvl="0" w:tplc="56B86514">
      <w:start w:val="1"/>
      <w:numFmt w:val="lowerRoman"/>
      <w:lvlText w:val="%1)"/>
      <w:lvlJc w:val="left"/>
      <w:pPr>
        <w:ind w:left="1080" w:hanging="720"/>
      </w:pPr>
      <w:rPr>
        <w:rFonts w:ascii="Times New Roman" w:eastAsia="Calibri" w:hAnsi="Times New Roman"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2" w15:restartNumberingAfterBreak="0">
    <w:nsid w:val="7407730D"/>
    <w:multiLevelType w:val="multilevel"/>
    <w:tmpl w:val="110097BC"/>
    <w:lvl w:ilvl="0">
      <w:start w:val="1"/>
      <w:numFmt w:val="lowerRoman"/>
      <w:lvlText w:val="%1."/>
      <w:lvlJc w:val="righ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4175447"/>
    <w:multiLevelType w:val="hybridMultilevel"/>
    <w:tmpl w:val="01080B98"/>
    <w:lvl w:ilvl="0" w:tplc="D2FEE684">
      <w:start w:val="1"/>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46E03D0"/>
    <w:multiLevelType w:val="hybridMultilevel"/>
    <w:tmpl w:val="EA509B9E"/>
    <w:lvl w:ilvl="0" w:tplc="AFB405E8">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76" w15:restartNumberingAfterBreak="0">
    <w:nsid w:val="75D3659A"/>
    <w:multiLevelType w:val="hybridMultilevel"/>
    <w:tmpl w:val="FA9CDD92"/>
    <w:lvl w:ilvl="0" w:tplc="22DEEC9E">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7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7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8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81" w15:restartNumberingAfterBreak="0">
    <w:nsid w:val="7B860B70"/>
    <w:multiLevelType w:val="hybridMultilevel"/>
    <w:tmpl w:val="67E087B2"/>
    <w:lvl w:ilvl="0" w:tplc="128016B2">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EC23D5C"/>
    <w:multiLevelType w:val="hybridMultilevel"/>
    <w:tmpl w:val="CA103F4A"/>
    <w:lvl w:ilvl="0" w:tplc="5BFC5B2A">
      <w:numFmt w:val="bullet"/>
      <w:lvlText w:val="-"/>
      <w:lvlJc w:val="left"/>
      <w:pPr>
        <w:ind w:left="720" w:hanging="360"/>
      </w:pPr>
      <w:rPr>
        <w:rFonts w:ascii="Times New Roman" w:eastAsiaTheme="minorEastAsia"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FEA7E28"/>
    <w:multiLevelType w:val="hybridMultilevel"/>
    <w:tmpl w:val="2102C9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3"/>
  </w:num>
  <w:num w:numId="2">
    <w:abstractNumId w:val="32"/>
  </w:num>
  <w:num w:numId="3">
    <w:abstractNumId w:val="26"/>
  </w:num>
  <w:num w:numId="4">
    <w:abstractNumId w:val="25"/>
  </w:num>
  <w:num w:numId="5">
    <w:abstractNumId w:val="65"/>
  </w:num>
  <w:num w:numId="6">
    <w:abstractNumId w:val="78"/>
  </w:num>
  <w:num w:numId="7">
    <w:abstractNumId w:val="67"/>
  </w:num>
  <w:num w:numId="8">
    <w:abstractNumId w:val="14"/>
  </w:num>
  <w:num w:numId="9">
    <w:abstractNumId w:val="69"/>
  </w:num>
  <w:num w:numId="10">
    <w:abstractNumId w:val="61"/>
  </w:num>
  <w:num w:numId="11">
    <w:abstractNumId w:val="16"/>
  </w:num>
  <w:num w:numId="12">
    <w:abstractNumId w:val="77"/>
  </w:num>
  <w:num w:numId="13">
    <w:abstractNumId w:val="80"/>
  </w:num>
  <w:num w:numId="14">
    <w:abstractNumId w:val="57"/>
  </w:num>
  <w:num w:numId="15">
    <w:abstractNumId w:val="75"/>
  </w:num>
  <w:num w:numId="16">
    <w:abstractNumId w:val="63"/>
  </w:num>
  <w:num w:numId="17">
    <w:abstractNumId w:val="59"/>
  </w:num>
  <w:num w:numId="18">
    <w:abstractNumId w:val="33"/>
  </w:num>
  <w:num w:numId="19">
    <w:abstractNumId w:val="23"/>
  </w:num>
  <w:num w:numId="20">
    <w:abstractNumId w:val="47"/>
  </w:num>
  <w:num w:numId="21">
    <w:abstractNumId w:val="79"/>
  </w:num>
  <w:num w:numId="22">
    <w:abstractNumId w:val="50"/>
  </w:num>
  <w:num w:numId="23">
    <w:abstractNumId w:val="42"/>
  </w:num>
  <w:num w:numId="24">
    <w:abstractNumId w:val="68"/>
  </w:num>
  <w:num w:numId="25">
    <w:abstractNumId w:val="18"/>
  </w:num>
  <w:num w:numId="26">
    <w:abstractNumId w:val="28"/>
  </w:num>
  <w:num w:numId="27">
    <w:abstractNumId w:val="36"/>
  </w:num>
  <w:num w:numId="28">
    <w:abstractNumId w:val="37"/>
  </w:num>
  <w:num w:numId="29">
    <w:abstractNumId w:val="44"/>
  </w:num>
  <w:num w:numId="30">
    <w:abstractNumId w:val="60"/>
  </w:num>
  <w:num w:numId="31">
    <w:abstractNumId w:val="35"/>
  </w:num>
  <w:num w:numId="32">
    <w:abstractNumId w:val="46"/>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num>
  <w:num w:numId="45">
    <w:abstractNumId w:val="62"/>
  </w:num>
  <w:num w:numId="46">
    <w:abstractNumId w:val="72"/>
  </w:num>
  <w:num w:numId="47">
    <w:abstractNumId w:val="39"/>
  </w:num>
  <w:num w:numId="48">
    <w:abstractNumId w:val="21"/>
  </w:num>
  <w:num w:numId="49">
    <w:abstractNumId w:val="30"/>
  </w:num>
  <w:num w:numId="50">
    <w:abstractNumId w:val="12"/>
  </w:num>
  <w:num w:numId="51">
    <w:abstractNumId w:val="83"/>
  </w:num>
  <w:num w:numId="52">
    <w:abstractNumId w:val="24"/>
  </w:num>
  <w:num w:numId="53">
    <w:abstractNumId w:val="10"/>
  </w:num>
  <w:num w:numId="54">
    <w:abstractNumId w:val="40"/>
  </w:num>
  <w:num w:numId="55">
    <w:abstractNumId w:val="48"/>
  </w:num>
  <w:num w:numId="56">
    <w:abstractNumId w:val="73"/>
  </w:num>
  <w:num w:numId="57">
    <w:abstractNumId w:val="31"/>
  </w:num>
  <w:num w:numId="58">
    <w:abstractNumId w:val="41"/>
  </w:num>
  <w:num w:numId="59">
    <w:abstractNumId w:val="71"/>
  </w:num>
  <w:num w:numId="60">
    <w:abstractNumId w:val="38"/>
  </w:num>
  <w:num w:numId="61">
    <w:abstractNumId w:val="43"/>
  </w:num>
  <w:num w:numId="62">
    <w:abstractNumId w:val="45"/>
  </w:num>
  <w:num w:numId="63">
    <w:abstractNumId w:val="54"/>
  </w:num>
  <w:num w:numId="64">
    <w:abstractNumId w:val="58"/>
  </w:num>
  <w:num w:numId="65">
    <w:abstractNumId w:val="11"/>
  </w:num>
  <w:num w:numId="66">
    <w:abstractNumId w:val="76"/>
  </w:num>
  <w:num w:numId="67">
    <w:abstractNumId w:val="82"/>
  </w:num>
  <w:num w:numId="68">
    <w:abstractNumId w:val="64"/>
  </w:num>
  <w:num w:numId="69">
    <w:abstractNumId w:val="70"/>
  </w:num>
  <w:num w:numId="70">
    <w:abstractNumId w:val="22"/>
  </w:num>
  <w:num w:numId="71">
    <w:abstractNumId w:val="17"/>
  </w:num>
  <w:num w:numId="72">
    <w:abstractNumId w:val="27"/>
  </w:num>
  <w:num w:numId="73">
    <w:abstractNumId w:val="81"/>
  </w:num>
  <w:num w:numId="74">
    <w:abstractNumId w:val="74"/>
  </w:num>
  <w:num w:numId="75">
    <w:abstractNumId w:val="34"/>
  </w:num>
  <w:num w:numId="76">
    <w:abstractNumId w:val="53"/>
  </w:num>
  <w:num w:numId="77">
    <w:abstractNumId w:val="49"/>
  </w:num>
  <w:num w:numId="78">
    <w:abstractNumId w:val="55"/>
  </w:num>
  <w:num w:numId="79">
    <w:abstractNumId w:val="56"/>
  </w:num>
  <w:num w:numId="80">
    <w:abstractNumId w:val="51"/>
  </w:num>
  <w:num w:numId="81">
    <w:abstractNumId w:val="52"/>
  </w:num>
  <w:num w:numId="82">
    <w:abstractNumId w:val="66"/>
  </w:num>
  <w:num w:numId="83">
    <w:abstractNumId w:val="20"/>
  </w:num>
  <w:num w:numId="84">
    <w:abstractNumId w:val="19"/>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docVars>
    <w:docVar w:name="DocStatus" w:val="Green"/>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B7D6828C-6273-46B3-9F41-50B4400E5B6F"/>
    <w:docVar w:name="LW_COVERPAGE_TYPE" w:val="1"/>
    <w:docVar w:name="LW_CROSSREFERENCE" w:val="{SWD(2026) 253 final}"/>
    <w:docVar w:name="LW_DocType" w:val="NORMAL"/>
    <w:docVar w:name="LW_EMISSION" w:val="27.7.2026"/>
    <w:docVar w:name="LW_EMISSION_ISODATE" w:val="2026-07-27"/>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modifiant la décision d\u8217?exécution du 28 juillet 2021 relative à l\u8217?approbation de l\u8217?évaluation du plan pour la reprise et la résilience pour la Croatie&lt;/FMT&gt;_x000b_"/>
    <w:docVar w:name="LW_PART_NBR" w:val="1"/>
    <w:docVar w:name="LW_PART_NBR_TOTAL" w:val="1"/>
    <w:docVar w:name="LW_REF.INST.NEW" w:val="COM"/>
    <w:docVar w:name="LW_REF.INST.NEW_ADOPTED" w:val="final"/>
    <w:docVar w:name="LW_REF.INST.NEW_TEXT" w:val="(2026) 4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EXÉCUTION DU CONSEIL"/>
    <w:docVar w:name="LwApiVersions" w:val="LW4CoDe 1.24.5.0; LW 9.2, Build 20251112"/>
  </w:docVars>
  <w:rsids>
    <w:rsidRoot w:val="00FA29B2"/>
    <w:rsid w:val="00006B23"/>
    <w:rsid w:val="00007D99"/>
    <w:rsid w:val="000129EA"/>
    <w:rsid w:val="00013391"/>
    <w:rsid w:val="00014722"/>
    <w:rsid w:val="000615DD"/>
    <w:rsid w:val="00061779"/>
    <w:rsid w:val="00066B4B"/>
    <w:rsid w:val="000900A8"/>
    <w:rsid w:val="00090BD4"/>
    <w:rsid w:val="00093DF8"/>
    <w:rsid w:val="000953EC"/>
    <w:rsid w:val="000A0342"/>
    <w:rsid w:val="000E426B"/>
    <w:rsid w:val="000E6519"/>
    <w:rsid w:val="00106463"/>
    <w:rsid w:val="0014242A"/>
    <w:rsid w:val="001445B3"/>
    <w:rsid w:val="00185F25"/>
    <w:rsid w:val="0019760D"/>
    <w:rsid w:val="001A44DD"/>
    <w:rsid w:val="001B260C"/>
    <w:rsid w:val="001B638C"/>
    <w:rsid w:val="001C31CB"/>
    <w:rsid w:val="001C3C75"/>
    <w:rsid w:val="001C7EC7"/>
    <w:rsid w:val="001F6059"/>
    <w:rsid w:val="00201D34"/>
    <w:rsid w:val="002049CE"/>
    <w:rsid w:val="002060D2"/>
    <w:rsid w:val="00207661"/>
    <w:rsid w:val="00212577"/>
    <w:rsid w:val="00250C66"/>
    <w:rsid w:val="00253C43"/>
    <w:rsid w:val="00262866"/>
    <w:rsid w:val="002717B3"/>
    <w:rsid w:val="002A0774"/>
    <w:rsid w:val="002A171C"/>
    <w:rsid w:val="002D45FC"/>
    <w:rsid w:val="002E086C"/>
    <w:rsid w:val="002E54EE"/>
    <w:rsid w:val="002F25E3"/>
    <w:rsid w:val="002F2B60"/>
    <w:rsid w:val="003204EB"/>
    <w:rsid w:val="00340CA1"/>
    <w:rsid w:val="0037173D"/>
    <w:rsid w:val="00387047"/>
    <w:rsid w:val="003937A3"/>
    <w:rsid w:val="00393B2F"/>
    <w:rsid w:val="00395C2D"/>
    <w:rsid w:val="00396BA3"/>
    <w:rsid w:val="003A2F8B"/>
    <w:rsid w:val="003A7B1F"/>
    <w:rsid w:val="003B74D9"/>
    <w:rsid w:val="003C152A"/>
    <w:rsid w:val="003C68DB"/>
    <w:rsid w:val="003E5AF3"/>
    <w:rsid w:val="003E68B3"/>
    <w:rsid w:val="003F39E6"/>
    <w:rsid w:val="00406948"/>
    <w:rsid w:val="0042102A"/>
    <w:rsid w:val="00421BD8"/>
    <w:rsid w:val="00424223"/>
    <w:rsid w:val="00442974"/>
    <w:rsid w:val="00443A4C"/>
    <w:rsid w:val="00447754"/>
    <w:rsid w:val="00451DD6"/>
    <w:rsid w:val="0045237F"/>
    <w:rsid w:val="004567FE"/>
    <w:rsid w:val="0046170D"/>
    <w:rsid w:val="004666EB"/>
    <w:rsid w:val="004A2D17"/>
    <w:rsid w:val="004A2DD9"/>
    <w:rsid w:val="004A7B6E"/>
    <w:rsid w:val="004B53BC"/>
    <w:rsid w:val="004C1E9A"/>
    <w:rsid w:val="004D59BB"/>
    <w:rsid w:val="005154DD"/>
    <w:rsid w:val="00517855"/>
    <w:rsid w:val="00531A4F"/>
    <w:rsid w:val="00553201"/>
    <w:rsid w:val="00553430"/>
    <w:rsid w:val="0056178A"/>
    <w:rsid w:val="00563DBB"/>
    <w:rsid w:val="0057749A"/>
    <w:rsid w:val="005856DE"/>
    <w:rsid w:val="00593170"/>
    <w:rsid w:val="005B7AD0"/>
    <w:rsid w:val="005B7F33"/>
    <w:rsid w:val="005D05D9"/>
    <w:rsid w:val="005E1FDB"/>
    <w:rsid w:val="005F60D1"/>
    <w:rsid w:val="00613CE6"/>
    <w:rsid w:val="00620596"/>
    <w:rsid w:val="006224D4"/>
    <w:rsid w:val="0062413D"/>
    <w:rsid w:val="006416F1"/>
    <w:rsid w:val="006437B4"/>
    <w:rsid w:val="00647E36"/>
    <w:rsid w:val="00656401"/>
    <w:rsid w:val="0066521D"/>
    <w:rsid w:val="00697CF4"/>
    <w:rsid w:val="006A70EB"/>
    <w:rsid w:val="006A7A84"/>
    <w:rsid w:val="006E09AA"/>
    <w:rsid w:val="00714CCE"/>
    <w:rsid w:val="00717ED2"/>
    <w:rsid w:val="007317B5"/>
    <w:rsid w:val="00741658"/>
    <w:rsid w:val="007425F7"/>
    <w:rsid w:val="00752088"/>
    <w:rsid w:val="00760E83"/>
    <w:rsid w:val="007616AD"/>
    <w:rsid w:val="00790103"/>
    <w:rsid w:val="00793AE6"/>
    <w:rsid w:val="007C1E0F"/>
    <w:rsid w:val="007E032F"/>
    <w:rsid w:val="007F750C"/>
    <w:rsid w:val="00823FCD"/>
    <w:rsid w:val="00842375"/>
    <w:rsid w:val="00850C67"/>
    <w:rsid w:val="00862991"/>
    <w:rsid w:val="00867DAB"/>
    <w:rsid w:val="00873C41"/>
    <w:rsid w:val="008B0153"/>
    <w:rsid w:val="008B44EC"/>
    <w:rsid w:val="008E5CB3"/>
    <w:rsid w:val="008F2225"/>
    <w:rsid w:val="009040A9"/>
    <w:rsid w:val="00916730"/>
    <w:rsid w:val="00933B4B"/>
    <w:rsid w:val="0098342C"/>
    <w:rsid w:val="0099625D"/>
    <w:rsid w:val="009C5170"/>
    <w:rsid w:val="009C56BD"/>
    <w:rsid w:val="009D6D1F"/>
    <w:rsid w:val="009E086D"/>
    <w:rsid w:val="009F2E71"/>
    <w:rsid w:val="00A0565F"/>
    <w:rsid w:val="00A10A7B"/>
    <w:rsid w:val="00A14012"/>
    <w:rsid w:val="00A155EA"/>
    <w:rsid w:val="00A20CF4"/>
    <w:rsid w:val="00A24E15"/>
    <w:rsid w:val="00A656A0"/>
    <w:rsid w:val="00A74D66"/>
    <w:rsid w:val="00A75190"/>
    <w:rsid w:val="00AB6A07"/>
    <w:rsid w:val="00AC0945"/>
    <w:rsid w:val="00AD07ED"/>
    <w:rsid w:val="00AE51A5"/>
    <w:rsid w:val="00AF409D"/>
    <w:rsid w:val="00B07452"/>
    <w:rsid w:val="00B12EC5"/>
    <w:rsid w:val="00B132FF"/>
    <w:rsid w:val="00B46254"/>
    <w:rsid w:val="00B559B7"/>
    <w:rsid w:val="00B65E60"/>
    <w:rsid w:val="00B93C66"/>
    <w:rsid w:val="00BD0484"/>
    <w:rsid w:val="00BD384E"/>
    <w:rsid w:val="00BE43F5"/>
    <w:rsid w:val="00C01A15"/>
    <w:rsid w:val="00C17A19"/>
    <w:rsid w:val="00C305BB"/>
    <w:rsid w:val="00C40599"/>
    <w:rsid w:val="00C5335E"/>
    <w:rsid w:val="00C631DD"/>
    <w:rsid w:val="00C930DA"/>
    <w:rsid w:val="00C93965"/>
    <w:rsid w:val="00C9490C"/>
    <w:rsid w:val="00CA591C"/>
    <w:rsid w:val="00CC689F"/>
    <w:rsid w:val="00CD6931"/>
    <w:rsid w:val="00CE0058"/>
    <w:rsid w:val="00CE3F99"/>
    <w:rsid w:val="00D1112A"/>
    <w:rsid w:val="00D12C4F"/>
    <w:rsid w:val="00D24101"/>
    <w:rsid w:val="00D33324"/>
    <w:rsid w:val="00D37A58"/>
    <w:rsid w:val="00D63937"/>
    <w:rsid w:val="00D7200C"/>
    <w:rsid w:val="00D73CFF"/>
    <w:rsid w:val="00D97467"/>
    <w:rsid w:val="00DB4078"/>
    <w:rsid w:val="00DB6F68"/>
    <w:rsid w:val="00DB7632"/>
    <w:rsid w:val="00DB7D09"/>
    <w:rsid w:val="00DC09C1"/>
    <w:rsid w:val="00E0330C"/>
    <w:rsid w:val="00E5675C"/>
    <w:rsid w:val="00E5756E"/>
    <w:rsid w:val="00E61C39"/>
    <w:rsid w:val="00E72815"/>
    <w:rsid w:val="00E73BCE"/>
    <w:rsid w:val="00E77841"/>
    <w:rsid w:val="00E95591"/>
    <w:rsid w:val="00EB5E6D"/>
    <w:rsid w:val="00EC05C1"/>
    <w:rsid w:val="00EC3D63"/>
    <w:rsid w:val="00ED5E3D"/>
    <w:rsid w:val="00EE7DD1"/>
    <w:rsid w:val="00F00F9A"/>
    <w:rsid w:val="00F03125"/>
    <w:rsid w:val="00F03523"/>
    <w:rsid w:val="00F15EFF"/>
    <w:rsid w:val="00F2494E"/>
    <w:rsid w:val="00F32339"/>
    <w:rsid w:val="00F832EB"/>
    <w:rsid w:val="00FA29B2"/>
    <w:rsid w:val="00FA4A92"/>
    <w:rsid w:val="00FD08C8"/>
    <w:rsid w:val="00FD640C"/>
    <w:rsid w:val="00FF1F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5477E0B"/>
  <w15:chartTrackingRefBased/>
  <w15:docId w15:val="{B58D0F32-60B5-43BF-BEFC-C00B21845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 w:eastAsia="fr-BE"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9B2"/>
  </w:style>
  <w:style w:type="paragraph" w:styleId="Heading1">
    <w:name w:val="heading 1"/>
    <w:basedOn w:val="Normal"/>
    <w:next w:val="Normal"/>
    <w:link w:val="Heading1Char"/>
    <w:uiPriority w:val="9"/>
    <w:qFormat/>
    <w:rsid w:val="00FA29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29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29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29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29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29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FA29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FA29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FA29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9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29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29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29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29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29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FA29B2"/>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FA29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FA29B2"/>
    <w:rPr>
      <w:rFonts w:eastAsiaTheme="majorEastAsia" w:cstheme="majorBidi"/>
      <w:color w:val="272727" w:themeColor="text1" w:themeTint="D8"/>
    </w:rPr>
  </w:style>
  <w:style w:type="paragraph" w:styleId="Title">
    <w:name w:val="Title"/>
    <w:basedOn w:val="Normal"/>
    <w:next w:val="Normal"/>
    <w:link w:val="TitleChar"/>
    <w:uiPriority w:val="10"/>
    <w:qFormat/>
    <w:rsid w:val="00FA29B2"/>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FA29B2"/>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FA29B2"/>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FA29B2"/>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FA29B2"/>
    <w:pPr>
      <w:spacing w:before="160"/>
      <w:jc w:val="center"/>
    </w:pPr>
    <w:rPr>
      <w:i/>
      <w:iCs/>
      <w:color w:val="404040" w:themeColor="text1" w:themeTint="BF"/>
    </w:rPr>
  </w:style>
  <w:style w:type="character" w:customStyle="1" w:styleId="QuoteChar">
    <w:name w:val="Quote Char"/>
    <w:basedOn w:val="DefaultParagraphFont"/>
    <w:link w:val="Quote"/>
    <w:uiPriority w:val="29"/>
    <w:rsid w:val="00FA29B2"/>
    <w:rPr>
      <w:i/>
      <w:iCs/>
      <w:color w:val="404040" w:themeColor="text1" w:themeTint="BF"/>
    </w:rPr>
  </w:style>
  <w:style w:type="paragraph" w:styleId="ListParagraph">
    <w:name w:val="List Paragraph"/>
    <w:basedOn w:val="Normal"/>
    <w:uiPriority w:val="34"/>
    <w:qFormat/>
    <w:rsid w:val="00FA29B2"/>
    <w:pPr>
      <w:ind w:left="720"/>
      <w:contextualSpacing/>
    </w:pPr>
  </w:style>
  <w:style w:type="character" w:styleId="IntenseEmphasis">
    <w:name w:val="Intense Emphasis"/>
    <w:basedOn w:val="DefaultParagraphFont"/>
    <w:uiPriority w:val="21"/>
    <w:qFormat/>
    <w:rsid w:val="00FA29B2"/>
    <w:rPr>
      <w:i/>
      <w:iCs/>
      <w:color w:val="0F4761" w:themeColor="accent1" w:themeShade="BF"/>
    </w:rPr>
  </w:style>
  <w:style w:type="paragraph" w:styleId="IntenseQuote">
    <w:name w:val="Intense Quote"/>
    <w:basedOn w:val="Normal"/>
    <w:next w:val="Normal"/>
    <w:link w:val="IntenseQuoteChar"/>
    <w:uiPriority w:val="30"/>
    <w:qFormat/>
    <w:rsid w:val="00FA29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29B2"/>
    <w:rPr>
      <w:i/>
      <w:iCs/>
      <w:color w:val="0F4761" w:themeColor="accent1" w:themeShade="BF"/>
    </w:rPr>
  </w:style>
  <w:style w:type="character" w:styleId="IntenseReference">
    <w:name w:val="Intense Reference"/>
    <w:basedOn w:val="DefaultParagraphFont"/>
    <w:uiPriority w:val="32"/>
    <w:qFormat/>
    <w:rsid w:val="00FA29B2"/>
    <w:rPr>
      <w:b/>
      <w:bCs/>
      <w:smallCaps/>
      <w:color w:val="0F4761" w:themeColor="accent1" w:themeShade="BF"/>
    </w:rPr>
  </w:style>
  <w:style w:type="paragraph" w:customStyle="1" w:styleId="FooterText">
    <w:name w:val="Footer Text"/>
    <w:basedOn w:val="Normal"/>
    <w:unhideWhenUsed/>
    <w:rsid w:val="00FA29B2"/>
    <w:pPr>
      <w:spacing w:after="0" w:line="240" w:lineRule="auto"/>
    </w:pPr>
    <w:rPr>
      <w:rFonts w:ascii="Times New Roman" w:hAnsi="Times New Roman" w:cs="Times New Roman"/>
      <w:kern w:val="0"/>
      <w:sz w:val="24"/>
    </w:rPr>
  </w:style>
  <w:style w:type="paragraph" w:styleId="Header">
    <w:name w:val="header"/>
    <w:basedOn w:val="Normal"/>
    <w:link w:val="HeaderChar"/>
    <w:uiPriority w:val="99"/>
    <w:unhideWhenUsed/>
    <w:rsid w:val="00FA29B2"/>
    <w:pPr>
      <w:tabs>
        <w:tab w:val="right" w:pos="9638"/>
      </w:tabs>
      <w:spacing w:before="120" w:after="120" w:line="360" w:lineRule="auto"/>
    </w:pPr>
    <w:rPr>
      <w:rFonts w:ascii="Times New Roman" w:hAnsi="Times New Roman" w:cs="Times New Roman"/>
      <w:kern w:val="0"/>
      <w:sz w:val="24"/>
    </w:rPr>
  </w:style>
  <w:style w:type="character" w:customStyle="1" w:styleId="HeaderChar">
    <w:name w:val="Header Char"/>
    <w:basedOn w:val="DefaultParagraphFont"/>
    <w:link w:val="Header"/>
    <w:uiPriority w:val="99"/>
    <w:rsid w:val="00FA29B2"/>
    <w:rPr>
      <w:rFonts w:ascii="Times New Roman" w:hAnsi="Times New Roman" w:cs="Times New Roman"/>
      <w:kern w:val="0"/>
      <w:sz w:val="24"/>
    </w:rPr>
  </w:style>
  <w:style w:type="paragraph" w:styleId="Footer">
    <w:name w:val="footer"/>
    <w:basedOn w:val="Normal"/>
    <w:link w:val="FooterChar"/>
    <w:uiPriority w:val="99"/>
    <w:unhideWhenUsed/>
    <w:rsid w:val="00FA29B2"/>
    <w:pPr>
      <w:tabs>
        <w:tab w:val="center" w:pos="4819"/>
        <w:tab w:val="center" w:pos="7370"/>
        <w:tab w:val="right" w:pos="9638"/>
      </w:tabs>
      <w:spacing w:after="0" w:line="240" w:lineRule="auto"/>
    </w:pPr>
    <w:rPr>
      <w:rFonts w:ascii="Times New Roman" w:hAnsi="Times New Roman" w:cs="Times New Roman"/>
      <w:kern w:val="0"/>
      <w:sz w:val="24"/>
    </w:rPr>
  </w:style>
  <w:style w:type="character" w:customStyle="1" w:styleId="FooterChar">
    <w:name w:val="Footer Char"/>
    <w:basedOn w:val="DefaultParagraphFont"/>
    <w:link w:val="Footer"/>
    <w:uiPriority w:val="99"/>
    <w:rsid w:val="00FA29B2"/>
    <w:rPr>
      <w:rFonts w:ascii="Times New Roman" w:hAnsi="Times New Roman" w:cs="Times New Roman"/>
      <w:kern w:val="0"/>
      <w:sz w:val="24"/>
    </w:rPr>
  </w:style>
  <w:style w:type="paragraph" w:customStyle="1" w:styleId="FooterCouncil">
    <w:name w:val="Footer Council"/>
    <w:basedOn w:val="Normal"/>
    <w:link w:val="FooterCouncilChar"/>
    <w:rsid w:val="00FA29B2"/>
    <w:pPr>
      <w:spacing w:after="0" w:line="240" w:lineRule="auto"/>
    </w:pPr>
    <w:rPr>
      <w:rFonts w:ascii="Times New Roman" w:hAnsi="Times New Roman" w:cs="Times New Roman"/>
      <w:kern w:val="0"/>
      <w:sz w:val="2"/>
    </w:rPr>
  </w:style>
  <w:style w:type="paragraph" w:customStyle="1" w:styleId="paragraph">
    <w:name w:val="paragraph"/>
    <w:basedOn w:val="Normal"/>
    <w:rsid w:val="00FA29B2"/>
    <w:pPr>
      <w:spacing w:before="100" w:beforeAutospacing="1" w:after="100" w:afterAutospacing="1" w:line="240" w:lineRule="auto"/>
    </w:pPr>
    <w:rPr>
      <w:rFonts w:ascii="Times New Roman" w:eastAsia="Times New Roman" w:hAnsi="Times New Roman" w:cs="Times New Roman"/>
      <w:kern w:val="0"/>
      <w:sz w:val="24"/>
      <w:szCs w:val="20"/>
    </w:rPr>
  </w:style>
  <w:style w:type="character" w:customStyle="1" w:styleId="eop">
    <w:name w:val="eop"/>
    <w:basedOn w:val="DefaultParagraphFont"/>
    <w:rsid w:val="00FA29B2"/>
  </w:style>
  <w:style w:type="character" w:customStyle="1" w:styleId="normaltextrun">
    <w:name w:val="normaltextrun"/>
    <w:basedOn w:val="DefaultParagraphFont"/>
    <w:rsid w:val="00FA29B2"/>
  </w:style>
  <w:style w:type="character" w:customStyle="1" w:styleId="FooterCouncilChar">
    <w:name w:val="Footer Council Char"/>
    <w:basedOn w:val="DefaultParagraphFont"/>
    <w:link w:val="FooterCouncil"/>
    <w:rsid w:val="00FA29B2"/>
    <w:rPr>
      <w:rFonts w:ascii="Times New Roman" w:hAnsi="Times New Roman" w:cs="Times New Roman"/>
      <w:kern w:val="0"/>
      <w:sz w:val="2"/>
    </w:rPr>
  </w:style>
  <w:style w:type="character" w:customStyle="1" w:styleId="tabchar">
    <w:name w:val="tabchar"/>
    <w:basedOn w:val="DefaultParagraphFont"/>
    <w:rsid w:val="00FA29B2"/>
  </w:style>
  <w:style w:type="paragraph" w:styleId="Revision">
    <w:name w:val="Revision"/>
    <w:hidden/>
    <w:uiPriority w:val="99"/>
    <w:semiHidden/>
    <w:rsid w:val="00FA29B2"/>
    <w:pPr>
      <w:spacing w:after="0" w:line="240" w:lineRule="auto"/>
    </w:pPr>
    <w:rPr>
      <w:rFonts w:ascii="Times New Roman" w:hAnsi="Times New Roman" w:cs="Times New Roman"/>
      <w:kern w:val="0"/>
      <w:sz w:val="24"/>
    </w:rPr>
  </w:style>
  <w:style w:type="character" w:styleId="CommentReference">
    <w:name w:val="annotation reference"/>
    <w:basedOn w:val="DefaultParagraphFont"/>
    <w:uiPriority w:val="99"/>
    <w:semiHidden/>
    <w:unhideWhenUsed/>
    <w:rsid w:val="00FA29B2"/>
    <w:rPr>
      <w:sz w:val="16"/>
      <w:szCs w:val="16"/>
    </w:rPr>
  </w:style>
  <w:style w:type="paragraph" w:styleId="CommentText">
    <w:name w:val="annotation text"/>
    <w:basedOn w:val="Normal"/>
    <w:link w:val="CommentTextChar"/>
    <w:uiPriority w:val="99"/>
    <w:unhideWhenUsed/>
    <w:rsid w:val="00FA29B2"/>
    <w:pPr>
      <w:spacing w:before="120" w:after="120" w:line="240" w:lineRule="auto"/>
    </w:pPr>
    <w:rPr>
      <w:rFonts w:ascii="Times New Roman" w:hAnsi="Times New Roman" w:cs="Times New Roman"/>
      <w:kern w:val="0"/>
      <w:sz w:val="20"/>
      <w:szCs w:val="20"/>
    </w:rPr>
  </w:style>
  <w:style w:type="character" w:customStyle="1" w:styleId="CommentTextChar">
    <w:name w:val="Comment Text Char"/>
    <w:basedOn w:val="DefaultParagraphFont"/>
    <w:link w:val="CommentText"/>
    <w:uiPriority w:val="99"/>
    <w:rsid w:val="00FA29B2"/>
    <w:rPr>
      <w:rFonts w:ascii="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FA29B2"/>
    <w:rPr>
      <w:b/>
      <w:bCs/>
    </w:rPr>
  </w:style>
  <w:style w:type="character" w:customStyle="1" w:styleId="CommentSubjectChar">
    <w:name w:val="Comment Subject Char"/>
    <w:basedOn w:val="CommentTextChar"/>
    <w:link w:val="CommentSubject"/>
    <w:uiPriority w:val="99"/>
    <w:semiHidden/>
    <w:rsid w:val="00FA29B2"/>
    <w:rPr>
      <w:rFonts w:ascii="Times New Roman" w:hAnsi="Times New Roman" w:cs="Times New Roman"/>
      <w:b/>
      <w:bCs/>
      <w:kern w:val="0"/>
      <w:sz w:val="20"/>
      <w:szCs w:val="20"/>
    </w:rPr>
  </w:style>
  <w:style w:type="character" w:customStyle="1" w:styleId="Mention1">
    <w:name w:val="Mention1"/>
    <w:basedOn w:val="DefaultParagraphFont"/>
    <w:uiPriority w:val="99"/>
    <w:unhideWhenUsed/>
    <w:rsid w:val="00FA29B2"/>
    <w:rPr>
      <w:color w:val="2B579A"/>
      <w:shd w:val="clear" w:color="auto" w:fill="E1DFDD"/>
    </w:rPr>
  </w:style>
  <w:style w:type="paragraph" w:styleId="FootnoteText">
    <w:name w:val="footnote text"/>
    <w:basedOn w:val="Normal"/>
    <w:link w:val="FootnoteTextChar"/>
    <w:uiPriority w:val="99"/>
    <w:unhideWhenUsed/>
    <w:rsid w:val="00FA29B2"/>
    <w:pPr>
      <w:spacing w:after="0" w:line="240" w:lineRule="auto"/>
      <w:ind w:left="720" w:hanging="720"/>
    </w:pPr>
    <w:rPr>
      <w:rFonts w:ascii="Times New Roman" w:hAnsi="Times New Roman" w:cs="Times New Roman"/>
      <w:kern w:val="0"/>
      <w:sz w:val="24"/>
      <w:szCs w:val="20"/>
    </w:rPr>
  </w:style>
  <w:style w:type="character" w:customStyle="1" w:styleId="FootnoteTextChar">
    <w:name w:val="Footnote Text Char"/>
    <w:basedOn w:val="DefaultParagraphFont"/>
    <w:link w:val="FootnoteText"/>
    <w:uiPriority w:val="99"/>
    <w:rsid w:val="00FA29B2"/>
    <w:rPr>
      <w:rFonts w:ascii="Times New Roman" w:hAnsi="Times New Roman" w:cs="Times New Roman"/>
      <w:kern w:val="0"/>
      <w:sz w:val="24"/>
      <w:szCs w:val="20"/>
    </w:rPr>
  </w:style>
  <w:style w:type="character" w:styleId="FootnoteReference">
    <w:name w:val="footnote reference"/>
    <w:basedOn w:val="DefaultParagraphFont"/>
    <w:uiPriority w:val="99"/>
    <w:unhideWhenUsed/>
    <w:rsid w:val="00FA29B2"/>
    <w:rPr>
      <w:b/>
      <w:shd w:val="clear" w:color="auto" w:fill="auto"/>
      <w:vertAlign w:val="superscript"/>
    </w:rPr>
  </w:style>
  <w:style w:type="paragraph" w:customStyle="1" w:styleId="Text1">
    <w:name w:val="Text 1"/>
    <w:basedOn w:val="Normal"/>
    <w:rsid w:val="00FA29B2"/>
    <w:pPr>
      <w:spacing w:before="120" w:after="120" w:line="360" w:lineRule="auto"/>
      <w:ind w:left="567"/>
    </w:pPr>
    <w:rPr>
      <w:rFonts w:ascii="Times New Roman" w:hAnsi="Times New Roman" w:cs="Times New Roman"/>
      <w:kern w:val="0"/>
      <w:sz w:val="24"/>
    </w:rPr>
  </w:style>
  <w:style w:type="character" w:customStyle="1" w:styleId="Bodytext2">
    <w:name w:val="Body text|2_"/>
    <w:basedOn w:val="DefaultParagraphFont"/>
    <w:link w:val="Bodytext20"/>
    <w:rsid w:val="00FA29B2"/>
    <w:rPr>
      <w:rFonts w:ascii="Cambria Math" w:eastAsia="Cambria Math" w:hAnsi="Cambria Math" w:cs="Cambria Math"/>
      <w:sz w:val="21"/>
      <w:shd w:val="clear" w:color="auto" w:fill="FFFFFF"/>
    </w:rPr>
  </w:style>
  <w:style w:type="paragraph" w:customStyle="1" w:styleId="Bodytext20">
    <w:name w:val="Body text|2"/>
    <w:basedOn w:val="Normal"/>
    <w:link w:val="Bodytext2"/>
    <w:qFormat/>
    <w:rsid w:val="00FA29B2"/>
    <w:pPr>
      <w:widowControl w:val="0"/>
      <w:shd w:val="clear" w:color="auto" w:fill="FFFFFF"/>
      <w:spacing w:before="200" w:after="60" w:line="293" w:lineRule="exact"/>
      <w:ind w:hanging="380"/>
      <w:jc w:val="both"/>
    </w:pPr>
    <w:rPr>
      <w:rFonts w:ascii="Cambria Math" w:eastAsia="Cambria Math" w:hAnsi="Cambria Math" w:cs="Cambria Math"/>
      <w:sz w:val="21"/>
    </w:rPr>
  </w:style>
  <w:style w:type="character" w:styleId="Hyperlink">
    <w:name w:val="Hyperlink"/>
    <w:basedOn w:val="DefaultParagraphFont"/>
    <w:uiPriority w:val="99"/>
    <w:unhideWhenUsed/>
    <w:rsid w:val="00FA29B2"/>
    <w:rPr>
      <w:color w:val="467886" w:themeColor="hyperlink"/>
      <w:u w:val="single"/>
    </w:rPr>
  </w:style>
  <w:style w:type="character" w:customStyle="1" w:styleId="UnresolvedMention1">
    <w:name w:val="Unresolved Mention1"/>
    <w:basedOn w:val="DefaultParagraphFont"/>
    <w:uiPriority w:val="99"/>
    <w:unhideWhenUsed/>
    <w:rsid w:val="00FA29B2"/>
    <w:rPr>
      <w:color w:val="605E5C"/>
      <w:shd w:val="clear" w:color="auto" w:fill="E1DFDD"/>
    </w:rPr>
  </w:style>
  <w:style w:type="paragraph" w:styleId="BalloonText">
    <w:name w:val="Balloon Text"/>
    <w:basedOn w:val="Normal"/>
    <w:link w:val="BalloonTextChar"/>
    <w:uiPriority w:val="99"/>
    <w:semiHidden/>
    <w:unhideWhenUsed/>
    <w:rsid w:val="00FA29B2"/>
    <w:pPr>
      <w:spacing w:after="0" w:line="240" w:lineRule="auto"/>
    </w:pPr>
    <w:rPr>
      <w:rFonts w:ascii="Segoe UI" w:hAnsi="Segoe UI" w:cs="Segoe UI"/>
      <w:kern w:val="0"/>
      <w:sz w:val="18"/>
      <w:szCs w:val="18"/>
    </w:rPr>
  </w:style>
  <w:style w:type="character" w:customStyle="1" w:styleId="BalloonTextChar">
    <w:name w:val="Balloon Text Char"/>
    <w:basedOn w:val="DefaultParagraphFont"/>
    <w:link w:val="BalloonText"/>
    <w:uiPriority w:val="99"/>
    <w:semiHidden/>
    <w:rsid w:val="00FA29B2"/>
    <w:rPr>
      <w:rFonts w:ascii="Segoe UI" w:hAnsi="Segoe UI" w:cs="Segoe UI"/>
      <w:kern w:val="0"/>
      <w:sz w:val="18"/>
      <w:szCs w:val="18"/>
    </w:rPr>
  </w:style>
  <w:style w:type="paragraph" w:styleId="NormalWeb">
    <w:name w:val="Normal (Web)"/>
    <w:basedOn w:val="Normal"/>
    <w:uiPriority w:val="99"/>
    <w:semiHidden/>
    <w:unhideWhenUsed/>
    <w:rsid w:val="00FA29B2"/>
    <w:pPr>
      <w:spacing w:before="120" w:after="120" w:line="360" w:lineRule="auto"/>
    </w:pPr>
    <w:rPr>
      <w:rFonts w:ascii="Times New Roman" w:hAnsi="Times New Roman" w:cs="Times New Roman"/>
      <w:kern w:val="0"/>
      <w:sz w:val="24"/>
      <w:szCs w:val="24"/>
    </w:rPr>
  </w:style>
  <w:style w:type="paragraph" w:customStyle="1" w:styleId="TechnicalBlock">
    <w:name w:val="Technical Block"/>
    <w:basedOn w:val="Normal"/>
    <w:next w:val="Normal"/>
    <w:link w:val="TechnicalBlockChar"/>
    <w:rsid w:val="00FA29B2"/>
    <w:pPr>
      <w:spacing w:after="240" w:line="240" w:lineRule="auto"/>
      <w:jc w:val="center"/>
    </w:pPr>
    <w:rPr>
      <w:rFonts w:ascii="Times New Roman" w:hAnsi="Times New Roman" w:cs="Times New Roman"/>
      <w:kern w:val="0"/>
      <w:sz w:val="24"/>
    </w:rPr>
  </w:style>
  <w:style w:type="character" w:customStyle="1" w:styleId="TechnicalBlockChar">
    <w:name w:val="Technical Block Char"/>
    <w:basedOn w:val="DefaultParagraphFont"/>
    <w:link w:val="TechnicalBlock"/>
    <w:rsid w:val="00FA29B2"/>
    <w:rPr>
      <w:rFonts w:ascii="Times New Roman" w:hAnsi="Times New Roman" w:cs="Times New Roman"/>
      <w:kern w:val="0"/>
      <w:sz w:val="24"/>
    </w:rPr>
  </w:style>
  <w:style w:type="paragraph" w:customStyle="1" w:styleId="TechnicalBlockBase">
    <w:name w:val="TechnicalBlockBase"/>
    <w:link w:val="TechnicalBlockBaseChar"/>
    <w:rsid w:val="00FA29B2"/>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character" w:customStyle="1" w:styleId="TechnicalBlockBaseChar">
    <w:name w:val="TechnicalBlockBase Char"/>
    <w:basedOn w:val="EntInstitChar"/>
    <w:link w:val="TechnicalBlockBase"/>
    <w:rsid w:val="00FA29B2"/>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FA29B2"/>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FA29B2"/>
    <w:rPr>
      <w:rFonts w:ascii="Arial" w:eastAsia="Times New Roman" w:hAnsi="Arial" w:cs="Arial"/>
      <w:b/>
      <w:kern w:val="0"/>
      <w:sz w:val="23"/>
      <w:szCs w:val="20"/>
      <w:u w:color="606060"/>
    </w:rPr>
  </w:style>
  <w:style w:type="paragraph" w:customStyle="1" w:styleId="TBDistrbMarkers">
    <w:name w:val="TBDistrbMarkers"/>
    <w:basedOn w:val="TBEntRefer"/>
    <w:qFormat/>
    <w:rsid w:val="00FA29B2"/>
    <w:pPr>
      <w:tabs>
        <w:tab w:val="left" w:pos="2262"/>
      </w:tabs>
    </w:pPr>
    <w:rPr>
      <w:i/>
      <w:iCs/>
      <w:szCs w:val="23"/>
    </w:rPr>
  </w:style>
  <w:style w:type="paragraph" w:customStyle="1" w:styleId="TBEntACP">
    <w:name w:val="TBEntACP"/>
    <w:basedOn w:val="TechnicalBlockBase"/>
    <w:rsid w:val="00FA29B2"/>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FA29B2"/>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FA29B2"/>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FA29B2"/>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FA29B2"/>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FA29B2"/>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FA29B2"/>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FA29B2"/>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FA29B2"/>
    <w:rPr>
      <w:rFonts w:ascii="Arial" w:eastAsia="Times New Roman" w:hAnsi="Arial" w:cs="Arial"/>
      <w:b/>
      <w:kern w:val="0"/>
      <w:sz w:val="23"/>
      <w:szCs w:val="20"/>
      <w:u w:color="606060"/>
    </w:rPr>
  </w:style>
  <w:style w:type="paragraph" w:customStyle="1" w:styleId="TBSubjectTable">
    <w:name w:val="TBSubjectTable"/>
    <w:basedOn w:val="TechnicalBlockBase"/>
    <w:rsid w:val="00FA29B2"/>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FA29B2"/>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FA29B2"/>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FA29B2"/>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FA29B2"/>
    <w:pPr>
      <w:widowControl/>
      <w:spacing w:before="40" w:after="40" w:line="240" w:lineRule="auto"/>
      <w:ind w:left="0" w:right="0"/>
    </w:pPr>
    <w:rPr>
      <w:rFonts w:ascii="Arial" w:hAnsi="Arial"/>
      <w:b w:val="0"/>
      <w:i w:val="0"/>
      <w:dstrike w:val="0"/>
      <w:color w:val="auto"/>
      <w:sz w:val="23"/>
      <w:u w:val="none"/>
    </w:rPr>
  </w:style>
  <w:style w:type="paragraph" w:customStyle="1" w:styleId="HeaderCouncilLarge">
    <w:name w:val="Header Council Large"/>
    <w:basedOn w:val="Normal"/>
    <w:link w:val="HeaderCouncilLargeChar"/>
    <w:unhideWhenUsed/>
    <w:rsid w:val="00FA29B2"/>
    <w:pPr>
      <w:spacing w:after="440" w:line="360" w:lineRule="auto"/>
    </w:pPr>
    <w:rPr>
      <w:rFonts w:ascii="Times New Roman" w:hAnsi="Times New Roman" w:cs="Times New Roman"/>
      <w:kern w:val="0"/>
      <w:sz w:val="2"/>
    </w:rPr>
  </w:style>
  <w:style w:type="paragraph" w:customStyle="1" w:styleId="NormalCentered">
    <w:name w:val="Normal Centered"/>
    <w:basedOn w:val="Normal"/>
    <w:rsid w:val="00FA29B2"/>
    <w:pPr>
      <w:spacing w:before="200" w:after="120" w:line="360" w:lineRule="auto"/>
      <w:jc w:val="center"/>
    </w:pPr>
    <w:rPr>
      <w:rFonts w:ascii="Times New Roman" w:hAnsi="Times New Roman" w:cs="Times New Roman"/>
      <w:kern w:val="0"/>
      <w:sz w:val="24"/>
    </w:rPr>
  </w:style>
  <w:style w:type="paragraph" w:customStyle="1" w:styleId="NormalRight">
    <w:name w:val="Normal Right"/>
    <w:basedOn w:val="Normal"/>
    <w:rsid w:val="00FA29B2"/>
    <w:pPr>
      <w:spacing w:before="200" w:after="120" w:line="360" w:lineRule="auto"/>
      <w:jc w:val="right"/>
    </w:pPr>
    <w:rPr>
      <w:rFonts w:ascii="Times New Roman" w:hAnsi="Times New Roman" w:cs="Times New Roman"/>
      <w:kern w:val="0"/>
      <w:sz w:val="24"/>
    </w:rPr>
  </w:style>
  <w:style w:type="paragraph" w:customStyle="1" w:styleId="NormalJustified">
    <w:name w:val="Normal Justified"/>
    <w:basedOn w:val="Normal"/>
    <w:rsid w:val="00FA29B2"/>
    <w:pPr>
      <w:spacing w:before="200" w:after="120" w:line="360" w:lineRule="auto"/>
      <w:jc w:val="both"/>
    </w:pPr>
    <w:rPr>
      <w:rFonts w:ascii="Times New Roman" w:hAnsi="Times New Roman" w:cs="Times New Roman"/>
      <w:kern w:val="0"/>
      <w:sz w:val="24"/>
    </w:rPr>
  </w:style>
  <w:style w:type="paragraph" w:customStyle="1" w:styleId="HeaderLandscape">
    <w:name w:val="HeaderLandscape"/>
    <w:basedOn w:val="Normal"/>
    <w:rsid w:val="00FA29B2"/>
    <w:pPr>
      <w:tabs>
        <w:tab w:val="right" w:pos="14570"/>
      </w:tabs>
      <w:spacing w:before="120" w:after="120" w:line="360" w:lineRule="auto"/>
    </w:pPr>
    <w:rPr>
      <w:rFonts w:ascii="Times New Roman" w:hAnsi="Times New Roman" w:cs="Times New Roman"/>
      <w:kern w:val="0"/>
      <w:sz w:val="24"/>
    </w:rPr>
  </w:style>
  <w:style w:type="paragraph" w:customStyle="1" w:styleId="FooterLandscape">
    <w:name w:val="FooterLandscape"/>
    <w:basedOn w:val="Normal"/>
    <w:rsid w:val="00FA29B2"/>
    <w:pPr>
      <w:tabs>
        <w:tab w:val="center" w:pos="7285"/>
        <w:tab w:val="center" w:pos="10930"/>
        <w:tab w:val="right" w:pos="14570"/>
      </w:tabs>
      <w:spacing w:after="0" w:line="240" w:lineRule="auto"/>
    </w:pPr>
    <w:rPr>
      <w:rFonts w:ascii="Times New Roman" w:hAnsi="Times New Roman" w:cs="Times New Roman"/>
      <w:kern w:val="0"/>
      <w:sz w:val="24"/>
    </w:rPr>
  </w:style>
  <w:style w:type="paragraph" w:customStyle="1" w:styleId="HeaderCouncil">
    <w:name w:val="Header Council"/>
    <w:basedOn w:val="Normal"/>
    <w:link w:val="HeaderCouncilChar"/>
    <w:rsid w:val="00FA29B2"/>
    <w:pPr>
      <w:spacing w:after="0" w:line="240" w:lineRule="auto"/>
    </w:pPr>
    <w:rPr>
      <w:rFonts w:ascii="Times New Roman" w:hAnsi="Times New Roman" w:cs="Times New Roman"/>
      <w:kern w:val="0"/>
      <w:sz w:val="2"/>
    </w:rPr>
  </w:style>
  <w:style w:type="paragraph" w:customStyle="1" w:styleId="FinalLine">
    <w:name w:val="Final Line"/>
    <w:basedOn w:val="Normal"/>
    <w:next w:val="Normal"/>
    <w:rsid w:val="00FA29B2"/>
    <w:pPr>
      <w:pBdr>
        <w:bottom w:val="single" w:sz="4" w:space="0" w:color="000000"/>
      </w:pBdr>
      <w:spacing w:before="360" w:after="120" w:line="360" w:lineRule="auto"/>
      <w:ind w:left="3400" w:right="3400"/>
      <w:jc w:val="center"/>
    </w:pPr>
    <w:rPr>
      <w:rFonts w:ascii="Times New Roman" w:hAnsi="Times New Roman" w:cs="Times New Roman"/>
      <w:b/>
      <w:kern w:val="0"/>
      <w:sz w:val="24"/>
    </w:rPr>
  </w:style>
  <w:style w:type="paragraph" w:customStyle="1" w:styleId="FinalLineLandscape">
    <w:name w:val="Final Line (Landscape)"/>
    <w:basedOn w:val="Normal"/>
    <w:next w:val="Normal"/>
    <w:rsid w:val="00FA29B2"/>
    <w:pPr>
      <w:pBdr>
        <w:bottom w:val="single" w:sz="4" w:space="0" w:color="000000"/>
      </w:pBdr>
      <w:spacing w:before="360" w:after="120" w:line="360" w:lineRule="auto"/>
      <w:ind w:left="5868" w:right="5868"/>
      <w:jc w:val="center"/>
    </w:pPr>
    <w:rPr>
      <w:rFonts w:ascii="Times New Roman" w:hAnsi="Times New Roman" w:cs="Times New Roman"/>
      <w:b/>
      <w:kern w:val="0"/>
      <w:sz w:val="24"/>
    </w:rPr>
  </w:style>
  <w:style w:type="paragraph" w:customStyle="1" w:styleId="Text2">
    <w:name w:val="Text 2"/>
    <w:basedOn w:val="Normal"/>
    <w:rsid w:val="00FA29B2"/>
    <w:pPr>
      <w:spacing w:before="120" w:after="120" w:line="360" w:lineRule="auto"/>
      <w:ind w:left="1134"/>
    </w:pPr>
    <w:rPr>
      <w:rFonts w:ascii="Times New Roman" w:hAnsi="Times New Roman" w:cs="Times New Roman"/>
      <w:kern w:val="0"/>
      <w:sz w:val="24"/>
    </w:rPr>
  </w:style>
  <w:style w:type="paragraph" w:customStyle="1" w:styleId="Text3">
    <w:name w:val="Text 3"/>
    <w:basedOn w:val="Normal"/>
    <w:rsid w:val="00FA29B2"/>
    <w:pPr>
      <w:spacing w:before="120" w:after="120" w:line="360" w:lineRule="auto"/>
      <w:ind w:left="1701"/>
    </w:pPr>
    <w:rPr>
      <w:rFonts w:ascii="Times New Roman" w:hAnsi="Times New Roman" w:cs="Times New Roman"/>
      <w:kern w:val="0"/>
      <w:sz w:val="24"/>
    </w:rPr>
  </w:style>
  <w:style w:type="paragraph" w:customStyle="1" w:styleId="Text4">
    <w:name w:val="Text 4"/>
    <w:basedOn w:val="Normal"/>
    <w:rsid w:val="00FA29B2"/>
    <w:pPr>
      <w:spacing w:before="120" w:after="120" w:line="360" w:lineRule="auto"/>
      <w:ind w:left="2268"/>
    </w:pPr>
    <w:rPr>
      <w:rFonts w:ascii="Times New Roman" w:hAnsi="Times New Roman" w:cs="Times New Roman"/>
      <w:kern w:val="0"/>
      <w:sz w:val="24"/>
    </w:rPr>
  </w:style>
  <w:style w:type="paragraph" w:customStyle="1" w:styleId="Text5">
    <w:name w:val="Text 5"/>
    <w:basedOn w:val="Normal"/>
    <w:rsid w:val="00FA29B2"/>
    <w:pPr>
      <w:spacing w:before="120" w:after="120" w:line="360" w:lineRule="auto"/>
      <w:ind w:left="2835"/>
    </w:pPr>
    <w:rPr>
      <w:rFonts w:ascii="Times New Roman" w:hAnsi="Times New Roman" w:cs="Times New Roman"/>
      <w:kern w:val="0"/>
      <w:sz w:val="24"/>
    </w:rPr>
  </w:style>
  <w:style w:type="paragraph" w:customStyle="1" w:styleId="Text6">
    <w:name w:val="Text 6"/>
    <w:basedOn w:val="Normal"/>
    <w:rsid w:val="00FA29B2"/>
    <w:pPr>
      <w:spacing w:before="120" w:after="120" w:line="360" w:lineRule="auto"/>
      <w:ind w:left="3402"/>
    </w:pPr>
    <w:rPr>
      <w:rFonts w:ascii="Times New Roman" w:hAnsi="Times New Roman" w:cs="Times New Roman"/>
      <w:kern w:val="0"/>
      <w:sz w:val="24"/>
    </w:rPr>
  </w:style>
  <w:style w:type="paragraph" w:customStyle="1" w:styleId="PointManual">
    <w:name w:val="Point Manual"/>
    <w:basedOn w:val="Normal"/>
    <w:rsid w:val="00FA29B2"/>
    <w:pPr>
      <w:spacing w:before="120" w:after="120" w:line="360" w:lineRule="auto"/>
      <w:ind w:left="567" w:hanging="567"/>
    </w:pPr>
    <w:rPr>
      <w:rFonts w:ascii="Times New Roman" w:hAnsi="Times New Roman" w:cs="Times New Roman"/>
      <w:kern w:val="0"/>
      <w:sz w:val="24"/>
    </w:rPr>
  </w:style>
  <w:style w:type="paragraph" w:customStyle="1" w:styleId="PointManual1">
    <w:name w:val="Point Manual (1)"/>
    <w:basedOn w:val="Normal"/>
    <w:rsid w:val="00FA29B2"/>
    <w:pPr>
      <w:spacing w:before="120" w:after="120" w:line="360" w:lineRule="auto"/>
      <w:ind w:left="1134" w:hanging="567"/>
    </w:pPr>
    <w:rPr>
      <w:rFonts w:ascii="Times New Roman" w:hAnsi="Times New Roman" w:cs="Times New Roman"/>
      <w:kern w:val="0"/>
      <w:sz w:val="24"/>
    </w:rPr>
  </w:style>
  <w:style w:type="paragraph" w:customStyle="1" w:styleId="PointManual2">
    <w:name w:val="Point Manual (2)"/>
    <w:basedOn w:val="Normal"/>
    <w:rsid w:val="00FA29B2"/>
    <w:pPr>
      <w:spacing w:before="120" w:after="120" w:line="360" w:lineRule="auto"/>
      <w:ind w:left="1701" w:hanging="567"/>
    </w:pPr>
    <w:rPr>
      <w:rFonts w:ascii="Times New Roman" w:hAnsi="Times New Roman" w:cs="Times New Roman"/>
      <w:kern w:val="0"/>
      <w:sz w:val="24"/>
    </w:rPr>
  </w:style>
  <w:style w:type="paragraph" w:customStyle="1" w:styleId="PointManual3">
    <w:name w:val="Point Manual (3)"/>
    <w:basedOn w:val="Normal"/>
    <w:rsid w:val="00FA29B2"/>
    <w:pPr>
      <w:spacing w:before="120" w:after="120" w:line="360" w:lineRule="auto"/>
      <w:ind w:left="2268" w:hanging="567"/>
    </w:pPr>
    <w:rPr>
      <w:rFonts w:ascii="Times New Roman" w:hAnsi="Times New Roman" w:cs="Times New Roman"/>
      <w:kern w:val="0"/>
      <w:sz w:val="24"/>
    </w:rPr>
  </w:style>
  <w:style w:type="paragraph" w:customStyle="1" w:styleId="PointManual4">
    <w:name w:val="Point Manual (4)"/>
    <w:basedOn w:val="Normal"/>
    <w:rsid w:val="00FA29B2"/>
    <w:pPr>
      <w:spacing w:before="120" w:after="120" w:line="360" w:lineRule="auto"/>
      <w:ind w:left="2835" w:hanging="567"/>
    </w:pPr>
    <w:rPr>
      <w:rFonts w:ascii="Times New Roman" w:hAnsi="Times New Roman" w:cs="Times New Roman"/>
      <w:kern w:val="0"/>
      <w:sz w:val="24"/>
    </w:rPr>
  </w:style>
  <w:style w:type="paragraph" w:customStyle="1" w:styleId="PointDoubleManual">
    <w:name w:val="Point Double Manual"/>
    <w:basedOn w:val="Normal"/>
    <w:rsid w:val="00FA29B2"/>
    <w:pPr>
      <w:tabs>
        <w:tab w:val="left" w:pos="567"/>
      </w:tabs>
      <w:spacing w:before="120" w:after="120" w:line="360" w:lineRule="auto"/>
      <w:ind w:left="1134" w:hanging="1134"/>
    </w:pPr>
    <w:rPr>
      <w:rFonts w:ascii="Times New Roman" w:hAnsi="Times New Roman" w:cs="Times New Roman"/>
      <w:kern w:val="0"/>
      <w:sz w:val="24"/>
    </w:rPr>
  </w:style>
  <w:style w:type="paragraph" w:customStyle="1" w:styleId="PointDoubleManual1">
    <w:name w:val="Point Double Manual (1)"/>
    <w:basedOn w:val="Normal"/>
    <w:rsid w:val="00FA29B2"/>
    <w:pPr>
      <w:tabs>
        <w:tab w:val="left" w:pos="1134"/>
      </w:tabs>
      <w:spacing w:before="120" w:after="120" w:line="360" w:lineRule="auto"/>
      <w:ind w:left="1701" w:hanging="1134"/>
    </w:pPr>
    <w:rPr>
      <w:rFonts w:ascii="Times New Roman" w:hAnsi="Times New Roman" w:cs="Times New Roman"/>
      <w:kern w:val="0"/>
      <w:sz w:val="24"/>
    </w:rPr>
  </w:style>
  <w:style w:type="paragraph" w:customStyle="1" w:styleId="PointDoubleManual2">
    <w:name w:val="Point Double Manual (2)"/>
    <w:basedOn w:val="Normal"/>
    <w:rsid w:val="00FA29B2"/>
    <w:pPr>
      <w:tabs>
        <w:tab w:val="left" w:pos="1701"/>
      </w:tabs>
      <w:spacing w:before="120" w:after="120" w:line="360" w:lineRule="auto"/>
      <w:ind w:left="2268" w:hanging="1134"/>
    </w:pPr>
    <w:rPr>
      <w:rFonts w:ascii="Times New Roman" w:hAnsi="Times New Roman" w:cs="Times New Roman"/>
      <w:kern w:val="0"/>
      <w:sz w:val="24"/>
    </w:rPr>
  </w:style>
  <w:style w:type="paragraph" w:customStyle="1" w:styleId="PointDoubleManual3">
    <w:name w:val="Point Double Manual (3)"/>
    <w:basedOn w:val="Normal"/>
    <w:rsid w:val="00FA29B2"/>
    <w:pPr>
      <w:tabs>
        <w:tab w:val="left" w:pos="2268"/>
      </w:tabs>
      <w:spacing w:before="120" w:after="120" w:line="360" w:lineRule="auto"/>
      <w:ind w:left="2835" w:hanging="1134"/>
    </w:pPr>
    <w:rPr>
      <w:rFonts w:ascii="Times New Roman" w:hAnsi="Times New Roman" w:cs="Times New Roman"/>
      <w:kern w:val="0"/>
      <w:sz w:val="24"/>
    </w:rPr>
  </w:style>
  <w:style w:type="paragraph" w:customStyle="1" w:styleId="PointDoubleManual4">
    <w:name w:val="Point Double Manual (4)"/>
    <w:basedOn w:val="Normal"/>
    <w:rsid w:val="00FA29B2"/>
    <w:pPr>
      <w:tabs>
        <w:tab w:val="left" w:pos="2835"/>
      </w:tabs>
      <w:spacing w:before="120" w:after="120" w:line="360" w:lineRule="auto"/>
      <w:ind w:left="3402" w:hanging="1134"/>
    </w:pPr>
    <w:rPr>
      <w:rFonts w:ascii="Times New Roman" w:hAnsi="Times New Roman" w:cs="Times New Roman"/>
      <w:kern w:val="0"/>
      <w:sz w:val="24"/>
    </w:rPr>
  </w:style>
  <w:style w:type="paragraph" w:customStyle="1" w:styleId="Pointabc">
    <w:name w:val="Point abc"/>
    <w:basedOn w:val="Normal"/>
    <w:rsid w:val="00FA29B2"/>
    <w:pPr>
      <w:numPr>
        <w:ilvl w:val="1"/>
        <w:numId w:val="1"/>
      </w:numPr>
      <w:tabs>
        <w:tab w:val="clear" w:pos="567"/>
        <w:tab w:val="num" w:pos="360"/>
      </w:tabs>
      <w:spacing w:before="120" w:after="120" w:line="360" w:lineRule="auto"/>
      <w:ind w:left="0" w:firstLine="0"/>
    </w:pPr>
    <w:rPr>
      <w:rFonts w:ascii="Times New Roman" w:hAnsi="Times New Roman" w:cs="Times New Roman"/>
      <w:kern w:val="0"/>
      <w:sz w:val="24"/>
    </w:rPr>
  </w:style>
  <w:style w:type="paragraph" w:customStyle="1" w:styleId="Pointabc1">
    <w:name w:val="Point abc (1)"/>
    <w:basedOn w:val="Normal"/>
    <w:rsid w:val="00FA29B2"/>
    <w:pPr>
      <w:numPr>
        <w:ilvl w:val="3"/>
        <w:numId w:val="1"/>
      </w:numPr>
      <w:tabs>
        <w:tab w:val="clear" w:pos="1134"/>
        <w:tab w:val="num" w:pos="360"/>
      </w:tabs>
      <w:spacing w:before="120" w:after="120" w:line="360" w:lineRule="auto"/>
      <w:ind w:left="0" w:firstLine="0"/>
    </w:pPr>
    <w:rPr>
      <w:rFonts w:ascii="Times New Roman" w:hAnsi="Times New Roman" w:cs="Times New Roman"/>
      <w:kern w:val="0"/>
      <w:sz w:val="24"/>
    </w:rPr>
  </w:style>
  <w:style w:type="paragraph" w:customStyle="1" w:styleId="Pointabc2">
    <w:name w:val="Point abc (2)"/>
    <w:basedOn w:val="Normal"/>
    <w:rsid w:val="00FA29B2"/>
    <w:pPr>
      <w:numPr>
        <w:ilvl w:val="5"/>
        <w:numId w:val="1"/>
      </w:numPr>
      <w:tabs>
        <w:tab w:val="clear" w:pos="1701"/>
        <w:tab w:val="num" w:pos="360"/>
      </w:tabs>
      <w:spacing w:before="120" w:after="120" w:line="360" w:lineRule="auto"/>
      <w:ind w:left="0" w:firstLine="0"/>
    </w:pPr>
    <w:rPr>
      <w:rFonts w:ascii="Times New Roman" w:hAnsi="Times New Roman" w:cs="Times New Roman"/>
      <w:kern w:val="0"/>
      <w:sz w:val="24"/>
    </w:rPr>
  </w:style>
  <w:style w:type="paragraph" w:customStyle="1" w:styleId="Pointabc3">
    <w:name w:val="Point abc (3)"/>
    <w:basedOn w:val="Normal"/>
    <w:rsid w:val="00FA29B2"/>
    <w:pPr>
      <w:numPr>
        <w:ilvl w:val="7"/>
        <w:numId w:val="1"/>
      </w:numPr>
      <w:tabs>
        <w:tab w:val="clear" w:pos="2268"/>
        <w:tab w:val="num" w:pos="360"/>
      </w:tabs>
      <w:spacing w:before="120" w:after="120" w:line="360" w:lineRule="auto"/>
      <w:ind w:left="0" w:firstLine="0"/>
    </w:pPr>
    <w:rPr>
      <w:rFonts w:ascii="Times New Roman" w:hAnsi="Times New Roman" w:cs="Times New Roman"/>
      <w:kern w:val="0"/>
      <w:sz w:val="24"/>
    </w:rPr>
  </w:style>
  <w:style w:type="paragraph" w:customStyle="1" w:styleId="Pointabc4">
    <w:name w:val="Point abc (4)"/>
    <w:basedOn w:val="Normal"/>
    <w:rsid w:val="00FA29B2"/>
    <w:pPr>
      <w:numPr>
        <w:ilvl w:val="8"/>
        <w:numId w:val="1"/>
      </w:numPr>
      <w:tabs>
        <w:tab w:val="clear" w:pos="2835"/>
        <w:tab w:val="num" w:pos="360"/>
      </w:tabs>
      <w:spacing w:before="120" w:after="120" w:line="360" w:lineRule="auto"/>
      <w:ind w:left="0" w:firstLine="0"/>
    </w:pPr>
    <w:rPr>
      <w:rFonts w:ascii="Times New Roman" w:hAnsi="Times New Roman" w:cs="Times New Roman"/>
      <w:kern w:val="0"/>
      <w:sz w:val="24"/>
    </w:rPr>
  </w:style>
  <w:style w:type="paragraph" w:customStyle="1" w:styleId="Point123">
    <w:name w:val="Point 123"/>
    <w:basedOn w:val="Normal"/>
    <w:rsid w:val="00FA29B2"/>
    <w:pPr>
      <w:numPr>
        <w:numId w:val="1"/>
      </w:numPr>
      <w:tabs>
        <w:tab w:val="clear" w:pos="567"/>
        <w:tab w:val="num" w:pos="360"/>
      </w:tabs>
      <w:spacing w:before="120" w:after="120" w:line="360" w:lineRule="auto"/>
      <w:ind w:left="0" w:firstLine="0"/>
    </w:pPr>
    <w:rPr>
      <w:rFonts w:ascii="Times New Roman" w:hAnsi="Times New Roman" w:cs="Times New Roman"/>
      <w:kern w:val="0"/>
      <w:sz w:val="24"/>
    </w:rPr>
  </w:style>
  <w:style w:type="paragraph" w:customStyle="1" w:styleId="Point1231">
    <w:name w:val="Point 123 (1)"/>
    <w:basedOn w:val="Normal"/>
    <w:rsid w:val="00FA29B2"/>
    <w:pPr>
      <w:numPr>
        <w:ilvl w:val="2"/>
        <w:numId w:val="1"/>
      </w:numPr>
      <w:tabs>
        <w:tab w:val="clear" w:pos="1134"/>
        <w:tab w:val="num" w:pos="360"/>
      </w:tabs>
      <w:spacing w:before="120" w:after="120" w:line="360" w:lineRule="auto"/>
      <w:ind w:left="0" w:firstLine="0"/>
    </w:pPr>
    <w:rPr>
      <w:rFonts w:ascii="Times New Roman" w:hAnsi="Times New Roman" w:cs="Times New Roman"/>
      <w:kern w:val="0"/>
      <w:sz w:val="24"/>
    </w:rPr>
  </w:style>
  <w:style w:type="paragraph" w:customStyle="1" w:styleId="Point1232">
    <w:name w:val="Point 123 (2)"/>
    <w:basedOn w:val="Normal"/>
    <w:rsid w:val="00FA29B2"/>
    <w:pPr>
      <w:numPr>
        <w:ilvl w:val="4"/>
        <w:numId w:val="1"/>
      </w:numPr>
      <w:tabs>
        <w:tab w:val="clear" w:pos="1701"/>
        <w:tab w:val="num" w:pos="360"/>
      </w:tabs>
      <w:spacing w:before="120" w:after="120" w:line="360" w:lineRule="auto"/>
      <w:ind w:left="0" w:firstLine="0"/>
    </w:pPr>
    <w:rPr>
      <w:rFonts w:ascii="Times New Roman" w:hAnsi="Times New Roman" w:cs="Times New Roman"/>
      <w:kern w:val="0"/>
      <w:sz w:val="24"/>
    </w:rPr>
  </w:style>
  <w:style w:type="paragraph" w:customStyle="1" w:styleId="Point1233">
    <w:name w:val="Point 123 (3)"/>
    <w:basedOn w:val="Normal"/>
    <w:rsid w:val="00FA29B2"/>
    <w:pPr>
      <w:numPr>
        <w:ilvl w:val="6"/>
        <w:numId w:val="1"/>
      </w:numPr>
      <w:tabs>
        <w:tab w:val="clear" w:pos="2268"/>
        <w:tab w:val="num" w:pos="360"/>
      </w:tabs>
      <w:spacing w:before="120" w:after="120" w:line="360" w:lineRule="auto"/>
      <w:ind w:left="0" w:firstLine="0"/>
    </w:pPr>
    <w:rPr>
      <w:rFonts w:ascii="Times New Roman" w:hAnsi="Times New Roman" w:cs="Times New Roman"/>
      <w:kern w:val="0"/>
      <w:sz w:val="24"/>
    </w:rPr>
  </w:style>
  <w:style w:type="paragraph" w:customStyle="1" w:styleId="Pointivx">
    <w:name w:val="Point ivx"/>
    <w:basedOn w:val="Normal"/>
    <w:rsid w:val="00FA29B2"/>
    <w:pPr>
      <w:numPr>
        <w:numId w:val="2"/>
      </w:numPr>
      <w:tabs>
        <w:tab w:val="clear" w:pos="567"/>
        <w:tab w:val="num" w:pos="360"/>
      </w:tabs>
      <w:spacing w:before="120" w:after="120" w:line="360" w:lineRule="auto"/>
      <w:ind w:left="0" w:firstLine="0"/>
    </w:pPr>
    <w:rPr>
      <w:rFonts w:ascii="Times New Roman" w:hAnsi="Times New Roman" w:cs="Times New Roman"/>
      <w:kern w:val="0"/>
      <w:sz w:val="24"/>
    </w:rPr>
  </w:style>
  <w:style w:type="paragraph" w:customStyle="1" w:styleId="Pointivx1">
    <w:name w:val="Point ivx (1)"/>
    <w:basedOn w:val="Normal"/>
    <w:rsid w:val="00FA29B2"/>
    <w:pPr>
      <w:numPr>
        <w:ilvl w:val="1"/>
        <w:numId w:val="2"/>
      </w:numPr>
      <w:tabs>
        <w:tab w:val="clear" w:pos="1134"/>
        <w:tab w:val="num" w:pos="360"/>
      </w:tabs>
      <w:spacing w:before="120" w:after="120" w:line="360" w:lineRule="auto"/>
      <w:ind w:left="0" w:firstLine="0"/>
    </w:pPr>
    <w:rPr>
      <w:rFonts w:ascii="Times New Roman" w:hAnsi="Times New Roman" w:cs="Times New Roman"/>
      <w:kern w:val="0"/>
      <w:sz w:val="24"/>
    </w:rPr>
  </w:style>
  <w:style w:type="paragraph" w:customStyle="1" w:styleId="Pointivx2">
    <w:name w:val="Point ivx (2)"/>
    <w:basedOn w:val="Normal"/>
    <w:rsid w:val="00FA29B2"/>
    <w:pPr>
      <w:numPr>
        <w:ilvl w:val="2"/>
        <w:numId w:val="2"/>
      </w:numPr>
      <w:tabs>
        <w:tab w:val="clear" w:pos="1701"/>
        <w:tab w:val="num" w:pos="360"/>
      </w:tabs>
      <w:spacing w:before="120" w:after="120" w:line="360" w:lineRule="auto"/>
      <w:ind w:left="0" w:firstLine="0"/>
    </w:pPr>
    <w:rPr>
      <w:rFonts w:ascii="Times New Roman" w:hAnsi="Times New Roman" w:cs="Times New Roman"/>
      <w:kern w:val="0"/>
      <w:sz w:val="24"/>
    </w:rPr>
  </w:style>
  <w:style w:type="paragraph" w:customStyle="1" w:styleId="Pointivx3">
    <w:name w:val="Point ivx (3)"/>
    <w:basedOn w:val="Normal"/>
    <w:rsid w:val="00FA29B2"/>
    <w:pPr>
      <w:numPr>
        <w:ilvl w:val="3"/>
        <w:numId w:val="2"/>
      </w:numPr>
      <w:tabs>
        <w:tab w:val="clear" w:pos="2268"/>
        <w:tab w:val="num" w:pos="360"/>
      </w:tabs>
      <w:spacing w:before="120" w:after="120" w:line="360" w:lineRule="auto"/>
      <w:ind w:left="0" w:firstLine="0"/>
    </w:pPr>
    <w:rPr>
      <w:rFonts w:ascii="Times New Roman" w:hAnsi="Times New Roman" w:cs="Times New Roman"/>
      <w:kern w:val="0"/>
      <w:sz w:val="24"/>
    </w:rPr>
  </w:style>
  <w:style w:type="paragraph" w:customStyle="1" w:styleId="Pointivx4">
    <w:name w:val="Point ivx (4)"/>
    <w:basedOn w:val="Normal"/>
    <w:rsid w:val="00FA29B2"/>
    <w:pPr>
      <w:numPr>
        <w:ilvl w:val="4"/>
        <w:numId w:val="2"/>
      </w:numPr>
      <w:tabs>
        <w:tab w:val="clear" w:pos="2835"/>
        <w:tab w:val="num" w:pos="360"/>
      </w:tabs>
      <w:spacing w:before="120" w:after="120" w:line="360" w:lineRule="auto"/>
      <w:ind w:left="0" w:firstLine="0"/>
    </w:pPr>
    <w:rPr>
      <w:rFonts w:ascii="Times New Roman" w:hAnsi="Times New Roman" w:cs="Times New Roman"/>
      <w:kern w:val="0"/>
      <w:sz w:val="24"/>
    </w:rPr>
  </w:style>
  <w:style w:type="paragraph" w:customStyle="1" w:styleId="Bullet">
    <w:name w:val="Bullet"/>
    <w:basedOn w:val="Normal"/>
    <w:rsid w:val="00FA29B2"/>
    <w:pPr>
      <w:spacing w:before="120" w:after="120" w:line="360" w:lineRule="auto"/>
      <w:ind w:left="1570" w:hanging="360"/>
    </w:pPr>
    <w:rPr>
      <w:rFonts w:ascii="Times New Roman" w:hAnsi="Times New Roman" w:cs="Times New Roman"/>
      <w:kern w:val="0"/>
      <w:sz w:val="24"/>
    </w:rPr>
  </w:style>
  <w:style w:type="paragraph" w:customStyle="1" w:styleId="Bullet1">
    <w:name w:val="Bullet 1"/>
    <w:basedOn w:val="Normal"/>
    <w:rsid w:val="00FA29B2"/>
    <w:pPr>
      <w:numPr>
        <w:numId w:val="3"/>
      </w:numPr>
      <w:tabs>
        <w:tab w:val="clear" w:pos="1134"/>
        <w:tab w:val="num" w:pos="360"/>
      </w:tabs>
      <w:spacing w:before="120" w:after="120" w:line="360" w:lineRule="auto"/>
      <w:ind w:left="0" w:firstLine="0"/>
    </w:pPr>
    <w:rPr>
      <w:rFonts w:ascii="Times New Roman" w:hAnsi="Times New Roman" w:cs="Times New Roman"/>
      <w:kern w:val="0"/>
      <w:sz w:val="24"/>
    </w:rPr>
  </w:style>
  <w:style w:type="paragraph" w:customStyle="1" w:styleId="Bullet2">
    <w:name w:val="Bullet 2"/>
    <w:basedOn w:val="Normal"/>
    <w:rsid w:val="00FA29B2"/>
    <w:pPr>
      <w:numPr>
        <w:numId w:val="4"/>
      </w:numPr>
      <w:tabs>
        <w:tab w:val="clear" w:pos="1701"/>
        <w:tab w:val="num" w:pos="360"/>
      </w:tabs>
      <w:spacing w:before="120" w:after="120" w:line="360" w:lineRule="auto"/>
      <w:ind w:left="0" w:firstLine="0"/>
    </w:pPr>
    <w:rPr>
      <w:rFonts w:ascii="Times New Roman" w:hAnsi="Times New Roman" w:cs="Times New Roman"/>
      <w:kern w:val="0"/>
      <w:sz w:val="24"/>
    </w:rPr>
  </w:style>
  <w:style w:type="paragraph" w:customStyle="1" w:styleId="Bullet3">
    <w:name w:val="Bullet 3"/>
    <w:basedOn w:val="Normal"/>
    <w:rsid w:val="00FA29B2"/>
    <w:pPr>
      <w:numPr>
        <w:numId w:val="5"/>
      </w:numPr>
      <w:tabs>
        <w:tab w:val="clear" w:pos="2268"/>
        <w:tab w:val="num" w:pos="360"/>
      </w:tabs>
      <w:spacing w:before="120" w:after="120" w:line="360" w:lineRule="auto"/>
      <w:ind w:left="0" w:firstLine="0"/>
    </w:pPr>
    <w:rPr>
      <w:rFonts w:ascii="Times New Roman" w:hAnsi="Times New Roman" w:cs="Times New Roman"/>
      <w:kern w:val="0"/>
      <w:sz w:val="24"/>
    </w:rPr>
  </w:style>
  <w:style w:type="paragraph" w:customStyle="1" w:styleId="Bullet4">
    <w:name w:val="Bullet 4"/>
    <w:basedOn w:val="Normal"/>
    <w:rsid w:val="00FA29B2"/>
    <w:pPr>
      <w:numPr>
        <w:numId w:val="6"/>
      </w:numPr>
      <w:tabs>
        <w:tab w:val="clear" w:pos="2835"/>
        <w:tab w:val="num" w:pos="360"/>
      </w:tabs>
      <w:spacing w:before="120" w:after="120" w:line="360" w:lineRule="auto"/>
      <w:ind w:left="0" w:firstLine="0"/>
    </w:pPr>
    <w:rPr>
      <w:rFonts w:ascii="Times New Roman" w:hAnsi="Times New Roman" w:cs="Times New Roman"/>
      <w:kern w:val="0"/>
      <w:sz w:val="24"/>
    </w:rPr>
  </w:style>
  <w:style w:type="paragraph" w:customStyle="1" w:styleId="Dash">
    <w:name w:val="Dash"/>
    <w:basedOn w:val="Normal"/>
    <w:rsid w:val="00FA29B2"/>
    <w:pPr>
      <w:numPr>
        <w:numId w:val="7"/>
      </w:numPr>
      <w:tabs>
        <w:tab w:val="clear" w:pos="567"/>
      </w:tabs>
      <w:spacing w:before="120" w:after="120" w:line="360" w:lineRule="auto"/>
      <w:ind w:left="0" w:firstLine="0"/>
    </w:pPr>
    <w:rPr>
      <w:rFonts w:ascii="Times New Roman" w:hAnsi="Times New Roman" w:cs="Times New Roman"/>
      <w:kern w:val="0"/>
      <w:sz w:val="24"/>
    </w:rPr>
  </w:style>
  <w:style w:type="paragraph" w:customStyle="1" w:styleId="Dash1">
    <w:name w:val="Dash 1"/>
    <w:basedOn w:val="Normal"/>
    <w:rsid w:val="00FA29B2"/>
    <w:pPr>
      <w:numPr>
        <w:numId w:val="8"/>
      </w:numPr>
      <w:tabs>
        <w:tab w:val="clear" w:pos="1134"/>
      </w:tabs>
      <w:spacing w:before="120" w:after="120" w:line="360" w:lineRule="auto"/>
      <w:ind w:left="0" w:firstLine="0"/>
    </w:pPr>
    <w:rPr>
      <w:rFonts w:ascii="Times New Roman" w:hAnsi="Times New Roman" w:cs="Times New Roman"/>
      <w:kern w:val="0"/>
      <w:sz w:val="24"/>
    </w:rPr>
  </w:style>
  <w:style w:type="paragraph" w:customStyle="1" w:styleId="Dash2">
    <w:name w:val="Dash 2"/>
    <w:basedOn w:val="Normal"/>
    <w:rsid w:val="00FA29B2"/>
    <w:pPr>
      <w:numPr>
        <w:numId w:val="9"/>
      </w:numPr>
      <w:tabs>
        <w:tab w:val="clear" w:pos="1701"/>
      </w:tabs>
      <w:spacing w:before="120" w:after="120" w:line="360" w:lineRule="auto"/>
      <w:ind w:left="0" w:firstLine="0"/>
    </w:pPr>
    <w:rPr>
      <w:rFonts w:ascii="Times New Roman" w:hAnsi="Times New Roman" w:cs="Times New Roman"/>
      <w:kern w:val="0"/>
      <w:sz w:val="24"/>
    </w:rPr>
  </w:style>
  <w:style w:type="paragraph" w:customStyle="1" w:styleId="Dash3">
    <w:name w:val="Dash 3"/>
    <w:basedOn w:val="Normal"/>
    <w:rsid w:val="00FA29B2"/>
    <w:pPr>
      <w:numPr>
        <w:numId w:val="10"/>
      </w:numPr>
      <w:tabs>
        <w:tab w:val="clear" w:pos="2268"/>
      </w:tabs>
      <w:spacing w:before="120" w:after="120" w:line="360" w:lineRule="auto"/>
      <w:ind w:left="0" w:firstLine="0"/>
    </w:pPr>
    <w:rPr>
      <w:rFonts w:ascii="Times New Roman" w:hAnsi="Times New Roman" w:cs="Times New Roman"/>
      <w:kern w:val="0"/>
      <w:sz w:val="24"/>
    </w:rPr>
  </w:style>
  <w:style w:type="paragraph" w:customStyle="1" w:styleId="Dash4">
    <w:name w:val="Dash 4"/>
    <w:basedOn w:val="Normal"/>
    <w:rsid w:val="00FA29B2"/>
    <w:pPr>
      <w:numPr>
        <w:numId w:val="11"/>
      </w:numPr>
      <w:tabs>
        <w:tab w:val="clear" w:pos="2835"/>
      </w:tabs>
      <w:spacing w:before="120" w:after="120" w:line="360" w:lineRule="auto"/>
      <w:ind w:left="0" w:firstLine="0"/>
    </w:pPr>
    <w:rPr>
      <w:rFonts w:ascii="Times New Roman" w:hAnsi="Times New Roman" w:cs="Times New Roman"/>
      <w:kern w:val="0"/>
      <w:sz w:val="24"/>
    </w:rPr>
  </w:style>
  <w:style w:type="paragraph" w:customStyle="1" w:styleId="DashEqual">
    <w:name w:val="Dash Equal"/>
    <w:basedOn w:val="Dash"/>
    <w:rsid w:val="00FA29B2"/>
    <w:pPr>
      <w:numPr>
        <w:numId w:val="12"/>
      </w:numPr>
      <w:tabs>
        <w:tab w:val="clear" w:pos="567"/>
        <w:tab w:val="num" w:pos="360"/>
      </w:tabs>
      <w:ind w:left="0" w:firstLine="0"/>
    </w:pPr>
  </w:style>
  <w:style w:type="paragraph" w:customStyle="1" w:styleId="DashEqual1">
    <w:name w:val="Dash Equal 1"/>
    <w:basedOn w:val="Dash1"/>
    <w:rsid w:val="00FA29B2"/>
    <w:pPr>
      <w:numPr>
        <w:numId w:val="13"/>
      </w:numPr>
      <w:tabs>
        <w:tab w:val="clear" w:pos="1134"/>
        <w:tab w:val="num" w:pos="360"/>
      </w:tabs>
      <w:ind w:left="0" w:firstLine="0"/>
    </w:pPr>
  </w:style>
  <w:style w:type="paragraph" w:customStyle="1" w:styleId="DashEqual2">
    <w:name w:val="Dash Equal 2"/>
    <w:basedOn w:val="Dash2"/>
    <w:rsid w:val="00FA29B2"/>
    <w:pPr>
      <w:numPr>
        <w:numId w:val="14"/>
      </w:numPr>
      <w:tabs>
        <w:tab w:val="clear" w:pos="1701"/>
        <w:tab w:val="num" w:pos="360"/>
      </w:tabs>
      <w:ind w:left="0" w:firstLine="0"/>
    </w:pPr>
  </w:style>
  <w:style w:type="paragraph" w:customStyle="1" w:styleId="DashEqual3">
    <w:name w:val="Dash Equal 3"/>
    <w:basedOn w:val="Dash3"/>
    <w:rsid w:val="00FA29B2"/>
    <w:pPr>
      <w:numPr>
        <w:numId w:val="15"/>
      </w:numPr>
      <w:tabs>
        <w:tab w:val="clear" w:pos="2268"/>
        <w:tab w:val="num" w:pos="360"/>
      </w:tabs>
      <w:ind w:left="0" w:firstLine="0"/>
    </w:pPr>
  </w:style>
  <w:style w:type="paragraph" w:customStyle="1" w:styleId="DashEqual4">
    <w:name w:val="Dash Equal 4"/>
    <w:basedOn w:val="Dash4"/>
    <w:rsid w:val="00FA29B2"/>
    <w:pPr>
      <w:numPr>
        <w:numId w:val="16"/>
      </w:numPr>
      <w:tabs>
        <w:tab w:val="clear" w:pos="2835"/>
        <w:tab w:val="num" w:pos="360"/>
      </w:tabs>
      <w:ind w:left="0" w:firstLine="0"/>
    </w:pPr>
  </w:style>
  <w:style w:type="character" w:customStyle="1" w:styleId="Marker">
    <w:name w:val="Marker"/>
    <w:basedOn w:val="DefaultParagraphFont"/>
    <w:rsid w:val="00FA29B2"/>
    <w:rPr>
      <w:color w:val="0000FF"/>
      <w:shd w:val="clear" w:color="auto" w:fill="auto"/>
    </w:rPr>
  </w:style>
  <w:style w:type="character" w:customStyle="1" w:styleId="Marker1">
    <w:name w:val="Marker1"/>
    <w:basedOn w:val="DefaultParagraphFont"/>
    <w:rsid w:val="00FA29B2"/>
    <w:rPr>
      <w:color w:val="008000"/>
      <w:shd w:val="clear" w:color="auto" w:fill="auto"/>
    </w:rPr>
  </w:style>
  <w:style w:type="paragraph" w:customStyle="1" w:styleId="HeadingLeft">
    <w:name w:val="Heading Left"/>
    <w:basedOn w:val="Normal"/>
    <w:next w:val="Normal"/>
    <w:rsid w:val="00FA29B2"/>
    <w:pPr>
      <w:spacing w:before="360" w:after="120" w:line="360" w:lineRule="auto"/>
      <w:outlineLvl w:val="0"/>
    </w:pPr>
    <w:rPr>
      <w:rFonts w:ascii="Times New Roman" w:hAnsi="Times New Roman" w:cs="Times New Roman"/>
      <w:b/>
      <w:caps/>
      <w:kern w:val="0"/>
      <w:sz w:val="24"/>
      <w:u w:val="single"/>
    </w:rPr>
  </w:style>
  <w:style w:type="paragraph" w:customStyle="1" w:styleId="HeadingIVX">
    <w:name w:val="Heading IVX"/>
    <w:basedOn w:val="HeadingLeft"/>
    <w:next w:val="Normal"/>
    <w:rsid w:val="00FA29B2"/>
    <w:pPr>
      <w:numPr>
        <w:numId w:val="17"/>
      </w:numPr>
      <w:tabs>
        <w:tab w:val="clear" w:pos="567"/>
        <w:tab w:val="num" w:pos="360"/>
      </w:tabs>
      <w:ind w:left="0" w:firstLine="0"/>
    </w:pPr>
  </w:style>
  <w:style w:type="paragraph" w:customStyle="1" w:styleId="Heading123">
    <w:name w:val="Heading 123"/>
    <w:basedOn w:val="HeadingLeft"/>
    <w:next w:val="Normal"/>
    <w:rsid w:val="00FA29B2"/>
    <w:pPr>
      <w:numPr>
        <w:numId w:val="18"/>
      </w:numPr>
      <w:tabs>
        <w:tab w:val="clear" w:pos="567"/>
        <w:tab w:val="num" w:pos="360"/>
      </w:tabs>
      <w:ind w:left="0" w:firstLine="0"/>
    </w:pPr>
  </w:style>
  <w:style w:type="paragraph" w:customStyle="1" w:styleId="HeadingABC">
    <w:name w:val="Heading ABC"/>
    <w:basedOn w:val="HeadingLeft"/>
    <w:next w:val="Normal"/>
    <w:rsid w:val="00FA29B2"/>
    <w:pPr>
      <w:numPr>
        <w:numId w:val="19"/>
      </w:numPr>
      <w:tabs>
        <w:tab w:val="clear" w:pos="567"/>
        <w:tab w:val="num" w:pos="360"/>
      </w:tabs>
      <w:ind w:left="0" w:firstLine="0"/>
    </w:pPr>
  </w:style>
  <w:style w:type="paragraph" w:customStyle="1" w:styleId="HeadingCentered">
    <w:name w:val="Heading Centered"/>
    <w:basedOn w:val="HeadingLeft"/>
    <w:next w:val="Normal"/>
    <w:rsid w:val="00FA29B2"/>
    <w:pPr>
      <w:jc w:val="center"/>
    </w:pPr>
  </w:style>
  <w:style w:type="paragraph" w:customStyle="1" w:styleId="Jardin">
    <w:name w:val="Jardin"/>
    <w:basedOn w:val="Normal"/>
    <w:rsid w:val="00FA29B2"/>
    <w:pPr>
      <w:spacing w:before="200" w:after="0" w:line="240" w:lineRule="auto"/>
      <w:jc w:val="center"/>
    </w:pPr>
    <w:rPr>
      <w:rFonts w:ascii="Times New Roman" w:hAnsi="Times New Roman" w:cs="Times New Roman"/>
      <w:kern w:val="0"/>
      <w:sz w:val="24"/>
    </w:rPr>
  </w:style>
  <w:style w:type="paragraph" w:customStyle="1" w:styleId="Amendment">
    <w:name w:val="Amendment"/>
    <w:basedOn w:val="Normal"/>
    <w:next w:val="Normal"/>
    <w:rsid w:val="00FA29B2"/>
    <w:pPr>
      <w:spacing w:before="120" w:after="120" w:line="360" w:lineRule="auto"/>
    </w:pPr>
    <w:rPr>
      <w:rFonts w:ascii="Times New Roman" w:hAnsi="Times New Roman" w:cs="Times New Roman"/>
      <w:i/>
      <w:kern w:val="0"/>
      <w:sz w:val="24"/>
      <w:u w:val="single"/>
    </w:rPr>
  </w:style>
  <w:style w:type="paragraph" w:customStyle="1" w:styleId="AmendmentList">
    <w:name w:val="Amendment List"/>
    <w:basedOn w:val="Normal"/>
    <w:rsid w:val="00FA29B2"/>
    <w:pPr>
      <w:spacing w:before="120" w:after="120" w:line="360" w:lineRule="auto"/>
      <w:ind w:left="2268" w:hanging="2268"/>
    </w:pPr>
    <w:rPr>
      <w:rFonts w:ascii="Times New Roman" w:hAnsi="Times New Roman" w:cs="Times New Roman"/>
      <w:kern w:val="0"/>
      <w:sz w:val="24"/>
    </w:rPr>
  </w:style>
  <w:style w:type="paragraph" w:customStyle="1" w:styleId="ReplyRE">
    <w:name w:val="Reply RE"/>
    <w:basedOn w:val="Normal"/>
    <w:next w:val="Normal"/>
    <w:rsid w:val="00FA29B2"/>
    <w:pPr>
      <w:spacing w:before="120" w:after="480" w:line="240" w:lineRule="auto"/>
      <w:contextualSpacing/>
    </w:pPr>
    <w:rPr>
      <w:rFonts w:ascii="Times New Roman" w:hAnsi="Times New Roman" w:cs="Times New Roman"/>
      <w:kern w:val="0"/>
      <w:sz w:val="24"/>
    </w:rPr>
  </w:style>
  <w:style w:type="paragraph" w:customStyle="1" w:styleId="ReplyBold">
    <w:name w:val="Reply Bold"/>
    <w:basedOn w:val="ReplyRE"/>
    <w:next w:val="Normal"/>
    <w:rsid w:val="00FA29B2"/>
    <w:rPr>
      <w:b/>
    </w:rPr>
  </w:style>
  <w:style w:type="paragraph" w:customStyle="1" w:styleId="Annex">
    <w:name w:val="Annex"/>
    <w:basedOn w:val="Normal"/>
    <w:next w:val="Normal"/>
    <w:rsid w:val="00FA29B2"/>
    <w:pPr>
      <w:spacing w:before="120" w:after="120" w:line="360" w:lineRule="auto"/>
      <w:jc w:val="right"/>
    </w:pPr>
    <w:rPr>
      <w:rFonts w:ascii="Times New Roman" w:hAnsi="Times New Roman" w:cs="Times New Roman"/>
      <w:b/>
      <w:kern w:val="0"/>
      <w:sz w:val="24"/>
      <w:u w:val="single"/>
    </w:rPr>
  </w:style>
  <w:style w:type="paragraph" w:customStyle="1" w:styleId="Sign">
    <w:name w:val="Sign"/>
    <w:basedOn w:val="Normal"/>
    <w:rsid w:val="00FA29B2"/>
    <w:pPr>
      <w:tabs>
        <w:tab w:val="center" w:pos="7087"/>
      </w:tabs>
      <w:spacing w:before="120" w:after="120" w:line="360" w:lineRule="auto"/>
      <w:contextualSpacing/>
    </w:pPr>
    <w:rPr>
      <w:rFonts w:ascii="Times New Roman" w:hAnsi="Times New Roman" w:cs="Times New Roman"/>
      <w:kern w:val="0"/>
      <w:sz w:val="24"/>
    </w:rPr>
  </w:style>
  <w:style w:type="paragraph" w:customStyle="1" w:styleId="NotDeclassified">
    <w:name w:val="Not Declassified"/>
    <w:basedOn w:val="Normal"/>
    <w:next w:val="Normal"/>
    <w:rsid w:val="00FA29B2"/>
    <w:pPr>
      <w:spacing w:before="120" w:after="120" w:line="360" w:lineRule="auto"/>
    </w:pPr>
    <w:rPr>
      <w:rFonts w:ascii="Times New Roman" w:hAnsi="Times New Roman" w:cs="Times New Roman"/>
      <w:b/>
      <w:kern w:val="0"/>
      <w:sz w:val="24"/>
      <w:shd w:val="clear" w:color="auto" w:fill="CCCCCC"/>
    </w:rPr>
  </w:style>
  <w:style w:type="character" w:customStyle="1" w:styleId="NotDeclassifiedCharacter">
    <w:name w:val="Not Declassified Character"/>
    <w:basedOn w:val="DefaultParagraphFont"/>
    <w:rsid w:val="00FA29B2"/>
    <w:rPr>
      <w:rFonts w:ascii="Times New Roman" w:hAnsi="Times New Roman" w:cs="Times New Roman"/>
      <w:b/>
      <w:sz w:val="24"/>
      <w:shd w:val="clear" w:color="auto" w:fill="CCCCCC"/>
    </w:rPr>
  </w:style>
  <w:style w:type="paragraph" w:customStyle="1" w:styleId="NormalCompact">
    <w:name w:val="Normal Compact"/>
    <w:basedOn w:val="Normal"/>
    <w:next w:val="Normal"/>
    <w:rsid w:val="00FA29B2"/>
    <w:pPr>
      <w:spacing w:before="120" w:after="120" w:line="240" w:lineRule="auto"/>
    </w:pPr>
    <w:rPr>
      <w:rFonts w:ascii="Times New Roman" w:hAnsi="Times New Roman" w:cs="Times New Roman"/>
      <w:kern w:val="0"/>
      <w:sz w:val="24"/>
    </w:rPr>
  </w:style>
  <w:style w:type="paragraph" w:styleId="EndnoteText">
    <w:name w:val="endnote text"/>
    <w:basedOn w:val="Normal"/>
    <w:link w:val="EndnoteTextChar"/>
    <w:unhideWhenUsed/>
    <w:rsid w:val="00FA29B2"/>
    <w:pPr>
      <w:spacing w:after="0" w:line="240" w:lineRule="auto"/>
    </w:pPr>
    <w:rPr>
      <w:rFonts w:ascii="Times New Roman" w:hAnsi="Times New Roman" w:cs="Times New Roman"/>
      <w:kern w:val="0"/>
      <w:sz w:val="20"/>
      <w:szCs w:val="20"/>
    </w:rPr>
  </w:style>
  <w:style w:type="character" w:customStyle="1" w:styleId="EndnoteTextChar">
    <w:name w:val="Endnote Text Char"/>
    <w:basedOn w:val="DefaultParagraphFont"/>
    <w:link w:val="EndnoteText"/>
    <w:rsid w:val="00FA29B2"/>
    <w:rPr>
      <w:rFonts w:ascii="Times New Roman" w:hAnsi="Times New Roman" w:cs="Times New Roman"/>
      <w:kern w:val="0"/>
      <w:sz w:val="20"/>
      <w:szCs w:val="20"/>
    </w:rPr>
  </w:style>
  <w:style w:type="character" w:styleId="EndnoteReference">
    <w:name w:val="endnote reference"/>
    <w:basedOn w:val="DefaultParagraphFont"/>
    <w:unhideWhenUsed/>
    <w:rsid w:val="00FA29B2"/>
    <w:rPr>
      <w:vertAlign w:val="superscript"/>
    </w:rPr>
  </w:style>
  <w:style w:type="paragraph" w:customStyle="1" w:styleId="EntLogo">
    <w:name w:val="EntLogo"/>
    <w:basedOn w:val="Normal"/>
    <w:rsid w:val="00FA29B2"/>
    <w:pPr>
      <w:tabs>
        <w:tab w:val="right" w:pos="9639"/>
      </w:tabs>
      <w:spacing w:after="0" w:line="360" w:lineRule="auto"/>
    </w:pPr>
    <w:rPr>
      <w:rFonts w:ascii="Times New Roman" w:hAnsi="Times New Roman" w:cs="Times New Roman"/>
      <w:b/>
      <w:kern w:val="0"/>
      <w:sz w:val="24"/>
    </w:rPr>
  </w:style>
  <w:style w:type="paragraph" w:customStyle="1" w:styleId="EntEmet">
    <w:name w:val="EntEmet"/>
    <w:basedOn w:val="Normal"/>
    <w:rsid w:val="00FA29B2"/>
    <w:pPr>
      <w:spacing w:before="40" w:after="0" w:line="240" w:lineRule="auto"/>
    </w:pPr>
    <w:rPr>
      <w:rFonts w:ascii="Times New Roman" w:hAnsi="Times New Roman" w:cs="Times New Roman"/>
      <w:kern w:val="0"/>
      <w:sz w:val="24"/>
    </w:rPr>
  </w:style>
  <w:style w:type="paragraph" w:customStyle="1" w:styleId="EntInstit">
    <w:name w:val="EntInstit"/>
    <w:basedOn w:val="Normal"/>
    <w:rsid w:val="00FA29B2"/>
    <w:pPr>
      <w:spacing w:after="0" w:line="240" w:lineRule="auto"/>
      <w:jc w:val="right"/>
    </w:pPr>
    <w:rPr>
      <w:rFonts w:ascii="Times New Roman" w:hAnsi="Times New Roman" w:cs="Times New Roman"/>
      <w:b/>
      <w:kern w:val="0"/>
      <w:sz w:val="24"/>
    </w:rPr>
  </w:style>
  <w:style w:type="paragraph" w:customStyle="1" w:styleId="EntRefer">
    <w:name w:val="EntRefer"/>
    <w:basedOn w:val="Normal"/>
    <w:rsid w:val="00FA29B2"/>
    <w:pPr>
      <w:spacing w:after="0" w:line="240" w:lineRule="auto"/>
    </w:pPr>
    <w:rPr>
      <w:rFonts w:ascii="Times New Roman" w:hAnsi="Times New Roman" w:cs="Times New Roman"/>
      <w:b/>
      <w:kern w:val="0"/>
      <w:sz w:val="24"/>
    </w:rPr>
  </w:style>
  <w:style w:type="paragraph" w:customStyle="1" w:styleId="Genredudocument">
    <w:name w:val="Genre du document"/>
    <w:basedOn w:val="EntRefer"/>
    <w:next w:val="EntRefer"/>
    <w:rsid w:val="00FA29B2"/>
    <w:pPr>
      <w:spacing w:before="240"/>
    </w:pPr>
  </w:style>
  <w:style w:type="paragraph" w:customStyle="1" w:styleId="Languagesconcerned">
    <w:name w:val="Languages concerned"/>
    <w:basedOn w:val="Normal"/>
    <w:next w:val="Procedureapplicable"/>
    <w:rsid w:val="00FA29B2"/>
    <w:pPr>
      <w:spacing w:before="240" w:after="120" w:line="360" w:lineRule="auto"/>
    </w:pPr>
    <w:rPr>
      <w:rFonts w:ascii="Times New Roman" w:hAnsi="Times New Roman" w:cs="Times New Roman"/>
      <w:kern w:val="0"/>
      <w:sz w:val="24"/>
    </w:rPr>
  </w:style>
  <w:style w:type="paragraph" w:customStyle="1" w:styleId="Procedureapplicable">
    <w:name w:val="Procedure applicable"/>
    <w:basedOn w:val="Normal"/>
    <w:next w:val="Proceduretype"/>
    <w:rsid w:val="00FA29B2"/>
    <w:pPr>
      <w:spacing w:before="240" w:after="120" w:line="360" w:lineRule="auto"/>
    </w:pPr>
    <w:rPr>
      <w:rFonts w:ascii="Times New Roman" w:hAnsi="Times New Roman" w:cs="Times New Roman"/>
      <w:kern w:val="0"/>
      <w:sz w:val="24"/>
    </w:rPr>
  </w:style>
  <w:style w:type="paragraph" w:customStyle="1" w:styleId="Proceduretype">
    <w:name w:val="Procedure type"/>
    <w:basedOn w:val="Normal"/>
    <w:next w:val="Normal"/>
    <w:rsid w:val="00FA29B2"/>
    <w:pPr>
      <w:spacing w:before="240" w:after="0" w:line="360" w:lineRule="auto"/>
    </w:pPr>
    <w:rPr>
      <w:rFonts w:ascii="Times New Roman" w:hAnsi="Times New Roman" w:cs="Times New Roman"/>
      <w:kern w:val="0"/>
      <w:sz w:val="24"/>
    </w:rPr>
  </w:style>
  <w:style w:type="paragraph" w:customStyle="1" w:styleId="Agreement">
    <w:name w:val="Agreement"/>
    <w:basedOn w:val="Normal"/>
    <w:next w:val="Normal"/>
    <w:rsid w:val="00FA29B2"/>
    <w:pPr>
      <w:spacing w:after="120" w:line="360" w:lineRule="auto"/>
    </w:pPr>
    <w:rPr>
      <w:rFonts w:ascii="Times New Roman" w:hAnsi="Times New Roman" w:cs="Times New Roman"/>
      <w:kern w:val="0"/>
      <w:sz w:val="24"/>
    </w:rPr>
  </w:style>
  <w:style w:type="paragraph" w:customStyle="1" w:styleId="Timelimit">
    <w:name w:val="Time limit"/>
    <w:basedOn w:val="Normal"/>
    <w:next w:val="Normal"/>
    <w:rsid w:val="00FA29B2"/>
    <w:pPr>
      <w:spacing w:before="240" w:after="120" w:line="360" w:lineRule="auto"/>
    </w:pPr>
    <w:rPr>
      <w:rFonts w:ascii="Times New Roman" w:hAnsi="Times New Roman" w:cs="Times New Roman"/>
      <w:kern w:val="0"/>
      <w:sz w:val="24"/>
    </w:rPr>
  </w:style>
  <w:style w:type="paragraph" w:customStyle="1" w:styleId="Remarks">
    <w:name w:val="Remarks"/>
    <w:basedOn w:val="Normal"/>
    <w:rsid w:val="00FA29B2"/>
    <w:pPr>
      <w:spacing w:before="240" w:after="120" w:line="360" w:lineRule="auto"/>
    </w:pPr>
    <w:rPr>
      <w:rFonts w:ascii="Times New Roman" w:hAnsi="Times New Roman" w:cs="Times New Roman"/>
      <w:kern w:val="0"/>
      <w:sz w:val="24"/>
    </w:rPr>
  </w:style>
  <w:style w:type="paragraph" w:customStyle="1" w:styleId="Correctionnewlanguages">
    <w:name w:val="Correction new languages"/>
    <w:basedOn w:val="Normal"/>
    <w:next w:val="Normal"/>
    <w:rsid w:val="00FA29B2"/>
    <w:pPr>
      <w:spacing w:before="240" w:after="120" w:line="360" w:lineRule="auto"/>
    </w:pPr>
    <w:rPr>
      <w:rFonts w:ascii="Times New Roman" w:hAnsi="Times New Roman" w:cs="Times New Roman"/>
      <w:kern w:val="0"/>
      <w:sz w:val="24"/>
    </w:rPr>
  </w:style>
  <w:style w:type="paragraph" w:customStyle="1" w:styleId="Anyobservations">
    <w:name w:val="Any observations"/>
    <w:basedOn w:val="Normal"/>
    <w:next w:val="Normal"/>
    <w:rsid w:val="00FA29B2"/>
    <w:pPr>
      <w:spacing w:before="240" w:after="120" w:line="360" w:lineRule="auto"/>
    </w:pPr>
    <w:rPr>
      <w:rFonts w:ascii="Times New Roman" w:hAnsi="Times New Roman" w:cs="Times New Roman"/>
      <w:b/>
      <w:kern w:val="0"/>
      <w:sz w:val="24"/>
    </w:rPr>
  </w:style>
  <w:style w:type="paragraph" w:customStyle="1" w:styleId="Annextitle">
    <w:name w:val="Annex title"/>
    <w:basedOn w:val="Normal"/>
    <w:next w:val="Corrigendumtitle"/>
    <w:rsid w:val="00FA29B2"/>
    <w:pPr>
      <w:spacing w:after="0" w:line="360" w:lineRule="auto"/>
      <w:jc w:val="right"/>
    </w:pPr>
    <w:rPr>
      <w:rFonts w:ascii="Times New Roman" w:hAnsi="Times New Roman" w:cs="Times New Roman"/>
      <w:b/>
      <w:kern w:val="0"/>
      <w:sz w:val="24"/>
      <w:u w:val="single"/>
    </w:rPr>
  </w:style>
  <w:style w:type="paragraph" w:customStyle="1" w:styleId="Corrigendumtitle">
    <w:name w:val="Corrigendum title"/>
    <w:basedOn w:val="Normal"/>
    <w:next w:val="Corrigendumto"/>
    <w:rsid w:val="00FA29B2"/>
    <w:pPr>
      <w:spacing w:before="240" w:after="120" w:line="360" w:lineRule="auto"/>
      <w:jc w:val="center"/>
    </w:pPr>
    <w:rPr>
      <w:rFonts w:ascii="Times New Roman" w:hAnsi="Times New Roman" w:cs="Times New Roman"/>
      <w:b/>
      <w:kern w:val="0"/>
      <w:sz w:val="24"/>
    </w:rPr>
  </w:style>
  <w:style w:type="paragraph" w:customStyle="1" w:styleId="Corrigendumto">
    <w:name w:val="Corrigendum to"/>
    <w:basedOn w:val="Normal"/>
    <w:next w:val="Referencedocument"/>
    <w:rsid w:val="00FA29B2"/>
    <w:pPr>
      <w:spacing w:before="120" w:after="240" w:line="360" w:lineRule="auto"/>
      <w:jc w:val="center"/>
    </w:pPr>
    <w:rPr>
      <w:rFonts w:ascii="Times New Roman" w:hAnsi="Times New Roman" w:cs="Times New Roman"/>
      <w:b/>
      <w:kern w:val="0"/>
      <w:sz w:val="24"/>
    </w:rPr>
  </w:style>
  <w:style w:type="paragraph" w:customStyle="1" w:styleId="Referencedocument">
    <w:name w:val="Reference document"/>
    <w:basedOn w:val="Normal"/>
    <w:rsid w:val="00FA29B2"/>
    <w:pPr>
      <w:spacing w:after="0" w:line="360" w:lineRule="auto"/>
      <w:jc w:val="center"/>
    </w:pPr>
    <w:rPr>
      <w:rFonts w:ascii="Times New Roman" w:hAnsi="Times New Roman" w:cs="Times New Roman"/>
      <w:kern w:val="0"/>
      <w:sz w:val="24"/>
    </w:rPr>
  </w:style>
  <w:style w:type="paragraph" w:customStyle="1" w:styleId="Correctionpage">
    <w:name w:val="Correction page"/>
    <w:basedOn w:val="Normal"/>
    <w:next w:val="Correctionfortitle"/>
    <w:rsid w:val="00FA29B2"/>
    <w:pPr>
      <w:keepNext/>
      <w:spacing w:before="240" w:after="120" w:line="360" w:lineRule="auto"/>
    </w:pPr>
    <w:rPr>
      <w:rFonts w:ascii="Times New Roman" w:hAnsi="Times New Roman" w:cs="Times New Roman"/>
      <w:kern w:val="0"/>
      <w:sz w:val="24"/>
    </w:rPr>
  </w:style>
  <w:style w:type="paragraph" w:customStyle="1" w:styleId="Correctionfortitle">
    <w:name w:val="Correction for title"/>
    <w:basedOn w:val="Normal"/>
    <w:next w:val="Correctionfortext"/>
    <w:rsid w:val="00FA29B2"/>
    <w:pPr>
      <w:keepNext/>
      <w:spacing w:before="120" w:after="240" w:line="360" w:lineRule="auto"/>
    </w:pPr>
    <w:rPr>
      <w:rFonts w:ascii="Times New Roman" w:hAnsi="Times New Roman" w:cs="Times New Roman"/>
      <w:i/>
      <w:kern w:val="0"/>
      <w:sz w:val="24"/>
    </w:rPr>
  </w:style>
  <w:style w:type="paragraph" w:customStyle="1" w:styleId="Correctionfortext">
    <w:name w:val="Correction for text"/>
    <w:basedOn w:val="Normal"/>
    <w:rsid w:val="00FA29B2"/>
    <w:pPr>
      <w:spacing w:after="0" w:line="360" w:lineRule="auto"/>
    </w:pPr>
    <w:rPr>
      <w:rFonts w:ascii="Times New Roman" w:hAnsi="Times New Roman" w:cs="Times New Roman"/>
      <w:kern w:val="0"/>
      <w:sz w:val="24"/>
    </w:rPr>
  </w:style>
  <w:style w:type="paragraph" w:customStyle="1" w:styleId="Correctionreadtitle">
    <w:name w:val="Correction read title"/>
    <w:basedOn w:val="Normal"/>
    <w:next w:val="Correctionreadtext"/>
    <w:rsid w:val="00FA29B2"/>
    <w:pPr>
      <w:keepNext/>
      <w:spacing w:before="120" w:after="240" w:line="360" w:lineRule="auto"/>
    </w:pPr>
    <w:rPr>
      <w:rFonts w:ascii="Times New Roman" w:hAnsi="Times New Roman" w:cs="Times New Roman"/>
      <w:i/>
      <w:kern w:val="0"/>
      <w:sz w:val="24"/>
    </w:rPr>
  </w:style>
  <w:style w:type="paragraph" w:customStyle="1" w:styleId="Correctionreadtext">
    <w:name w:val="Correction read text"/>
    <w:basedOn w:val="Normal"/>
    <w:rsid w:val="00FA29B2"/>
    <w:pPr>
      <w:spacing w:after="0" w:line="360" w:lineRule="auto"/>
    </w:pPr>
    <w:rPr>
      <w:rFonts w:ascii="Times New Roman" w:hAnsi="Times New Roman" w:cs="Times New Roman"/>
      <w:kern w:val="0"/>
      <w:sz w:val="24"/>
    </w:rPr>
  </w:style>
  <w:style w:type="paragraph" w:customStyle="1" w:styleId="Phraseofsignature">
    <w:name w:val="Phrase of signature"/>
    <w:basedOn w:val="Normal"/>
    <w:next w:val="Correctionpage"/>
    <w:rsid w:val="00FA29B2"/>
    <w:pPr>
      <w:spacing w:before="240" w:after="120" w:line="360" w:lineRule="auto"/>
    </w:pPr>
    <w:rPr>
      <w:rFonts w:ascii="Times New Roman" w:hAnsi="Times New Roman" w:cs="Times New Roman"/>
      <w:kern w:val="0"/>
      <w:sz w:val="24"/>
    </w:rPr>
  </w:style>
  <w:style w:type="character" w:customStyle="1" w:styleId="HeaderCouncilLargeChar">
    <w:name w:val="Header Council Large Char"/>
    <w:basedOn w:val="TechnicalBlockChar"/>
    <w:link w:val="HeaderCouncilLarge"/>
    <w:rsid w:val="00FA29B2"/>
    <w:rPr>
      <w:rFonts w:ascii="Times New Roman" w:hAnsi="Times New Roman" w:cs="Times New Roman"/>
      <w:kern w:val="0"/>
      <w:sz w:val="2"/>
    </w:rPr>
  </w:style>
  <w:style w:type="character" w:styleId="PlaceholderText">
    <w:name w:val="Placeholder Text"/>
    <w:basedOn w:val="DefaultParagraphFont"/>
    <w:uiPriority w:val="99"/>
    <w:semiHidden/>
    <w:rsid w:val="00FA29B2"/>
    <w:rPr>
      <w:color w:val="808080"/>
    </w:rPr>
  </w:style>
  <w:style w:type="character" w:customStyle="1" w:styleId="scxw134703037">
    <w:name w:val="scxw134703037"/>
    <w:basedOn w:val="DefaultParagraphFont"/>
    <w:rsid w:val="00FA29B2"/>
  </w:style>
  <w:style w:type="character" w:customStyle="1" w:styleId="Spominjanje1">
    <w:name w:val="Spominjanje1"/>
    <w:basedOn w:val="DefaultParagraphFont"/>
    <w:uiPriority w:val="99"/>
    <w:unhideWhenUsed/>
    <w:rsid w:val="00FA29B2"/>
    <w:rPr>
      <w:color w:val="2B579A"/>
      <w:shd w:val="clear" w:color="auto" w:fill="E6E6E6"/>
    </w:rPr>
  </w:style>
  <w:style w:type="character" w:customStyle="1" w:styleId="ui-provider">
    <w:name w:val="ui-provider"/>
    <w:basedOn w:val="DefaultParagraphFont"/>
    <w:rsid w:val="00FA29B2"/>
  </w:style>
  <w:style w:type="paragraph" w:customStyle="1" w:styleId="inline-block">
    <w:name w:val="inline-block"/>
    <w:basedOn w:val="Normal"/>
    <w:rsid w:val="00FA29B2"/>
    <w:pPr>
      <w:spacing w:before="100" w:beforeAutospacing="1" w:after="100" w:afterAutospacing="1" w:line="240" w:lineRule="auto"/>
    </w:pPr>
    <w:rPr>
      <w:rFonts w:ascii="Times New Roman" w:eastAsia="Times New Roman" w:hAnsi="Times New Roman" w:cs="Times New Roman"/>
      <w:kern w:val="0"/>
      <w:sz w:val="24"/>
      <w:szCs w:val="20"/>
    </w:rPr>
  </w:style>
  <w:style w:type="character" w:customStyle="1" w:styleId="scxw121540484">
    <w:name w:val="scxw121540484"/>
    <w:basedOn w:val="DefaultParagraphFont"/>
    <w:rsid w:val="00FA29B2"/>
  </w:style>
  <w:style w:type="character" w:customStyle="1" w:styleId="scxw226962243">
    <w:name w:val="scxw226962243"/>
    <w:basedOn w:val="DefaultParagraphFont"/>
    <w:rsid w:val="00FA29B2"/>
  </w:style>
  <w:style w:type="character" w:customStyle="1" w:styleId="cf01">
    <w:name w:val="cf01"/>
    <w:basedOn w:val="DefaultParagraphFont"/>
    <w:rsid w:val="00FA29B2"/>
    <w:rPr>
      <w:rFonts w:ascii="Segoe UI" w:hAnsi="Segoe UI" w:cs="Segoe UI" w:hint="default"/>
      <w:sz w:val="18"/>
      <w:shd w:val="clear" w:color="auto" w:fill="FFFF00"/>
    </w:rPr>
  </w:style>
  <w:style w:type="character" w:customStyle="1" w:styleId="cf11">
    <w:name w:val="cf11"/>
    <w:basedOn w:val="DefaultParagraphFont"/>
    <w:rsid w:val="00FA29B2"/>
    <w:rPr>
      <w:rFonts w:ascii="Segoe UI" w:hAnsi="Segoe UI" w:cs="Segoe UI" w:hint="default"/>
      <w:sz w:val="18"/>
      <w:shd w:val="clear" w:color="auto" w:fill="FFFF00"/>
    </w:rPr>
  </w:style>
  <w:style w:type="character" w:customStyle="1" w:styleId="Mention2">
    <w:name w:val="Mention2"/>
    <w:basedOn w:val="DefaultParagraphFont"/>
    <w:uiPriority w:val="99"/>
    <w:unhideWhenUsed/>
    <w:rsid w:val="00FA29B2"/>
    <w:rPr>
      <w:color w:val="2B579A"/>
      <w:shd w:val="clear" w:color="auto" w:fill="E1DFDD"/>
    </w:rPr>
  </w:style>
  <w:style w:type="character" w:customStyle="1" w:styleId="UnresolvedMention2">
    <w:name w:val="Unresolved Mention2"/>
    <w:basedOn w:val="DefaultParagraphFont"/>
    <w:uiPriority w:val="99"/>
    <w:unhideWhenUsed/>
    <w:rsid w:val="00FA29B2"/>
    <w:rPr>
      <w:color w:val="605E5C"/>
      <w:shd w:val="clear" w:color="auto" w:fill="E1DFDD"/>
    </w:rPr>
  </w:style>
  <w:style w:type="paragraph" w:customStyle="1" w:styleId="EntText">
    <w:name w:val="EntText"/>
    <w:basedOn w:val="Normal"/>
    <w:rsid w:val="00FA29B2"/>
    <w:pPr>
      <w:spacing w:before="120" w:after="120" w:line="360" w:lineRule="auto"/>
    </w:pPr>
    <w:rPr>
      <w:rFonts w:ascii="Times New Roman" w:hAnsi="Times New Roman" w:cs="Times New Roman"/>
      <w:kern w:val="0"/>
      <w:sz w:val="24"/>
    </w:rPr>
  </w:style>
  <w:style w:type="paragraph" w:customStyle="1" w:styleId="Lignefinal">
    <w:name w:val="Ligne final"/>
    <w:basedOn w:val="Normal"/>
    <w:next w:val="Normal"/>
    <w:rsid w:val="00FA29B2"/>
    <w:pPr>
      <w:pBdr>
        <w:bottom w:val="single" w:sz="4" w:space="0" w:color="000000"/>
      </w:pBdr>
      <w:spacing w:before="360" w:after="120" w:line="360" w:lineRule="auto"/>
      <w:ind w:left="3400" w:right="3400"/>
      <w:jc w:val="center"/>
    </w:pPr>
    <w:rPr>
      <w:rFonts w:ascii="Times New Roman" w:hAnsi="Times New Roman" w:cs="Times New Roman"/>
      <w:b/>
      <w:kern w:val="0"/>
      <w:sz w:val="24"/>
    </w:rPr>
  </w:style>
  <w:style w:type="paragraph" w:customStyle="1" w:styleId="pj">
    <w:name w:val="p.j."/>
    <w:basedOn w:val="Normal"/>
    <w:link w:val="pjChar"/>
    <w:rsid w:val="00FA29B2"/>
    <w:pPr>
      <w:spacing w:before="1200" w:after="120" w:line="240" w:lineRule="auto"/>
      <w:ind w:left="1440" w:hanging="1440"/>
    </w:pPr>
    <w:rPr>
      <w:rFonts w:ascii="Times New Roman" w:hAnsi="Times New Roman" w:cs="Times New Roman"/>
      <w:kern w:val="0"/>
      <w:sz w:val="24"/>
    </w:rPr>
  </w:style>
  <w:style w:type="character" w:customStyle="1" w:styleId="pjChar">
    <w:name w:val="p.j. Char"/>
    <w:basedOn w:val="DefaultParagraphFont"/>
    <w:link w:val="pj"/>
    <w:rsid w:val="00FA29B2"/>
    <w:rPr>
      <w:rFonts w:ascii="Times New Roman" w:hAnsi="Times New Roman" w:cs="Times New Roman"/>
      <w:kern w:val="0"/>
      <w:sz w:val="24"/>
    </w:rPr>
  </w:style>
  <w:style w:type="paragraph" w:customStyle="1" w:styleId="nbbordered">
    <w:name w:val="nb bordered"/>
    <w:basedOn w:val="Normal"/>
    <w:link w:val="nbborderedChar"/>
    <w:rsid w:val="00FA29B2"/>
    <w:pPr>
      <w:pBdr>
        <w:top w:val="single" w:sz="4" w:space="1" w:color="auto"/>
        <w:left w:val="single" w:sz="4" w:space="4" w:color="auto"/>
        <w:bottom w:val="single" w:sz="4" w:space="1" w:color="auto"/>
        <w:right w:val="single" w:sz="4" w:space="4" w:color="auto"/>
        <w:between w:val="single" w:sz="4" w:space="0" w:color="auto"/>
      </w:pBdr>
      <w:spacing w:before="120" w:line="240" w:lineRule="auto"/>
      <w:ind w:left="480" w:hanging="480"/>
    </w:pPr>
    <w:rPr>
      <w:rFonts w:ascii="Times New Roman" w:hAnsi="Times New Roman" w:cs="Times New Roman"/>
      <w:b/>
      <w:kern w:val="0"/>
      <w:sz w:val="24"/>
    </w:rPr>
  </w:style>
  <w:style w:type="character" w:customStyle="1" w:styleId="nbborderedChar">
    <w:name w:val="nb bordered Char"/>
    <w:basedOn w:val="DefaultParagraphFont"/>
    <w:link w:val="nbbordered"/>
    <w:rsid w:val="00FA29B2"/>
    <w:rPr>
      <w:rFonts w:ascii="Times New Roman" w:hAnsi="Times New Roman" w:cs="Times New Roman"/>
      <w:b/>
      <w:kern w:val="0"/>
      <w:sz w:val="24"/>
    </w:rPr>
  </w:style>
  <w:style w:type="character" w:customStyle="1" w:styleId="HeaderCouncilChar">
    <w:name w:val="Header Council Char"/>
    <w:basedOn w:val="DefaultParagraphFont"/>
    <w:link w:val="HeaderCouncil"/>
    <w:rsid w:val="00FA29B2"/>
    <w:rPr>
      <w:rFonts w:ascii="Times New Roman" w:hAnsi="Times New Roman" w:cs="Times New Roman"/>
      <w:kern w:val="0"/>
      <w:sz w:val="2"/>
    </w:rPr>
  </w:style>
  <w:style w:type="character" w:customStyle="1" w:styleId="UnresolvedMention3">
    <w:name w:val="Unresolved Mention3"/>
    <w:basedOn w:val="DefaultParagraphFont"/>
    <w:uiPriority w:val="99"/>
    <w:semiHidden/>
    <w:unhideWhenUsed/>
    <w:rsid w:val="00FA29B2"/>
    <w:rPr>
      <w:color w:val="605E5C"/>
      <w:shd w:val="clear" w:color="auto" w:fill="E1DFDD"/>
    </w:rPr>
  </w:style>
  <w:style w:type="paragraph" w:customStyle="1" w:styleId="P68B1DB1-Normal1">
    <w:name w:val="P68B1DB1-Normal1"/>
    <w:basedOn w:val="Normal"/>
    <w:rsid w:val="00FA29B2"/>
    <w:pPr>
      <w:spacing w:before="120" w:after="120" w:line="360" w:lineRule="auto"/>
    </w:pPr>
    <w:rPr>
      <w:rFonts w:ascii="Times New Roman" w:eastAsia="Calibri" w:hAnsi="Times New Roman" w:cs="Times New Roman"/>
      <w:b/>
      <w:kern w:val="0"/>
      <w:sz w:val="24"/>
      <w:szCs w:val="20"/>
    </w:rPr>
  </w:style>
  <w:style w:type="paragraph" w:customStyle="1" w:styleId="P68B1DB1-Normal2">
    <w:name w:val="P68B1DB1-Normal2"/>
    <w:basedOn w:val="Normal"/>
    <w:rsid w:val="00FA29B2"/>
    <w:pPr>
      <w:spacing w:before="120" w:after="120" w:line="360" w:lineRule="auto"/>
    </w:pPr>
    <w:rPr>
      <w:rFonts w:ascii="Times New Roman" w:eastAsia="Calibri" w:hAnsi="Times New Roman" w:cs="Times New Roman"/>
      <w:b/>
      <w:smallCaps/>
      <w:kern w:val="0"/>
      <w:sz w:val="24"/>
      <w:szCs w:val="20"/>
    </w:rPr>
  </w:style>
  <w:style w:type="paragraph" w:customStyle="1" w:styleId="P68B1DB1-Normal3">
    <w:name w:val="P68B1DB1-Normal3"/>
    <w:basedOn w:val="Normal"/>
    <w:rsid w:val="00FA29B2"/>
    <w:pPr>
      <w:spacing w:before="120" w:after="120" w:line="360" w:lineRule="auto"/>
    </w:pPr>
    <w:rPr>
      <w:rFonts w:ascii="Times New Roman" w:eastAsia="Calibri" w:hAnsi="Times New Roman" w:cs="Times New Roman"/>
      <w:kern w:val="0"/>
      <w:sz w:val="24"/>
      <w:szCs w:val="20"/>
    </w:rPr>
  </w:style>
  <w:style w:type="paragraph" w:customStyle="1" w:styleId="P68B1DB1-Normal4">
    <w:name w:val="P68B1DB1-Normal4"/>
    <w:basedOn w:val="Normal"/>
    <w:rsid w:val="00FA29B2"/>
    <w:pPr>
      <w:spacing w:before="120" w:after="120" w:line="360" w:lineRule="auto"/>
    </w:pPr>
    <w:rPr>
      <w:rFonts w:ascii="Times New Roman" w:eastAsia="SimSun" w:hAnsi="Times New Roman" w:cs="Times New Roman"/>
      <w:b/>
      <w:kern w:val="0"/>
      <w:sz w:val="24"/>
      <w:szCs w:val="20"/>
      <w:u w:val="single"/>
    </w:rPr>
  </w:style>
  <w:style w:type="paragraph" w:customStyle="1" w:styleId="P68B1DB1-Normal5">
    <w:name w:val="P68B1DB1-Normal5"/>
    <w:basedOn w:val="Normal"/>
    <w:rsid w:val="00FA29B2"/>
    <w:pPr>
      <w:spacing w:before="120" w:after="120" w:line="360" w:lineRule="auto"/>
    </w:pPr>
    <w:rPr>
      <w:rFonts w:ascii="Times New Roman" w:eastAsia="Times New Roman" w:hAnsi="Times New Roman" w:cs="Times New Roman"/>
      <w:b/>
      <w:kern w:val="0"/>
      <w:sz w:val="18"/>
      <w:szCs w:val="20"/>
    </w:rPr>
  </w:style>
  <w:style w:type="paragraph" w:customStyle="1" w:styleId="P68B1DB1-Normal6">
    <w:name w:val="P68B1DB1-Normal6"/>
    <w:basedOn w:val="Normal"/>
    <w:rsid w:val="00FA29B2"/>
    <w:pPr>
      <w:spacing w:before="120" w:after="120" w:line="360" w:lineRule="auto"/>
    </w:pPr>
    <w:rPr>
      <w:rFonts w:ascii="Calibri" w:eastAsia="Calibri" w:hAnsi="Calibri" w:cs="Arial"/>
      <w:color w:val="000000"/>
      <w:kern w:val="0"/>
      <w:sz w:val="20"/>
      <w:szCs w:val="20"/>
    </w:rPr>
  </w:style>
  <w:style w:type="paragraph" w:customStyle="1" w:styleId="P68B1DB1-Normal7">
    <w:name w:val="P68B1DB1-Normal7"/>
    <w:basedOn w:val="Normal"/>
    <w:rsid w:val="00FA29B2"/>
    <w:pPr>
      <w:spacing w:before="120" w:after="120" w:line="360" w:lineRule="auto"/>
    </w:pPr>
    <w:rPr>
      <w:rFonts w:ascii="Times New Roman" w:eastAsia="Times New Roman" w:hAnsi="Times New Roman" w:cs="Times New Roman"/>
      <w:color w:val="000000" w:themeColor="text1"/>
      <w:kern w:val="0"/>
      <w:sz w:val="24"/>
      <w:szCs w:val="20"/>
    </w:rPr>
  </w:style>
  <w:style w:type="paragraph" w:customStyle="1" w:styleId="P68B1DB1-Normal8">
    <w:name w:val="P68B1DB1-Normal8"/>
    <w:basedOn w:val="Normal"/>
    <w:rsid w:val="00FA29B2"/>
    <w:pPr>
      <w:spacing w:before="120" w:after="120" w:line="360" w:lineRule="auto"/>
    </w:pPr>
    <w:rPr>
      <w:rFonts w:ascii="Times New Roman" w:eastAsia="Times New Roman" w:hAnsi="Times New Roman" w:cs="Times New Roman"/>
      <w:kern w:val="0"/>
      <w:sz w:val="24"/>
      <w:szCs w:val="20"/>
    </w:rPr>
  </w:style>
  <w:style w:type="paragraph" w:customStyle="1" w:styleId="P68B1DB1-Normal9">
    <w:name w:val="P68B1DB1-Normal9"/>
    <w:basedOn w:val="Normal"/>
    <w:rsid w:val="00FA29B2"/>
    <w:pPr>
      <w:spacing w:before="120" w:after="120" w:line="360" w:lineRule="auto"/>
    </w:pPr>
    <w:rPr>
      <w:rFonts w:ascii="Times New Roman" w:eastAsia="Times New Roman" w:hAnsi="Times New Roman" w:cs="Times New Roman"/>
      <w:b/>
      <w:color w:val="000000" w:themeColor="text1"/>
      <w:kern w:val="0"/>
      <w:sz w:val="20"/>
      <w:szCs w:val="20"/>
    </w:rPr>
  </w:style>
  <w:style w:type="paragraph" w:customStyle="1" w:styleId="P68B1DB1-Normal10">
    <w:name w:val="P68B1DB1-Normal10"/>
    <w:basedOn w:val="Normal"/>
    <w:rsid w:val="00FA29B2"/>
    <w:pPr>
      <w:spacing w:before="120" w:after="120" w:line="360" w:lineRule="auto"/>
    </w:pPr>
    <w:rPr>
      <w:rFonts w:ascii="Times New Roman" w:hAnsi="Times New Roman" w:cs="Times New Roman"/>
      <w:kern w:val="0"/>
      <w:sz w:val="20"/>
      <w:szCs w:val="20"/>
    </w:rPr>
  </w:style>
  <w:style w:type="paragraph" w:customStyle="1" w:styleId="P68B1DB1-Normal11">
    <w:name w:val="P68B1DB1-Normal11"/>
    <w:basedOn w:val="Normal"/>
    <w:rsid w:val="00FA29B2"/>
    <w:pPr>
      <w:spacing w:before="120" w:after="120" w:line="360" w:lineRule="auto"/>
    </w:pPr>
    <w:rPr>
      <w:rFonts w:ascii="Calibri" w:eastAsia="Calibri" w:hAnsi="Calibri" w:cs="Calibri"/>
      <w:kern w:val="0"/>
      <w:sz w:val="20"/>
      <w:szCs w:val="20"/>
    </w:rPr>
  </w:style>
  <w:style w:type="paragraph" w:customStyle="1" w:styleId="P68B1DB1-Normal12">
    <w:name w:val="P68B1DB1-Normal12"/>
    <w:basedOn w:val="Normal"/>
    <w:rsid w:val="00FA29B2"/>
    <w:pPr>
      <w:spacing w:before="120" w:after="120" w:line="360" w:lineRule="auto"/>
    </w:pPr>
    <w:rPr>
      <w:rFonts w:ascii="Calibri" w:eastAsia="Calibri" w:hAnsi="Calibri" w:cs="Calibri"/>
      <w:kern w:val="0"/>
      <w:sz w:val="19"/>
      <w:szCs w:val="20"/>
    </w:rPr>
  </w:style>
  <w:style w:type="paragraph" w:customStyle="1" w:styleId="P68B1DB1-Normal13">
    <w:name w:val="P68B1DB1-Normal13"/>
    <w:basedOn w:val="Normal"/>
    <w:rsid w:val="00FA29B2"/>
    <w:pPr>
      <w:spacing w:before="120" w:after="120" w:line="360" w:lineRule="auto"/>
    </w:pPr>
    <w:rPr>
      <w:rFonts w:ascii="Calibri" w:eastAsia="Calibri" w:hAnsi="Calibri" w:cs="Arial"/>
      <w:color w:val="000000"/>
      <w:kern w:val="0"/>
      <w:sz w:val="20"/>
      <w:szCs w:val="20"/>
      <w:u w:val="single"/>
    </w:rPr>
  </w:style>
  <w:style w:type="paragraph" w:customStyle="1" w:styleId="P68B1DB1-Normal14">
    <w:name w:val="P68B1DB1-Normal14"/>
    <w:basedOn w:val="Normal"/>
    <w:rsid w:val="00FA29B2"/>
    <w:pPr>
      <w:spacing w:before="120" w:after="120" w:line="360" w:lineRule="auto"/>
    </w:pPr>
    <w:rPr>
      <w:rFonts w:ascii="Times New Roman" w:eastAsia="Calibri" w:hAnsi="Times New Roman" w:cstheme="minorHAnsi"/>
      <w:color w:val="000000"/>
      <w:kern w:val="0"/>
      <w:sz w:val="20"/>
      <w:szCs w:val="20"/>
    </w:rPr>
  </w:style>
  <w:style w:type="paragraph" w:customStyle="1" w:styleId="P68B1DB1-Normal15">
    <w:name w:val="P68B1DB1-Normal15"/>
    <w:basedOn w:val="Normal"/>
    <w:rsid w:val="00FA29B2"/>
    <w:pPr>
      <w:spacing w:before="120" w:after="120" w:line="360" w:lineRule="auto"/>
    </w:pPr>
    <w:rPr>
      <w:rFonts w:ascii="Times New Roman" w:eastAsia="Calibri" w:hAnsi="Times New Roman" w:cstheme="minorHAnsi"/>
      <w:kern w:val="0"/>
      <w:sz w:val="20"/>
      <w:szCs w:val="20"/>
    </w:rPr>
  </w:style>
  <w:style w:type="paragraph" w:customStyle="1" w:styleId="P68B1DB1-Normal16">
    <w:name w:val="P68B1DB1-Normal16"/>
    <w:basedOn w:val="Normal"/>
    <w:rsid w:val="00FA29B2"/>
    <w:pPr>
      <w:spacing w:before="120" w:after="120" w:line="360" w:lineRule="auto"/>
    </w:pPr>
    <w:rPr>
      <w:rFonts w:ascii="Times New Roman" w:eastAsia="SimSun" w:hAnsi="Times New Roman" w:cs="Times New Roman"/>
      <w:kern w:val="0"/>
      <w:sz w:val="24"/>
      <w:szCs w:val="20"/>
      <w:u w:val="single"/>
    </w:rPr>
  </w:style>
  <w:style w:type="paragraph" w:customStyle="1" w:styleId="P68B1DB1-Normal17">
    <w:name w:val="P68B1DB1-Normal17"/>
    <w:basedOn w:val="Normal"/>
    <w:rsid w:val="00FA29B2"/>
    <w:pPr>
      <w:spacing w:before="120" w:after="120" w:line="360" w:lineRule="auto"/>
    </w:pPr>
    <w:rPr>
      <w:rFonts w:ascii="Times New Roman" w:eastAsia="SimSun" w:hAnsi="Times New Roman" w:cs="Times New Roman"/>
      <w:kern w:val="0"/>
      <w:sz w:val="24"/>
      <w:szCs w:val="20"/>
    </w:rPr>
  </w:style>
  <w:style w:type="paragraph" w:customStyle="1" w:styleId="P68B1DB1-Normal18">
    <w:name w:val="P68B1DB1-Normal18"/>
    <w:basedOn w:val="Normal"/>
    <w:rsid w:val="00FA29B2"/>
    <w:pPr>
      <w:spacing w:before="120" w:after="120" w:line="360" w:lineRule="auto"/>
    </w:pPr>
    <w:rPr>
      <w:rFonts w:ascii="Times New Roman" w:hAnsi="Times New Roman" w:cs="Times New Roman"/>
      <w:kern w:val="0"/>
      <w:sz w:val="24"/>
      <w:szCs w:val="20"/>
    </w:rPr>
  </w:style>
  <w:style w:type="paragraph" w:customStyle="1" w:styleId="P68B1DB1-Normal19">
    <w:name w:val="P68B1DB1-Normal19"/>
    <w:basedOn w:val="Normal"/>
    <w:rsid w:val="00FA29B2"/>
    <w:pPr>
      <w:spacing w:before="120" w:after="120" w:line="360" w:lineRule="auto"/>
    </w:pPr>
    <w:rPr>
      <w:rFonts w:ascii="Times New Roman" w:eastAsia="Calibri" w:hAnsi="Times New Roman" w:cs="Times New Roman"/>
      <w:kern w:val="0"/>
      <w:sz w:val="24"/>
      <w:szCs w:val="20"/>
      <w:shd w:val="clear" w:color="auto" w:fill="FFFFFF"/>
    </w:rPr>
  </w:style>
  <w:style w:type="paragraph" w:customStyle="1" w:styleId="P68B1DB1-Normal20">
    <w:name w:val="P68B1DB1-Normal20"/>
    <w:basedOn w:val="Normal"/>
    <w:rsid w:val="00FA29B2"/>
    <w:pPr>
      <w:spacing w:before="120" w:after="120" w:line="360" w:lineRule="auto"/>
    </w:pPr>
    <w:rPr>
      <w:rFonts w:ascii="Times New Roman" w:eastAsia="Times New Roman" w:hAnsi="Times New Roman" w:cstheme="minorHAnsi"/>
      <w:b/>
      <w:kern w:val="0"/>
      <w:sz w:val="20"/>
      <w:szCs w:val="20"/>
    </w:rPr>
  </w:style>
  <w:style w:type="paragraph" w:customStyle="1" w:styleId="P68B1DB1-Normal21">
    <w:name w:val="P68B1DB1-Normal21"/>
    <w:basedOn w:val="Normal"/>
    <w:rsid w:val="00FA29B2"/>
    <w:pPr>
      <w:spacing w:before="120" w:after="120" w:line="360" w:lineRule="auto"/>
    </w:pPr>
    <w:rPr>
      <w:rFonts w:ascii="Times New Roman" w:eastAsia="Calibri" w:hAnsi="Times New Roman" w:cstheme="minorHAnsi"/>
      <w:color w:val="000000"/>
      <w:kern w:val="0"/>
      <w:sz w:val="20"/>
      <w:szCs w:val="20"/>
      <w:u w:val="double"/>
    </w:rPr>
  </w:style>
  <w:style w:type="paragraph" w:customStyle="1" w:styleId="P68B1DB1-Normal22">
    <w:name w:val="P68B1DB1-Normal22"/>
    <w:basedOn w:val="Normal"/>
    <w:rsid w:val="00FA29B2"/>
    <w:pPr>
      <w:spacing w:before="120" w:after="120" w:line="360" w:lineRule="auto"/>
    </w:pPr>
    <w:rPr>
      <w:rFonts w:ascii="Times New Roman" w:eastAsia="Calibri" w:hAnsi="Times New Roman" w:cs="Times New Roman"/>
      <w:color w:val="000000" w:themeColor="text1"/>
      <w:kern w:val="0"/>
      <w:sz w:val="20"/>
      <w:szCs w:val="20"/>
    </w:rPr>
  </w:style>
  <w:style w:type="paragraph" w:customStyle="1" w:styleId="P68B1DB1-Normal23">
    <w:name w:val="P68B1DB1-Normal23"/>
    <w:basedOn w:val="Normal"/>
    <w:rsid w:val="00FA29B2"/>
    <w:pPr>
      <w:spacing w:before="120" w:after="120" w:line="360" w:lineRule="auto"/>
    </w:pPr>
    <w:rPr>
      <w:rFonts w:ascii="Times New Roman" w:eastAsia="Calibri" w:hAnsi="Times New Roman" w:cstheme="minorHAnsi"/>
      <w:color w:val="000000"/>
      <w:kern w:val="0"/>
      <w:sz w:val="20"/>
      <w:szCs w:val="20"/>
      <w:u w:val="single"/>
    </w:rPr>
  </w:style>
  <w:style w:type="paragraph" w:customStyle="1" w:styleId="P68B1DB1-paragraph24">
    <w:name w:val="P68B1DB1-paragraph24"/>
    <w:basedOn w:val="paragraph"/>
    <w:rsid w:val="00FA29B2"/>
    <w:rPr>
      <w:rFonts w:eastAsia="Calibri"/>
    </w:rPr>
  </w:style>
  <w:style w:type="paragraph" w:customStyle="1" w:styleId="P68B1DB1-Normal25">
    <w:name w:val="P68B1DB1-Normal25"/>
    <w:basedOn w:val="Normal"/>
    <w:rsid w:val="00FA29B2"/>
    <w:pPr>
      <w:spacing w:before="120" w:after="120" w:line="360" w:lineRule="auto"/>
    </w:pPr>
    <w:rPr>
      <w:rFonts w:ascii="Times New Roman" w:eastAsia="Times New Roman" w:hAnsi="Times New Roman" w:cstheme="minorHAnsi"/>
      <w:kern w:val="0"/>
      <w:sz w:val="20"/>
      <w:szCs w:val="20"/>
    </w:rPr>
  </w:style>
  <w:style w:type="paragraph" w:customStyle="1" w:styleId="P68B1DB1-Normal26">
    <w:name w:val="P68B1DB1-Normal26"/>
    <w:basedOn w:val="Normal"/>
    <w:rsid w:val="00FA29B2"/>
    <w:pPr>
      <w:spacing w:before="120" w:after="120" w:line="360" w:lineRule="auto"/>
    </w:pPr>
    <w:rPr>
      <w:rFonts w:ascii="Times New Roman" w:hAnsi="Times New Roman" w:cstheme="minorHAnsi"/>
      <w:kern w:val="0"/>
      <w:sz w:val="20"/>
      <w:szCs w:val="20"/>
    </w:rPr>
  </w:style>
  <w:style w:type="paragraph" w:customStyle="1" w:styleId="P68B1DB1-Normal27">
    <w:name w:val="P68B1DB1-Normal27"/>
    <w:basedOn w:val="Normal"/>
    <w:rsid w:val="00FA29B2"/>
    <w:pPr>
      <w:spacing w:before="120" w:after="120" w:line="360" w:lineRule="auto"/>
    </w:pPr>
    <w:rPr>
      <w:rFonts w:ascii="Times New Roman" w:hAnsi="Times New Roman" w:cstheme="minorHAnsi"/>
      <w:kern w:val="0"/>
      <w:sz w:val="20"/>
      <w:szCs w:val="20"/>
      <w:u w:val="single"/>
    </w:rPr>
  </w:style>
  <w:style w:type="paragraph" w:customStyle="1" w:styleId="P68B1DB1-Normal28">
    <w:name w:val="P68B1DB1-Normal28"/>
    <w:basedOn w:val="Normal"/>
    <w:rsid w:val="00FA29B2"/>
    <w:pPr>
      <w:spacing w:before="120" w:after="120" w:line="360" w:lineRule="auto"/>
    </w:pPr>
    <w:rPr>
      <w:rFonts w:ascii="Times New Roman" w:eastAsia="Times New Roman" w:hAnsi="Times New Roman" w:cstheme="minorHAnsi"/>
      <w:kern w:val="0"/>
      <w:sz w:val="20"/>
      <w:szCs w:val="20"/>
      <w:shd w:val="clear" w:color="auto" w:fill="E6E6E6"/>
    </w:rPr>
  </w:style>
  <w:style w:type="paragraph" w:customStyle="1" w:styleId="P68B1DB1-Normal29">
    <w:name w:val="P68B1DB1-Normal29"/>
    <w:basedOn w:val="Normal"/>
    <w:rsid w:val="00FA29B2"/>
    <w:pPr>
      <w:spacing w:before="120" w:after="120" w:line="360" w:lineRule="auto"/>
    </w:pPr>
    <w:rPr>
      <w:rFonts w:ascii="Times New Roman" w:eastAsia="Times New Roman" w:hAnsi="Times New Roman" w:cstheme="minorHAnsi"/>
      <w:kern w:val="0"/>
      <w:sz w:val="20"/>
      <w:szCs w:val="20"/>
      <w:u w:val="single"/>
    </w:rPr>
  </w:style>
  <w:style w:type="paragraph" w:customStyle="1" w:styleId="P68B1DB1-Normal30">
    <w:name w:val="P68B1DB1-Normal30"/>
    <w:basedOn w:val="Normal"/>
    <w:rsid w:val="00FA29B2"/>
    <w:pPr>
      <w:spacing w:before="120" w:after="120" w:line="360" w:lineRule="auto"/>
    </w:pPr>
    <w:rPr>
      <w:rFonts w:ascii="Times New Roman" w:eastAsia="Calibri" w:hAnsi="Times New Roman" w:cstheme="minorHAnsi"/>
      <w:kern w:val="0"/>
      <w:sz w:val="20"/>
      <w:szCs w:val="20"/>
      <w:shd w:val="clear" w:color="auto" w:fill="E6E6E6"/>
    </w:rPr>
  </w:style>
  <w:style w:type="paragraph" w:customStyle="1" w:styleId="P68B1DB1-Normal31">
    <w:name w:val="P68B1DB1-Normal31"/>
    <w:basedOn w:val="Normal"/>
    <w:rsid w:val="00FA29B2"/>
    <w:pPr>
      <w:spacing w:before="120" w:after="120" w:line="360" w:lineRule="auto"/>
    </w:pPr>
    <w:rPr>
      <w:rFonts w:ascii="Times New Roman" w:eastAsia="Times New Roman" w:hAnsi="Times New Roman" w:cs="Times New Roman"/>
      <w:kern w:val="0"/>
      <w:sz w:val="24"/>
      <w:szCs w:val="20"/>
      <w:u w:val="single"/>
    </w:rPr>
  </w:style>
  <w:style w:type="paragraph" w:customStyle="1" w:styleId="P68B1DB1-ListParagraph32">
    <w:name w:val="P68B1DB1-ListParagraph32"/>
    <w:basedOn w:val="ListParagraph"/>
    <w:rsid w:val="00FA29B2"/>
    <w:rPr>
      <w:rFonts w:ascii="Times New Roman" w:hAnsi="Times New Roman" w:cs="Times New Roman"/>
      <w:kern w:val="0"/>
      <w:sz w:val="24"/>
      <w:szCs w:val="20"/>
    </w:rPr>
  </w:style>
  <w:style w:type="paragraph" w:customStyle="1" w:styleId="P68B1DB1-ListParagraph33">
    <w:name w:val="P68B1DB1-ListParagraph33"/>
    <w:basedOn w:val="ListParagraph"/>
    <w:rsid w:val="00FA29B2"/>
    <w:rPr>
      <w:rFonts w:ascii="Times New Roman" w:eastAsia="Calibri" w:hAnsi="Times New Roman" w:cs="Times New Roman"/>
      <w:kern w:val="0"/>
      <w:sz w:val="24"/>
      <w:szCs w:val="20"/>
    </w:rPr>
  </w:style>
  <w:style w:type="paragraph" w:customStyle="1" w:styleId="P68B1DB1-ListParagraph34">
    <w:name w:val="P68B1DB1-ListParagraph34"/>
    <w:basedOn w:val="ListParagraph"/>
    <w:rsid w:val="00FA29B2"/>
    <w:rPr>
      <w:kern w:val="0"/>
      <w:sz w:val="24"/>
      <w:szCs w:val="20"/>
    </w:rPr>
  </w:style>
  <w:style w:type="paragraph" w:customStyle="1" w:styleId="P68B1DB1-Normal35">
    <w:name w:val="P68B1DB1-Normal35"/>
    <w:basedOn w:val="Normal"/>
    <w:rsid w:val="00FA29B2"/>
    <w:pPr>
      <w:spacing w:before="120" w:after="120" w:line="360" w:lineRule="auto"/>
    </w:pPr>
    <w:rPr>
      <w:rFonts w:ascii="Times New Roman" w:eastAsia="Calibri" w:hAnsi="Times New Roman" w:cs="Times New Roman"/>
      <w:color w:val="000000" w:themeColor="text1"/>
      <w:kern w:val="0"/>
      <w:sz w:val="24"/>
      <w:szCs w:val="20"/>
    </w:rPr>
  </w:style>
  <w:style w:type="paragraph" w:customStyle="1" w:styleId="P68B1DB1-Normal36">
    <w:name w:val="P68B1DB1-Normal36"/>
    <w:basedOn w:val="Normal"/>
    <w:rsid w:val="00FA29B2"/>
    <w:pPr>
      <w:spacing w:before="120" w:after="120" w:line="360" w:lineRule="auto"/>
    </w:pPr>
    <w:rPr>
      <w:rFonts w:ascii="Times New Roman" w:eastAsia="Calibri" w:hAnsi="Times New Roman" w:cs="Times New Roman"/>
      <w:b/>
      <w:smallCaps/>
      <w:color w:val="000000" w:themeColor="text1"/>
      <w:kern w:val="0"/>
      <w:sz w:val="24"/>
      <w:szCs w:val="20"/>
    </w:rPr>
  </w:style>
  <w:style w:type="paragraph" w:customStyle="1" w:styleId="P68B1DB1-Normal37">
    <w:name w:val="P68B1DB1-Normal37"/>
    <w:basedOn w:val="Normal"/>
    <w:rsid w:val="00FA29B2"/>
    <w:pPr>
      <w:spacing w:before="120" w:after="120" w:line="360" w:lineRule="auto"/>
    </w:pPr>
    <w:rPr>
      <w:rFonts w:ascii="Times New Roman" w:eastAsia="SimSun" w:hAnsi="Times New Roman" w:cs="Times New Roman"/>
      <w:b/>
      <w:color w:val="000000" w:themeColor="text1"/>
      <w:kern w:val="0"/>
      <w:sz w:val="24"/>
      <w:szCs w:val="20"/>
      <w:u w:val="single"/>
      <w:shd w:val="clear" w:color="auto" w:fill="E6E6E6"/>
    </w:rPr>
  </w:style>
  <w:style w:type="paragraph" w:customStyle="1" w:styleId="P68B1DB1-Normal38">
    <w:name w:val="P68B1DB1-Normal38"/>
    <w:basedOn w:val="Normal"/>
    <w:rsid w:val="00FA29B2"/>
    <w:pPr>
      <w:spacing w:before="120" w:after="120" w:line="360" w:lineRule="auto"/>
    </w:pPr>
    <w:rPr>
      <w:rFonts w:ascii="Times New Roman" w:eastAsia="Calibri" w:hAnsi="Times New Roman" w:cs="Times New Roman"/>
      <w:b/>
      <w:color w:val="000000" w:themeColor="text1"/>
      <w:kern w:val="0"/>
      <w:sz w:val="18"/>
      <w:szCs w:val="20"/>
    </w:rPr>
  </w:style>
  <w:style w:type="paragraph" w:customStyle="1" w:styleId="P68B1DB1-Normal39">
    <w:name w:val="P68B1DB1-Normal39"/>
    <w:basedOn w:val="Normal"/>
    <w:rsid w:val="00FA29B2"/>
    <w:pPr>
      <w:spacing w:before="120" w:after="120" w:line="360" w:lineRule="auto"/>
    </w:pPr>
    <w:rPr>
      <w:rFonts w:ascii="Calibri" w:eastAsia="Calibri" w:hAnsi="Calibri" w:cs="Arial"/>
      <w:color w:val="000000" w:themeColor="text1"/>
      <w:kern w:val="0"/>
      <w:sz w:val="20"/>
      <w:szCs w:val="20"/>
      <w:shd w:val="clear" w:color="auto" w:fill="E6E6E6"/>
    </w:rPr>
  </w:style>
  <w:style w:type="paragraph" w:customStyle="1" w:styleId="P68B1DB1-Normal40">
    <w:name w:val="P68B1DB1-Normal40"/>
    <w:basedOn w:val="Normal"/>
    <w:rsid w:val="00FA29B2"/>
    <w:pPr>
      <w:spacing w:before="120" w:after="120" w:line="360" w:lineRule="auto"/>
    </w:pPr>
    <w:rPr>
      <w:rFonts w:ascii="Times New Roman" w:hAnsi="Times New Roman" w:cs="Times New Roman"/>
      <w:b/>
      <w:smallCaps/>
      <w:kern w:val="0"/>
      <w:sz w:val="24"/>
      <w:szCs w:val="20"/>
    </w:rPr>
  </w:style>
  <w:style w:type="paragraph" w:customStyle="1" w:styleId="P68B1DB1-Normal41">
    <w:name w:val="P68B1DB1-Normal41"/>
    <w:basedOn w:val="Normal"/>
    <w:rsid w:val="00FA29B2"/>
    <w:pPr>
      <w:spacing w:before="120" w:after="120" w:line="360" w:lineRule="auto"/>
    </w:pPr>
    <w:rPr>
      <w:rFonts w:ascii="Times New Roman" w:eastAsiaTheme="minorEastAsia" w:hAnsi="Times New Roman" w:cs="Times New Roman"/>
      <w:b/>
      <w:kern w:val="0"/>
      <w:sz w:val="24"/>
      <w:szCs w:val="20"/>
      <w:u w:val="single"/>
    </w:rPr>
  </w:style>
  <w:style w:type="paragraph" w:customStyle="1" w:styleId="P68B1DB1-Bodytext2042">
    <w:name w:val="P68B1DB1-Bodytext2042"/>
    <w:basedOn w:val="Bodytext20"/>
    <w:rsid w:val="00FA29B2"/>
    <w:rPr>
      <w:rFonts w:ascii="Times New Roman" w:hAnsi="Times New Roman" w:cs="Times New Roman"/>
      <w:kern w:val="0"/>
      <w:sz w:val="24"/>
    </w:rPr>
  </w:style>
  <w:style w:type="paragraph" w:customStyle="1" w:styleId="P68B1DB1-Normal43">
    <w:name w:val="P68B1DB1-Normal43"/>
    <w:basedOn w:val="Normal"/>
    <w:rsid w:val="00FA29B2"/>
    <w:pPr>
      <w:spacing w:before="120" w:after="120" w:line="360" w:lineRule="auto"/>
    </w:pPr>
    <w:rPr>
      <w:rFonts w:ascii="Times New Roman" w:eastAsia="Cambria Math" w:hAnsi="Times New Roman" w:cs="Times New Roman"/>
      <w:kern w:val="0"/>
      <w:sz w:val="24"/>
      <w:szCs w:val="20"/>
    </w:rPr>
  </w:style>
  <w:style w:type="paragraph" w:customStyle="1" w:styleId="P68B1DB1-Normal44">
    <w:name w:val="P68B1DB1-Normal44"/>
    <w:basedOn w:val="Normal"/>
    <w:rsid w:val="00FA29B2"/>
    <w:pPr>
      <w:spacing w:before="120" w:after="120" w:line="360" w:lineRule="auto"/>
    </w:pPr>
    <w:rPr>
      <w:rFonts w:ascii="Times New Roman" w:hAnsi="Times New Roman" w:cs="Times New Roman"/>
      <w:color w:val="000000"/>
      <w:kern w:val="0"/>
      <w:sz w:val="20"/>
      <w:szCs w:val="20"/>
    </w:rPr>
  </w:style>
  <w:style w:type="paragraph" w:customStyle="1" w:styleId="P68B1DB1-Normal45">
    <w:name w:val="P68B1DB1-Normal45"/>
    <w:basedOn w:val="Normal"/>
    <w:rsid w:val="00FA29B2"/>
    <w:pPr>
      <w:spacing w:before="120" w:after="120" w:line="360" w:lineRule="auto"/>
    </w:pPr>
    <w:rPr>
      <w:rFonts w:ascii="Times New Roman" w:hAnsi="Times New Roman" w:cs="Times New Roman"/>
      <w:kern w:val="0"/>
      <w:sz w:val="24"/>
      <w:szCs w:val="20"/>
      <w:shd w:val="clear" w:color="auto" w:fill="FFFFFF"/>
    </w:rPr>
  </w:style>
  <w:style w:type="paragraph" w:customStyle="1" w:styleId="P68B1DB1-CommentText46">
    <w:name w:val="P68B1DB1-CommentText46"/>
    <w:basedOn w:val="CommentText"/>
    <w:rsid w:val="00FA29B2"/>
    <w:pPr>
      <w:spacing w:before="0" w:after="160"/>
    </w:pPr>
    <w:rPr>
      <w:rFonts w:asciiTheme="minorHAnsi" w:hAnsiTheme="minorHAnsi" w:cstheme="minorBidi"/>
      <w:color w:val="000000"/>
    </w:rPr>
  </w:style>
  <w:style w:type="paragraph" w:customStyle="1" w:styleId="P68B1DB1-Normal47">
    <w:name w:val="P68B1DB1-Normal47"/>
    <w:basedOn w:val="Normal"/>
    <w:rsid w:val="00FA29B2"/>
    <w:pPr>
      <w:spacing w:before="120" w:after="120" w:line="360" w:lineRule="auto"/>
    </w:pPr>
    <w:rPr>
      <w:rFonts w:ascii="Times New Roman" w:eastAsiaTheme="minorEastAsia" w:hAnsi="Times New Roman" w:cs="Times New Roman"/>
      <w:kern w:val="0"/>
      <w:sz w:val="24"/>
      <w:szCs w:val="20"/>
    </w:rPr>
  </w:style>
  <w:style w:type="paragraph" w:customStyle="1" w:styleId="P68B1DB1-Normal48">
    <w:name w:val="P68B1DB1-Normal48"/>
    <w:basedOn w:val="Normal"/>
    <w:rsid w:val="00FA29B2"/>
    <w:pPr>
      <w:spacing w:before="120" w:after="120" w:line="360" w:lineRule="auto"/>
    </w:pPr>
    <w:rPr>
      <w:rFonts w:ascii="Times New Roman" w:hAnsi="Times New Roman" w:cs="Times New Roman"/>
      <w:color w:val="000000"/>
      <w:kern w:val="0"/>
      <w:sz w:val="20"/>
      <w:szCs w:val="20"/>
      <w:u w:val="single"/>
    </w:rPr>
  </w:style>
  <w:style w:type="paragraph" w:customStyle="1" w:styleId="P68B1DB1-Normal49">
    <w:name w:val="P68B1DB1-Normal49"/>
    <w:basedOn w:val="Normal"/>
    <w:rsid w:val="00FA29B2"/>
    <w:pPr>
      <w:spacing w:before="120" w:after="120" w:line="360" w:lineRule="auto"/>
    </w:pPr>
    <w:rPr>
      <w:rFonts w:ascii="Times New Roman" w:eastAsia="Calibri" w:hAnsi="Times New Roman" w:cs="Times New Roman"/>
      <w:kern w:val="0"/>
      <w:sz w:val="24"/>
      <w:szCs w:val="20"/>
      <w:bdr w:val="none" w:sz="0" w:space="0" w:color="auto" w:frame="1"/>
    </w:rPr>
  </w:style>
  <w:style w:type="paragraph" w:customStyle="1" w:styleId="P68B1DB1-Normal50">
    <w:name w:val="P68B1DB1-Normal50"/>
    <w:basedOn w:val="Normal"/>
    <w:rsid w:val="00FA29B2"/>
    <w:pPr>
      <w:spacing w:before="120" w:after="120" w:line="360" w:lineRule="auto"/>
    </w:pPr>
    <w:rPr>
      <w:rFonts w:ascii="Times New Roman" w:eastAsia="Calibri" w:hAnsi="Times New Roman" w:cs="Times New Roman"/>
      <w:kern w:val="0"/>
      <w:sz w:val="24"/>
      <w:szCs w:val="20"/>
      <w:u w:val="single"/>
    </w:rPr>
  </w:style>
  <w:style w:type="paragraph" w:customStyle="1" w:styleId="P68B1DB1-Normal51">
    <w:name w:val="P68B1DB1-Normal51"/>
    <w:basedOn w:val="Normal"/>
    <w:rsid w:val="00FA29B2"/>
    <w:pPr>
      <w:spacing w:before="120" w:after="120" w:line="360" w:lineRule="auto"/>
    </w:pPr>
    <w:rPr>
      <w:rFonts w:ascii="Calibri" w:eastAsia="Calibri" w:hAnsi="Calibri" w:cs="Arial"/>
      <w:kern w:val="0"/>
      <w:sz w:val="24"/>
      <w:szCs w:val="20"/>
      <w:shd w:val="clear" w:color="auto" w:fill="FFFFFF"/>
    </w:rPr>
  </w:style>
  <w:style w:type="paragraph" w:customStyle="1" w:styleId="P68B1DB1-Normal52">
    <w:name w:val="P68B1DB1-Normal52"/>
    <w:basedOn w:val="Normal"/>
    <w:rsid w:val="00FA29B2"/>
    <w:pPr>
      <w:spacing w:before="120" w:after="120" w:line="360" w:lineRule="auto"/>
    </w:pPr>
    <w:rPr>
      <w:rFonts w:ascii="Times New Roman" w:eastAsia="SimSun" w:hAnsi="Times New Roman" w:cs="Times New Roman"/>
      <w:b/>
      <w:kern w:val="0"/>
      <w:sz w:val="24"/>
      <w:szCs w:val="20"/>
    </w:rPr>
  </w:style>
  <w:style w:type="paragraph" w:customStyle="1" w:styleId="P68B1DB1-Normal53">
    <w:name w:val="P68B1DB1-Normal53"/>
    <w:basedOn w:val="Normal"/>
    <w:rsid w:val="00FA29B2"/>
    <w:pPr>
      <w:spacing w:before="120" w:after="120" w:line="360" w:lineRule="auto"/>
    </w:pPr>
    <w:rPr>
      <w:rFonts w:ascii="Times New Roman" w:hAnsi="Calibri" w:cs="Times New Roman"/>
      <w:kern w:val="0"/>
      <w:sz w:val="24"/>
      <w:szCs w:val="20"/>
      <w:u w:val="single"/>
    </w:rPr>
  </w:style>
  <w:style w:type="paragraph" w:customStyle="1" w:styleId="P68B1DB1-Normal54">
    <w:name w:val="P68B1DB1-Normal54"/>
    <w:basedOn w:val="Normal"/>
    <w:rsid w:val="00FA29B2"/>
    <w:pPr>
      <w:spacing w:before="120" w:after="120" w:line="360" w:lineRule="auto"/>
    </w:pPr>
    <w:rPr>
      <w:rFonts w:ascii="Times New Roman" w:eastAsia="Times New Roman" w:hAnsi="Times New Roman" w:cs="Times New Roman"/>
      <w:b/>
      <w:kern w:val="0"/>
      <w:sz w:val="20"/>
      <w:szCs w:val="20"/>
    </w:rPr>
  </w:style>
  <w:style w:type="paragraph" w:customStyle="1" w:styleId="P68B1DB1-Normal55">
    <w:name w:val="P68B1DB1-Normal55"/>
    <w:basedOn w:val="Normal"/>
    <w:rsid w:val="00FA29B2"/>
    <w:pPr>
      <w:spacing w:before="120" w:after="120" w:line="360" w:lineRule="auto"/>
    </w:pPr>
    <w:rPr>
      <w:rFonts w:ascii="Times New Roman" w:eastAsia="Times New Roman" w:hAnsi="Times New Roman" w:cs="Times New Roman"/>
      <w:kern w:val="0"/>
      <w:sz w:val="20"/>
      <w:szCs w:val="20"/>
    </w:rPr>
  </w:style>
  <w:style w:type="paragraph" w:customStyle="1" w:styleId="P68B1DB1-Normal56">
    <w:name w:val="P68B1DB1-Normal56"/>
    <w:basedOn w:val="Normal"/>
    <w:rsid w:val="00FA29B2"/>
    <w:pPr>
      <w:spacing w:before="120" w:after="120" w:line="360" w:lineRule="auto"/>
    </w:pPr>
    <w:rPr>
      <w:rFonts w:ascii="Times New Roman" w:eastAsia="Times New Roman" w:hAnsi="Times New Roman" w:cstheme="minorHAnsi"/>
      <w:color w:val="006100"/>
      <w:kern w:val="0"/>
      <w:sz w:val="20"/>
      <w:szCs w:val="20"/>
    </w:rPr>
  </w:style>
  <w:style w:type="paragraph" w:customStyle="1" w:styleId="P68B1DB1-paragraph57">
    <w:name w:val="P68B1DB1-paragraph57"/>
    <w:basedOn w:val="paragraph"/>
    <w:rsid w:val="00FA29B2"/>
    <w:rPr>
      <w:u w:val="single"/>
    </w:rPr>
  </w:style>
  <w:style w:type="paragraph" w:customStyle="1" w:styleId="P68B1DB1-paragraph58">
    <w:name w:val="P68B1DB1-paragraph58"/>
    <w:basedOn w:val="paragraph"/>
    <w:rsid w:val="00FA29B2"/>
    <w:rPr>
      <w:color w:val="000000" w:themeColor="text1"/>
    </w:rPr>
  </w:style>
  <w:style w:type="paragraph" w:customStyle="1" w:styleId="P68B1DB1-paragraph59">
    <w:name w:val="P68B1DB1-paragraph59"/>
    <w:basedOn w:val="paragraph"/>
    <w:rsid w:val="00FA29B2"/>
    <w:rPr>
      <w:color w:val="000000" w:themeColor="text1"/>
      <w:u w:val="single"/>
    </w:rPr>
  </w:style>
  <w:style w:type="paragraph" w:customStyle="1" w:styleId="P68B1DB1-Normal60">
    <w:name w:val="P68B1DB1-Normal60"/>
    <w:basedOn w:val="Normal"/>
    <w:rsid w:val="00FA29B2"/>
    <w:pPr>
      <w:spacing w:before="120" w:after="120" w:line="360" w:lineRule="auto"/>
    </w:pPr>
    <w:rPr>
      <w:rFonts w:ascii="Times New Roman" w:hAnsi="Times New Roman" w:cstheme="minorHAnsi"/>
      <w:color w:val="000000" w:themeColor="text1"/>
      <w:kern w:val="0"/>
      <w:sz w:val="20"/>
      <w:szCs w:val="20"/>
      <w:u w:val="single"/>
    </w:rPr>
  </w:style>
  <w:style w:type="paragraph" w:customStyle="1" w:styleId="P68B1DB1-Normal61">
    <w:name w:val="P68B1DB1-Normal61"/>
    <w:basedOn w:val="Normal"/>
    <w:rsid w:val="00FA29B2"/>
    <w:pPr>
      <w:spacing w:before="120" w:after="120" w:line="360" w:lineRule="auto"/>
    </w:pPr>
    <w:rPr>
      <w:rFonts w:ascii="Times New Roman" w:eastAsia="Calibri" w:hAnsi="Times New Roman" w:cstheme="minorHAnsi"/>
      <w:kern w:val="0"/>
      <w:sz w:val="20"/>
      <w:szCs w:val="20"/>
      <w:u w:val="single"/>
    </w:rPr>
  </w:style>
  <w:style w:type="paragraph" w:customStyle="1" w:styleId="P68B1DB1-Normal62">
    <w:name w:val="P68B1DB1-Normal62"/>
    <w:basedOn w:val="Normal"/>
    <w:rsid w:val="00FA29B2"/>
    <w:pPr>
      <w:spacing w:before="120" w:after="120" w:line="360" w:lineRule="auto"/>
    </w:pPr>
    <w:rPr>
      <w:rFonts w:ascii="Times New Roman" w:hAnsi="Times New Roman" w:cs="Times New Roman"/>
      <w:kern w:val="0"/>
      <w:sz w:val="20"/>
      <w:szCs w:val="20"/>
      <w:u w:val="single"/>
    </w:rPr>
  </w:style>
  <w:style w:type="paragraph" w:customStyle="1" w:styleId="P68B1DB1-Normal63">
    <w:name w:val="P68B1DB1-Normal63"/>
    <w:basedOn w:val="Normal"/>
    <w:rsid w:val="00FA29B2"/>
    <w:pPr>
      <w:spacing w:before="120" w:after="120" w:line="360" w:lineRule="auto"/>
    </w:pPr>
    <w:rPr>
      <w:rFonts w:ascii="Times New Roman" w:hAnsi="Times New Roman" w:cs="Times New Roman"/>
      <w:color w:val="000000" w:themeColor="text1"/>
      <w:kern w:val="0"/>
      <w:sz w:val="24"/>
      <w:szCs w:val="20"/>
      <w:u w:val="single"/>
    </w:rPr>
  </w:style>
  <w:style w:type="paragraph" w:customStyle="1" w:styleId="P68B1DB1-Normal64">
    <w:name w:val="P68B1DB1-Normal64"/>
    <w:basedOn w:val="Normal"/>
    <w:rsid w:val="00FA29B2"/>
    <w:pPr>
      <w:spacing w:before="120" w:after="120" w:line="360" w:lineRule="auto"/>
    </w:pPr>
    <w:rPr>
      <w:rFonts w:ascii="Times New Roman" w:eastAsia="Calibri" w:hAnsi="Times New Roman" w:cs="Times New Roman"/>
      <w:kern w:val="0"/>
      <w:sz w:val="20"/>
      <w:szCs w:val="20"/>
      <w:u w:val="single"/>
    </w:rPr>
  </w:style>
  <w:style w:type="paragraph" w:customStyle="1" w:styleId="P68B1DB1-Normal65">
    <w:name w:val="P68B1DB1-Normal65"/>
    <w:basedOn w:val="Normal"/>
    <w:rsid w:val="00FA29B2"/>
    <w:pPr>
      <w:spacing w:before="120" w:after="120" w:line="360" w:lineRule="auto"/>
    </w:pPr>
    <w:rPr>
      <w:rFonts w:ascii="Times New Roman" w:hAnsi="Times New Roman" w:cstheme="minorHAnsi"/>
      <w:color w:val="000000" w:themeColor="text1"/>
      <w:kern w:val="0"/>
      <w:sz w:val="20"/>
      <w:szCs w:val="20"/>
    </w:rPr>
  </w:style>
  <w:style w:type="paragraph" w:customStyle="1" w:styleId="P68B1DB1-paragraph66">
    <w:name w:val="P68B1DB1-paragraph66"/>
    <w:basedOn w:val="paragraph"/>
    <w:rsid w:val="00FA29B2"/>
    <w:rPr>
      <w:rFonts w:eastAsia="Calibri"/>
      <w:b/>
    </w:rPr>
  </w:style>
  <w:style w:type="paragraph" w:customStyle="1" w:styleId="P68B1DB1-Normal67">
    <w:name w:val="P68B1DB1-Normal67"/>
    <w:basedOn w:val="Normal"/>
    <w:rsid w:val="00FA29B2"/>
    <w:pPr>
      <w:spacing w:before="120" w:after="120" w:line="360" w:lineRule="auto"/>
    </w:pPr>
    <w:rPr>
      <w:rFonts w:ascii="Times New Roman" w:eastAsia="Calibri" w:hAnsi="Times New Roman" w:cs="Times New Roman"/>
      <w:kern w:val="0"/>
      <w:sz w:val="20"/>
      <w:szCs w:val="20"/>
    </w:rPr>
  </w:style>
  <w:style w:type="paragraph" w:customStyle="1" w:styleId="P68B1DB1-Normal68">
    <w:name w:val="P68B1DB1-Normal68"/>
    <w:basedOn w:val="Normal"/>
    <w:rsid w:val="00FA29B2"/>
    <w:pPr>
      <w:spacing w:before="120" w:after="120" w:line="360" w:lineRule="auto"/>
    </w:pPr>
    <w:rPr>
      <w:rFonts w:ascii="Times New Roman" w:eastAsia="Calibri" w:hAnsi="Times New Roman" w:cstheme="minorHAnsi"/>
      <w:kern w:val="0"/>
      <w:sz w:val="20"/>
      <w:szCs w:val="20"/>
      <w:u w:val="double"/>
    </w:rPr>
  </w:style>
  <w:style w:type="paragraph" w:customStyle="1" w:styleId="P68B1DB1-Normal69">
    <w:name w:val="P68B1DB1-Normal69"/>
    <w:basedOn w:val="Normal"/>
    <w:rsid w:val="00FA29B2"/>
    <w:pPr>
      <w:spacing w:before="120" w:after="120" w:line="360" w:lineRule="auto"/>
    </w:pPr>
    <w:rPr>
      <w:rFonts w:ascii="Calibri" w:eastAsia="Times New Roman" w:hAnsi="Calibri" w:cs="Calibri"/>
      <w:color w:val="D13438"/>
      <w:kern w:val="0"/>
      <w:sz w:val="24"/>
      <w:szCs w:val="20"/>
    </w:rPr>
  </w:style>
  <w:style w:type="paragraph" w:customStyle="1" w:styleId="P68B1DB1-ListParagraph70">
    <w:name w:val="P68B1DB1-ListParagraph70"/>
    <w:basedOn w:val="ListParagraph"/>
    <w:rsid w:val="00FA29B2"/>
    <w:rPr>
      <w:rFonts w:ascii="Times New Roman" w:eastAsia="Times New Roman" w:hAnsi="Times New Roman" w:cs="Times New Roman"/>
      <w:kern w:val="0"/>
      <w:sz w:val="24"/>
      <w:szCs w:val="20"/>
    </w:rPr>
  </w:style>
  <w:style w:type="paragraph" w:customStyle="1" w:styleId="P68B1DB1-Normal71">
    <w:name w:val="P68B1DB1-Normal71"/>
    <w:basedOn w:val="Normal"/>
    <w:rsid w:val="00FA29B2"/>
    <w:pPr>
      <w:spacing w:before="120" w:after="120" w:line="360" w:lineRule="auto"/>
    </w:pPr>
    <w:rPr>
      <w:rFonts w:ascii="Times New Roman" w:eastAsia="Times New Roman" w:hAnsi="Times New Roman" w:cs="Times New Roman"/>
      <w:kern w:val="0"/>
      <w:sz w:val="24"/>
      <w:szCs w:val="20"/>
      <w:u w:val="double"/>
    </w:rPr>
  </w:style>
  <w:style w:type="paragraph" w:customStyle="1" w:styleId="P68B1DB1-Normal72">
    <w:name w:val="P68B1DB1-Normal72"/>
    <w:basedOn w:val="Normal"/>
    <w:rsid w:val="00FA29B2"/>
    <w:pPr>
      <w:spacing w:before="120" w:after="120" w:line="360" w:lineRule="auto"/>
    </w:pPr>
    <w:rPr>
      <w:rFonts w:ascii="Times New Roman" w:eastAsia="Times New Roman" w:hAnsi="Times New Roman" w:cs="Times New Roman"/>
      <w:color w:val="006100"/>
      <w:kern w:val="0"/>
      <w:sz w:val="20"/>
      <w:szCs w:val="20"/>
    </w:rPr>
  </w:style>
  <w:style w:type="paragraph" w:customStyle="1" w:styleId="P68B1DB1-Normal73">
    <w:name w:val="P68B1DB1-Normal73"/>
    <w:basedOn w:val="Normal"/>
    <w:rsid w:val="00FA29B2"/>
    <w:pPr>
      <w:spacing w:before="120" w:after="120" w:line="360" w:lineRule="auto"/>
    </w:pPr>
    <w:rPr>
      <w:rFonts w:ascii="Times New Roman" w:eastAsia="Times New Roman" w:hAnsi="Times New Roman" w:cs="Times New Roman"/>
      <w:kern w:val="0"/>
      <w:sz w:val="20"/>
      <w:szCs w:val="20"/>
      <w:u w:val="single"/>
    </w:rPr>
  </w:style>
  <w:style w:type="paragraph" w:customStyle="1" w:styleId="P68B1DB1-Normal74">
    <w:name w:val="P68B1DB1-Normal74"/>
    <w:basedOn w:val="Normal"/>
    <w:rsid w:val="00FA29B2"/>
    <w:pPr>
      <w:spacing w:before="120" w:after="120" w:line="360" w:lineRule="auto"/>
    </w:pPr>
    <w:rPr>
      <w:rFonts w:ascii="Times New Roman" w:eastAsia="Times New Roman" w:hAnsi="Times New Roman" w:cs="Times New Roman"/>
      <w:i/>
      <w:color w:val="4F81BD"/>
      <w:kern w:val="0"/>
      <w:sz w:val="24"/>
      <w:szCs w:val="20"/>
    </w:rPr>
  </w:style>
  <w:style w:type="paragraph" w:customStyle="1" w:styleId="P68B1DB1-Normal75">
    <w:name w:val="P68B1DB1-Normal75"/>
    <w:basedOn w:val="Normal"/>
    <w:rsid w:val="00FA29B2"/>
    <w:pPr>
      <w:spacing w:before="120" w:after="120" w:line="360" w:lineRule="auto"/>
    </w:pPr>
    <w:rPr>
      <w:rFonts w:ascii="Times New Roman" w:eastAsia="Times New Roman" w:hAnsi="Times New Roman" w:cs="Times New Roman"/>
      <w:i/>
      <w:kern w:val="0"/>
      <w:sz w:val="24"/>
      <w:szCs w:val="20"/>
    </w:rPr>
  </w:style>
  <w:style w:type="paragraph" w:customStyle="1" w:styleId="P68B1DB1-FooterText76">
    <w:name w:val="P68B1DB1-FooterText76"/>
    <w:basedOn w:val="FooterText"/>
    <w:rsid w:val="00FA29B2"/>
    <w:rPr>
      <w:rFonts w:eastAsia="Times New Roman"/>
      <w:b/>
      <w:caps/>
      <w:position w:val="-4"/>
      <w:sz w:val="36"/>
      <w:szCs w:val="20"/>
    </w:rPr>
  </w:style>
  <w:style w:type="paragraph" w:customStyle="1" w:styleId="Par-number10">
    <w:name w:val="Par-number 1)"/>
    <w:basedOn w:val="Normal"/>
    <w:next w:val="Normal"/>
    <w:rsid w:val="00FA29B2"/>
    <w:pPr>
      <w:numPr>
        <w:numId w:val="20"/>
      </w:numPr>
      <w:tabs>
        <w:tab w:val="clear" w:pos="567"/>
        <w:tab w:val="num" w:pos="360"/>
      </w:tabs>
      <w:ind w:left="0" w:firstLine="0"/>
    </w:pPr>
    <w:rPr>
      <w:kern w:val="0"/>
    </w:rPr>
  </w:style>
  <w:style w:type="paragraph" w:customStyle="1" w:styleId="Par-bullet">
    <w:name w:val="Par-bullet"/>
    <w:basedOn w:val="Normal"/>
    <w:next w:val="Normal"/>
    <w:rsid w:val="00FA29B2"/>
    <w:pPr>
      <w:numPr>
        <w:numId w:val="21"/>
      </w:numPr>
      <w:tabs>
        <w:tab w:val="clear" w:pos="567"/>
        <w:tab w:val="num" w:pos="360"/>
      </w:tabs>
      <w:ind w:left="0" w:firstLine="0"/>
    </w:pPr>
    <w:rPr>
      <w:kern w:val="0"/>
    </w:rPr>
  </w:style>
  <w:style w:type="paragraph" w:customStyle="1" w:styleId="Par-equal">
    <w:name w:val="Par-equal"/>
    <w:basedOn w:val="Normal"/>
    <w:next w:val="Normal"/>
    <w:rsid w:val="00FA29B2"/>
    <w:pPr>
      <w:numPr>
        <w:numId w:val="22"/>
      </w:numPr>
      <w:tabs>
        <w:tab w:val="clear" w:pos="567"/>
        <w:tab w:val="num" w:pos="360"/>
      </w:tabs>
      <w:ind w:left="0" w:firstLine="0"/>
    </w:pPr>
    <w:rPr>
      <w:kern w:val="0"/>
    </w:rPr>
  </w:style>
  <w:style w:type="paragraph" w:styleId="TOC1">
    <w:name w:val="toc 1"/>
    <w:basedOn w:val="Normal"/>
    <w:next w:val="Normal"/>
    <w:rsid w:val="00FA29B2"/>
    <w:pPr>
      <w:tabs>
        <w:tab w:val="left" w:pos="567"/>
        <w:tab w:val="right" w:leader="dot" w:pos="9639"/>
      </w:tabs>
      <w:ind w:left="567" w:right="567" w:hanging="567"/>
    </w:pPr>
    <w:rPr>
      <w:kern w:val="0"/>
    </w:rPr>
  </w:style>
  <w:style w:type="paragraph" w:customStyle="1" w:styleId="Par-number1">
    <w:name w:val="Par-number (1)"/>
    <w:basedOn w:val="Normal"/>
    <w:next w:val="Normal"/>
    <w:rsid w:val="00FA29B2"/>
    <w:pPr>
      <w:numPr>
        <w:numId w:val="23"/>
      </w:numPr>
      <w:tabs>
        <w:tab w:val="clear" w:pos="567"/>
        <w:tab w:val="num" w:pos="360"/>
      </w:tabs>
      <w:ind w:left="0" w:firstLine="0"/>
    </w:pPr>
    <w:rPr>
      <w:kern w:val="0"/>
    </w:rPr>
  </w:style>
  <w:style w:type="paragraph" w:customStyle="1" w:styleId="Par-number11">
    <w:name w:val="Par-number 1."/>
    <w:basedOn w:val="Normal"/>
    <w:next w:val="Normal"/>
    <w:rsid w:val="00FA29B2"/>
    <w:pPr>
      <w:numPr>
        <w:numId w:val="24"/>
      </w:numPr>
      <w:tabs>
        <w:tab w:val="clear" w:pos="567"/>
        <w:tab w:val="num" w:pos="360"/>
      </w:tabs>
      <w:ind w:left="0" w:firstLine="0"/>
    </w:pPr>
    <w:rPr>
      <w:kern w:val="0"/>
    </w:rPr>
  </w:style>
  <w:style w:type="paragraph" w:customStyle="1" w:styleId="Par-numberI">
    <w:name w:val="Par-number I."/>
    <w:basedOn w:val="Normal"/>
    <w:next w:val="Normal"/>
    <w:rsid w:val="00FA29B2"/>
    <w:pPr>
      <w:numPr>
        <w:numId w:val="25"/>
      </w:numPr>
      <w:tabs>
        <w:tab w:val="clear" w:pos="567"/>
        <w:tab w:val="num" w:pos="360"/>
      </w:tabs>
      <w:ind w:left="0" w:firstLine="0"/>
    </w:pPr>
    <w:rPr>
      <w:kern w:val="0"/>
    </w:rPr>
  </w:style>
  <w:style w:type="paragraph" w:customStyle="1" w:styleId="Par-dash">
    <w:name w:val="Par-dash"/>
    <w:basedOn w:val="Normal"/>
    <w:next w:val="Normal"/>
    <w:rsid w:val="00FA29B2"/>
    <w:pPr>
      <w:numPr>
        <w:numId w:val="26"/>
      </w:numPr>
      <w:tabs>
        <w:tab w:val="clear" w:pos="567"/>
        <w:tab w:val="num" w:pos="360"/>
      </w:tabs>
      <w:ind w:left="0" w:firstLine="0"/>
    </w:pPr>
    <w:rPr>
      <w:kern w:val="0"/>
    </w:rPr>
  </w:style>
  <w:style w:type="paragraph" w:customStyle="1" w:styleId="Par-numberA">
    <w:name w:val="Par-number A."/>
    <w:basedOn w:val="Normal"/>
    <w:next w:val="Normal"/>
    <w:rsid w:val="00FA29B2"/>
    <w:pPr>
      <w:numPr>
        <w:numId w:val="27"/>
      </w:numPr>
      <w:tabs>
        <w:tab w:val="clear" w:pos="567"/>
        <w:tab w:val="num" w:pos="360"/>
      </w:tabs>
      <w:ind w:left="0" w:firstLine="0"/>
    </w:pPr>
    <w:rPr>
      <w:kern w:val="0"/>
    </w:rPr>
  </w:style>
  <w:style w:type="paragraph" w:styleId="TOC2">
    <w:name w:val="toc 2"/>
    <w:basedOn w:val="Normal"/>
    <w:next w:val="Normal"/>
    <w:rsid w:val="00FA29B2"/>
    <w:pPr>
      <w:tabs>
        <w:tab w:val="left" w:pos="1134"/>
        <w:tab w:val="right" w:leader="dot" w:pos="9639"/>
      </w:tabs>
      <w:ind w:left="1134" w:right="567" w:hanging="567"/>
    </w:pPr>
    <w:rPr>
      <w:kern w:val="0"/>
    </w:rPr>
  </w:style>
  <w:style w:type="paragraph" w:styleId="TOC3">
    <w:name w:val="toc 3"/>
    <w:basedOn w:val="Normal"/>
    <w:next w:val="Normal"/>
    <w:rsid w:val="00FA29B2"/>
    <w:pPr>
      <w:tabs>
        <w:tab w:val="left" w:pos="1701"/>
        <w:tab w:val="right" w:leader="dot" w:pos="9639"/>
      </w:tabs>
      <w:ind w:left="1701" w:right="567" w:hanging="567"/>
    </w:pPr>
    <w:rPr>
      <w:kern w:val="0"/>
    </w:rPr>
  </w:style>
  <w:style w:type="paragraph" w:styleId="TOC4">
    <w:name w:val="toc 4"/>
    <w:basedOn w:val="Normal"/>
    <w:next w:val="Normal"/>
    <w:rsid w:val="00FA29B2"/>
    <w:pPr>
      <w:tabs>
        <w:tab w:val="left" w:pos="2268"/>
        <w:tab w:val="right" w:pos="9639"/>
      </w:tabs>
      <w:ind w:left="2268" w:right="567" w:hanging="567"/>
    </w:pPr>
    <w:rPr>
      <w:kern w:val="0"/>
    </w:rPr>
  </w:style>
  <w:style w:type="paragraph" w:styleId="TOC5">
    <w:name w:val="toc 5"/>
    <w:basedOn w:val="Normal"/>
    <w:next w:val="Normal"/>
    <w:rsid w:val="00FA29B2"/>
    <w:pPr>
      <w:tabs>
        <w:tab w:val="left" w:pos="2835"/>
        <w:tab w:val="right" w:leader="dot" w:pos="9639"/>
      </w:tabs>
      <w:ind w:left="2835" w:right="567" w:hanging="567"/>
    </w:pPr>
    <w:rPr>
      <w:kern w:val="0"/>
    </w:rPr>
  </w:style>
  <w:style w:type="paragraph" w:styleId="TOC6">
    <w:name w:val="toc 6"/>
    <w:basedOn w:val="Normal"/>
    <w:next w:val="Normal"/>
    <w:rsid w:val="00FA29B2"/>
    <w:pPr>
      <w:tabs>
        <w:tab w:val="left" w:pos="3402"/>
        <w:tab w:val="right" w:leader="dot" w:pos="9639"/>
      </w:tabs>
      <w:ind w:left="3402" w:right="567" w:hanging="567"/>
    </w:pPr>
    <w:rPr>
      <w:kern w:val="0"/>
    </w:rPr>
  </w:style>
  <w:style w:type="paragraph" w:styleId="TOC7">
    <w:name w:val="toc 7"/>
    <w:basedOn w:val="Normal"/>
    <w:next w:val="Normal"/>
    <w:rsid w:val="00FA29B2"/>
    <w:pPr>
      <w:tabs>
        <w:tab w:val="left" w:pos="3969"/>
        <w:tab w:val="right" w:leader="dot" w:pos="9639"/>
      </w:tabs>
      <w:ind w:left="3969" w:right="567" w:hanging="567"/>
    </w:pPr>
    <w:rPr>
      <w:kern w:val="0"/>
    </w:rPr>
  </w:style>
  <w:style w:type="paragraph" w:styleId="TOC8">
    <w:name w:val="toc 8"/>
    <w:basedOn w:val="Normal"/>
    <w:next w:val="Normal"/>
    <w:rsid w:val="00FA29B2"/>
    <w:pPr>
      <w:tabs>
        <w:tab w:val="left" w:pos="4536"/>
        <w:tab w:val="right" w:leader="dot" w:pos="9639"/>
      </w:tabs>
      <w:ind w:left="4536" w:right="567" w:hanging="567"/>
    </w:pPr>
    <w:rPr>
      <w:kern w:val="0"/>
    </w:rPr>
  </w:style>
  <w:style w:type="paragraph" w:styleId="TOC9">
    <w:name w:val="toc 9"/>
    <w:basedOn w:val="Normal"/>
    <w:next w:val="Normal"/>
    <w:rsid w:val="00FA29B2"/>
    <w:pPr>
      <w:tabs>
        <w:tab w:val="left" w:pos="5103"/>
        <w:tab w:val="right" w:leader="dot" w:pos="9639"/>
      </w:tabs>
      <w:ind w:left="5103" w:right="567" w:hanging="567"/>
    </w:pPr>
    <w:rPr>
      <w:kern w:val="0"/>
    </w:rPr>
  </w:style>
  <w:style w:type="paragraph" w:customStyle="1" w:styleId="AC">
    <w:name w:val="AC"/>
    <w:basedOn w:val="Normal"/>
    <w:next w:val="Normal"/>
    <w:rsid w:val="00FA29B2"/>
    <w:rPr>
      <w:b/>
      <w:kern w:val="0"/>
      <w:sz w:val="40"/>
    </w:rPr>
  </w:style>
  <w:style w:type="character" w:styleId="PageNumber">
    <w:name w:val="page number"/>
    <w:basedOn w:val="DefaultParagraphFont"/>
    <w:rsid w:val="00FA29B2"/>
  </w:style>
  <w:style w:type="paragraph" w:customStyle="1" w:styleId="Par-numberi0">
    <w:name w:val="Par-number (i)"/>
    <w:basedOn w:val="Normal"/>
    <w:next w:val="Normal"/>
    <w:rsid w:val="00FA29B2"/>
    <w:pPr>
      <w:numPr>
        <w:numId w:val="28"/>
      </w:numPr>
      <w:tabs>
        <w:tab w:val="clear" w:pos="720"/>
        <w:tab w:val="num" w:pos="360"/>
        <w:tab w:val="left" w:pos="567"/>
      </w:tabs>
      <w:ind w:left="0" w:firstLine="0"/>
    </w:pPr>
    <w:rPr>
      <w:kern w:val="0"/>
    </w:rPr>
  </w:style>
  <w:style w:type="paragraph" w:customStyle="1" w:styleId="Par-numbera0">
    <w:name w:val="Par-number (a)"/>
    <w:basedOn w:val="Normal"/>
    <w:next w:val="Normal"/>
    <w:rsid w:val="00FA29B2"/>
    <w:pPr>
      <w:numPr>
        <w:numId w:val="29"/>
      </w:numPr>
      <w:tabs>
        <w:tab w:val="clear" w:pos="567"/>
        <w:tab w:val="num" w:pos="360"/>
      </w:tabs>
      <w:ind w:left="0" w:firstLine="0"/>
    </w:pPr>
    <w:rPr>
      <w:kern w:val="0"/>
    </w:rPr>
  </w:style>
  <w:style w:type="character" w:customStyle="1" w:styleId="DontTranslate">
    <w:name w:val="DontTranslate"/>
    <w:rsid w:val="00FA29B2"/>
    <w:rPr>
      <w:color w:val="auto"/>
    </w:rPr>
  </w:style>
  <w:style w:type="paragraph" w:customStyle="1" w:styleId="AddReference">
    <w:name w:val="Add Reference"/>
    <w:basedOn w:val="Normal"/>
    <w:rsid w:val="00FA29B2"/>
    <w:pPr>
      <w:pBdr>
        <w:top w:val="single" w:sz="4" w:space="1" w:color="auto"/>
        <w:left w:val="single" w:sz="4" w:space="4" w:color="auto"/>
        <w:bottom w:val="single" w:sz="4" w:space="1" w:color="auto"/>
        <w:right w:val="single" w:sz="4" w:space="4" w:color="auto"/>
      </w:pBdr>
      <w:spacing w:line="240" w:lineRule="auto"/>
      <w:ind w:left="7655" w:right="-454"/>
    </w:pPr>
    <w:rPr>
      <w:i/>
      <w:kern w:val="0"/>
      <w:sz w:val="20"/>
    </w:rPr>
  </w:style>
  <w:style w:type="paragraph" w:customStyle="1" w:styleId="InstitutionNarrow">
    <w:name w:val="Institution Narrow"/>
    <w:basedOn w:val="TBInstitution"/>
    <w:qFormat/>
    <w:rsid w:val="00FA29B2"/>
    <w:pPr>
      <w:spacing w:after="40" w:line="216" w:lineRule="auto"/>
    </w:pPr>
    <w:rPr>
      <w:i/>
      <w:color w:val="4D4D4D"/>
      <w:sz w:val="22"/>
      <w:u w:val="single"/>
    </w:rPr>
  </w:style>
  <w:style w:type="numbering" w:styleId="111111">
    <w:name w:val="Outline List 2"/>
    <w:basedOn w:val="NoList"/>
    <w:uiPriority w:val="99"/>
    <w:semiHidden/>
    <w:unhideWhenUsed/>
    <w:rsid w:val="00FA29B2"/>
    <w:pPr>
      <w:numPr>
        <w:numId w:val="30"/>
      </w:numPr>
    </w:pPr>
  </w:style>
  <w:style w:type="numbering" w:styleId="1ai">
    <w:name w:val="Outline List 1"/>
    <w:basedOn w:val="NoList"/>
    <w:uiPriority w:val="99"/>
    <w:semiHidden/>
    <w:unhideWhenUsed/>
    <w:rsid w:val="00FA29B2"/>
    <w:pPr>
      <w:numPr>
        <w:numId w:val="31"/>
      </w:numPr>
    </w:pPr>
  </w:style>
  <w:style w:type="numbering" w:styleId="ArticleSection">
    <w:name w:val="Outline List 3"/>
    <w:basedOn w:val="NoList"/>
    <w:uiPriority w:val="99"/>
    <w:semiHidden/>
    <w:unhideWhenUsed/>
    <w:rsid w:val="00FA29B2"/>
    <w:pPr>
      <w:numPr>
        <w:numId w:val="32"/>
      </w:numPr>
    </w:pPr>
  </w:style>
  <w:style w:type="paragraph" w:styleId="Bibliography">
    <w:name w:val="Bibliography"/>
    <w:basedOn w:val="Normal"/>
    <w:next w:val="Normal"/>
    <w:uiPriority w:val="37"/>
    <w:semiHidden/>
    <w:unhideWhenUsed/>
    <w:rsid w:val="00FA29B2"/>
    <w:rPr>
      <w:kern w:val="0"/>
    </w:rPr>
  </w:style>
  <w:style w:type="paragraph" w:styleId="BlockText">
    <w:name w:val="Block Text"/>
    <w:basedOn w:val="Normal"/>
    <w:uiPriority w:val="99"/>
    <w:semiHidden/>
    <w:unhideWhenUsed/>
    <w:rsid w:val="00FA29B2"/>
    <w:pPr>
      <w:spacing w:after="120"/>
      <w:ind w:left="1440" w:right="1440"/>
    </w:pPr>
    <w:rPr>
      <w:kern w:val="0"/>
    </w:rPr>
  </w:style>
  <w:style w:type="paragraph" w:styleId="BodyText">
    <w:name w:val="Body Text"/>
    <w:basedOn w:val="Normal"/>
    <w:link w:val="BodyTextChar"/>
    <w:uiPriority w:val="99"/>
    <w:semiHidden/>
    <w:unhideWhenUsed/>
    <w:rsid w:val="00FA29B2"/>
    <w:pPr>
      <w:spacing w:after="120"/>
    </w:pPr>
    <w:rPr>
      <w:kern w:val="0"/>
    </w:rPr>
  </w:style>
  <w:style w:type="character" w:customStyle="1" w:styleId="BodyTextChar">
    <w:name w:val="Body Text Char"/>
    <w:basedOn w:val="DefaultParagraphFont"/>
    <w:link w:val="BodyText"/>
    <w:uiPriority w:val="99"/>
    <w:semiHidden/>
    <w:rsid w:val="00FA29B2"/>
    <w:rPr>
      <w:kern w:val="0"/>
    </w:rPr>
  </w:style>
  <w:style w:type="paragraph" w:styleId="BodyText21">
    <w:name w:val="Body Text 2"/>
    <w:basedOn w:val="Normal"/>
    <w:link w:val="BodyText2Char"/>
    <w:uiPriority w:val="99"/>
    <w:semiHidden/>
    <w:unhideWhenUsed/>
    <w:rsid w:val="00FA29B2"/>
    <w:pPr>
      <w:spacing w:after="120" w:line="480" w:lineRule="auto"/>
    </w:pPr>
    <w:rPr>
      <w:kern w:val="0"/>
    </w:rPr>
  </w:style>
  <w:style w:type="character" w:customStyle="1" w:styleId="BodyText2Char">
    <w:name w:val="Body Text 2 Char"/>
    <w:basedOn w:val="DefaultParagraphFont"/>
    <w:link w:val="BodyText21"/>
    <w:uiPriority w:val="99"/>
    <w:semiHidden/>
    <w:rsid w:val="00FA29B2"/>
    <w:rPr>
      <w:kern w:val="0"/>
    </w:rPr>
  </w:style>
  <w:style w:type="paragraph" w:styleId="BodyText3">
    <w:name w:val="Body Text 3"/>
    <w:basedOn w:val="Normal"/>
    <w:link w:val="BodyText3Char"/>
    <w:uiPriority w:val="99"/>
    <w:semiHidden/>
    <w:unhideWhenUsed/>
    <w:rsid w:val="00FA29B2"/>
    <w:pPr>
      <w:spacing w:after="120"/>
    </w:pPr>
    <w:rPr>
      <w:kern w:val="0"/>
      <w:sz w:val="16"/>
      <w:szCs w:val="16"/>
    </w:rPr>
  </w:style>
  <w:style w:type="character" w:customStyle="1" w:styleId="BodyText3Char">
    <w:name w:val="Body Text 3 Char"/>
    <w:basedOn w:val="DefaultParagraphFont"/>
    <w:link w:val="BodyText3"/>
    <w:uiPriority w:val="99"/>
    <w:semiHidden/>
    <w:rsid w:val="00FA29B2"/>
    <w:rPr>
      <w:kern w:val="0"/>
      <w:sz w:val="16"/>
      <w:szCs w:val="16"/>
    </w:rPr>
  </w:style>
  <w:style w:type="paragraph" w:styleId="BodyTextFirstIndent">
    <w:name w:val="Body Text First Indent"/>
    <w:basedOn w:val="BodyText"/>
    <w:link w:val="BodyTextFirstIndentChar"/>
    <w:uiPriority w:val="99"/>
    <w:semiHidden/>
    <w:unhideWhenUsed/>
    <w:rsid w:val="00FA29B2"/>
    <w:pPr>
      <w:ind w:firstLine="210"/>
    </w:pPr>
  </w:style>
  <w:style w:type="character" w:customStyle="1" w:styleId="BodyTextFirstIndentChar">
    <w:name w:val="Body Text First Indent Char"/>
    <w:basedOn w:val="BodyTextChar"/>
    <w:link w:val="BodyTextFirstIndent"/>
    <w:uiPriority w:val="99"/>
    <w:semiHidden/>
    <w:rsid w:val="00FA29B2"/>
    <w:rPr>
      <w:kern w:val="0"/>
    </w:rPr>
  </w:style>
  <w:style w:type="paragraph" w:styleId="BodyTextIndent">
    <w:name w:val="Body Text Indent"/>
    <w:basedOn w:val="Normal"/>
    <w:link w:val="BodyTextIndentChar"/>
    <w:uiPriority w:val="99"/>
    <w:semiHidden/>
    <w:unhideWhenUsed/>
    <w:rsid w:val="00FA29B2"/>
    <w:pPr>
      <w:spacing w:after="120"/>
      <w:ind w:left="360"/>
    </w:pPr>
    <w:rPr>
      <w:kern w:val="0"/>
    </w:rPr>
  </w:style>
  <w:style w:type="character" w:customStyle="1" w:styleId="BodyTextIndentChar">
    <w:name w:val="Body Text Indent Char"/>
    <w:basedOn w:val="DefaultParagraphFont"/>
    <w:link w:val="BodyTextIndent"/>
    <w:uiPriority w:val="99"/>
    <w:semiHidden/>
    <w:rsid w:val="00FA29B2"/>
    <w:rPr>
      <w:kern w:val="0"/>
    </w:rPr>
  </w:style>
  <w:style w:type="paragraph" w:styleId="BodyTextFirstIndent2">
    <w:name w:val="Body Text First Indent 2"/>
    <w:basedOn w:val="BodyTextIndent"/>
    <w:link w:val="BodyTextFirstIndent2Char"/>
    <w:uiPriority w:val="99"/>
    <w:semiHidden/>
    <w:unhideWhenUsed/>
    <w:rsid w:val="00FA29B2"/>
    <w:pPr>
      <w:ind w:firstLine="210"/>
    </w:pPr>
  </w:style>
  <w:style w:type="character" w:customStyle="1" w:styleId="BodyTextFirstIndent2Char">
    <w:name w:val="Body Text First Indent 2 Char"/>
    <w:basedOn w:val="BodyTextIndentChar"/>
    <w:link w:val="BodyTextFirstIndent2"/>
    <w:uiPriority w:val="99"/>
    <w:semiHidden/>
    <w:rsid w:val="00FA29B2"/>
    <w:rPr>
      <w:kern w:val="0"/>
    </w:rPr>
  </w:style>
  <w:style w:type="paragraph" w:styleId="BodyTextIndent2">
    <w:name w:val="Body Text Indent 2"/>
    <w:basedOn w:val="Normal"/>
    <w:link w:val="BodyTextIndent2Char"/>
    <w:uiPriority w:val="99"/>
    <w:semiHidden/>
    <w:unhideWhenUsed/>
    <w:rsid w:val="00FA29B2"/>
    <w:pPr>
      <w:spacing w:after="120" w:line="480" w:lineRule="auto"/>
      <w:ind w:left="360"/>
    </w:pPr>
    <w:rPr>
      <w:kern w:val="0"/>
    </w:rPr>
  </w:style>
  <w:style w:type="character" w:customStyle="1" w:styleId="BodyTextIndent2Char">
    <w:name w:val="Body Text Indent 2 Char"/>
    <w:basedOn w:val="DefaultParagraphFont"/>
    <w:link w:val="BodyTextIndent2"/>
    <w:uiPriority w:val="99"/>
    <w:semiHidden/>
    <w:rsid w:val="00FA29B2"/>
    <w:rPr>
      <w:kern w:val="0"/>
    </w:rPr>
  </w:style>
  <w:style w:type="paragraph" w:styleId="BodyTextIndent3">
    <w:name w:val="Body Text Indent 3"/>
    <w:basedOn w:val="Normal"/>
    <w:link w:val="BodyTextIndent3Char"/>
    <w:uiPriority w:val="99"/>
    <w:semiHidden/>
    <w:unhideWhenUsed/>
    <w:rsid w:val="00FA29B2"/>
    <w:pPr>
      <w:spacing w:after="120"/>
      <w:ind w:left="360"/>
    </w:pPr>
    <w:rPr>
      <w:kern w:val="0"/>
      <w:sz w:val="16"/>
      <w:szCs w:val="16"/>
    </w:rPr>
  </w:style>
  <w:style w:type="character" w:customStyle="1" w:styleId="BodyTextIndent3Char">
    <w:name w:val="Body Text Indent 3 Char"/>
    <w:basedOn w:val="DefaultParagraphFont"/>
    <w:link w:val="BodyTextIndent3"/>
    <w:uiPriority w:val="99"/>
    <w:semiHidden/>
    <w:rsid w:val="00FA29B2"/>
    <w:rPr>
      <w:kern w:val="0"/>
      <w:sz w:val="16"/>
      <w:szCs w:val="16"/>
    </w:rPr>
  </w:style>
  <w:style w:type="character" w:styleId="BookTitle">
    <w:name w:val="Book Title"/>
    <w:uiPriority w:val="33"/>
    <w:qFormat/>
    <w:rsid w:val="00FA29B2"/>
    <w:rPr>
      <w:b/>
      <w:bCs/>
      <w:smallCaps/>
    </w:rPr>
  </w:style>
  <w:style w:type="paragraph" w:styleId="Caption">
    <w:name w:val="caption"/>
    <w:basedOn w:val="Normal"/>
    <w:next w:val="Normal"/>
    <w:uiPriority w:val="35"/>
    <w:semiHidden/>
    <w:unhideWhenUsed/>
    <w:qFormat/>
    <w:rsid w:val="00FA29B2"/>
    <w:rPr>
      <w:b/>
      <w:bCs/>
      <w:kern w:val="0"/>
      <w:sz w:val="20"/>
    </w:rPr>
  </w:style>
  <w:style w:type="paragraph" w:styleId="Closing">
    <w:name w:val="Closing"/>
    <w:basedOn w:val="Normal"/>
    <w:link w:val="ClosingChar"/>
    <w:uiPriority w:val="99"/>
    <w:semiHidden/>
    <w:unhideWhenUsed/>
    <w:rsid w:val="00FA29B2"/>
    <w:pPr>
      <w:ind w:left="4320"/>
    </w:pPr>
    <w:rPr>
      <w:kern w:val="0"/>
    </w:rPr>
  </w:style>
  <w:style w:type="character" w:customStyle="1" w:styleId="ClosingChar">
    <w:name w:val="Closing Char"/>
    <w:basedOn w:val="DefaultParagraphFont"/>
    <w:link w:val="Closing"/>
    <w:uiPriority w:val="99"/>
    <w:semiHidden/>
    <w:rsid w:val="00FA29B2"/>
    <w:rPr>
      <w:kern w:val="0"/>
    </w:rPr>
  </w:style>
  <w:style w:type="table" w:styleId="ColorfulGrid">
    <w:name w:val="Colorful Grid"/>
    <w:basedOn w:val="TableNormal"/>
    <w:uiPriority w:val="73"/>
    <w:rsid w:val="00FA29B2"/>
    <w:rPr>
      <w:color w:val="000000"/>
      <w:kern w:val="0"/>
      <w:sz w:val="20"/>
      <w:szCs w:val="2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FA29B2"/>
    <w:rPr>
      <w:color w:val="000000"/>
      <w:kern w:val="0"/>
      <w:sz w:val="20"/>
      <w:szCs w:val="2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FA29B2"/>
    <w:rPr>
      <w:color w:val="000000"/>
      <w:kern w:val="0"/>
      <w:sz w:val="20"/>
      <w:szCs w:val="2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FA29B2"/>
    <w:rPr>
      <w:color w:val="000000"/>
      <w:kern w:val="0"/>
      <w:sz w:val="20"/>
      <w:szCs w:val="2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FA29B2"/>
    <w:rPr>
      <w:color w:val="000000"/>
      <w:kern w:val="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FA29B2"/>
    <w:rPr>
      <w:color w:val="000000"/>
      <w:kern w:val="0"/>
      <w:sz w:val="20"/>
      <w:szCs w:val="2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FA29B2"/>
    <w:rPr>
      <w:color w:val="000000"/>
      <w:kern w:val="0"/>
      <w:sz w:val="20"/>
      <w:szCs w:val="2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FA29B2"/>
    <w:rPr>
      <w:color w:val="000000"/>
      <w:kern w:val="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FA29B2"/>
    <w:rPr>
      <w:color w:val="000000"/>
      <w:kern w:val="0"/>
      <w:sz w:val="20"/>
      <w:szCs w:val="2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FA29B2"/>
    <w:rPr>
      <w:color w:val="000000"/>
      <w:kern w:val="0"/>
      <w:sz w:val="20"/>
      <w:szCs w:val="2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FA29B2"/>
    <w:rPr>
      <w:color w:val="000000"/>
      <w:kern w:val="0"/>
      <w:sz w:val="20"/>
      <w:szCs w:val="2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FA29B2"/>
    <w:rPr>
      <w:color w:val="000000"/>
      <w:kern w:val="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FA29B2"/>
    <w:rPr>
      <w:color w:val="000000"/>
      <w:kern w:val="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FA29B2"/>
    <w:rPr>
      <w:color w:val="000000"/>
      <w:kern w:val="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FA29B2"/>
    <w:rPr>
      <w:color w:val="000000"/>
      <w:kern w:val="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FA29B2"/>
    <w:rPr>
      <w:color w:val="000000"/>
      <w:kern w:val="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FA29B2"/>
    <w:rPr>
      <w:color w:val="000000"/>
      <w:kern w:val="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FA29B2"/>
    <w:rPr>
      <w:color w:val="000000"/>
      <w:kern w:val="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FA29B2"/>
    <w:rPr>
      <w:color w:val="000000"/>
      <w:kern w:val="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FA29B2"/>
    <w:rPr>
      <w:color w:val="000000"/>
      <w:kern w:val="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FA29B2"/>
    <w:rPr>
      <w:color w:val="000000"/>
      <w:kern w:val="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FA29B2"/>
    <w:rPr>
      <w:color w:val="FFFFFF"/>
      <w:kern w:val="0"/>
      <w:sz w:val="20"/>
      <w:szCs w:val="20"/>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FA29B2"/>
    <w:rPr>
      <w:color w:val="FFFFFF"/>
      <w:kern w:val="0"/>
      <w:sz w:val="20"/>
      <w:szCs w:val="20"/>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FA29B2"/>
    <w:rPr>
      <w:color w:val="FFFFFF"/>
      <w:kern w:val="0"/>
      <w:sz w:val="20"/>
      <w:szCs w:val="20"/>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FA29B2"/>
    <w:rPr>
      <w:color w:val="FFFFFF"/>
      <w:kern w:val="0"/>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FA29B2"/>
    <w:rPr>
      <w:color w:val="FFFFFF"/>
      <w:kern w:val="0"/>
      <w:sz w:val="20"/>
      <w:szCs w:val="20"/>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FA29B2"/>
    <w:rPr>
      <w:color w:val="FFFFFF"/>
      <w:kern w:val="0"/>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FA29B2"/>
    <w:rPr>
      <w:color w:val="FFFFFF"/>
      <w:kern w:val="0"/>
      <w:sz w:val="20"/>
      <w:szCs w:val="20"/>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unhideWhenUsed/>
    <w:rsid w:val="00FA29B2"/>
    <w:rPr>
      <w:kern w:val="0"/>
    </w:rPr>
  </w:style>
  <w:style w:type="character" w:customStyle="1" w:styleId="DateChar">
    <w:name w:val="Date Char"/>
    <w:basedOn w:val="DefaultParagraphFont"/>
    <w:link w:val="Date"/>
    <w:uiPriority w:val="99"/>
    <w:semiHidden/>
    <w:rsid w:val="00FA29B2"/>
    <w:rPr>
      <w:kern w:val="0"/>
    </w:rPr>
  </w:style>
  <w:style w:type="paragraph" w:styleId="DocumentMap">
    <w:name w:val="Document Map"/>
    <w:basedOn w:val="Normal"/>
    <w:link w:val="DocumentMapChar"/>
    <w:uiPriority w:val="99"/>
    <w:semiHidden/>
    <w:unhideWhenUsed/>
    <w:rsid w:val="00FA29B2"/>
    <w:rPr>
      <w:kern w:val="0"/>
      <w:sz w:val="16"/>
      <w:szCs w:val="16"/>
    </w:rPr>
  </w:style>
  <w:style w:type="character" w:customStyle="1" w:styleId="DocumentMapChar">
    <w:name w:val="Document Map Char"/>
    <w:basedOn w:val="DefaultParagraphFont"/>
    <w:link w:val="DocumentMap"/>
    <w:uiPriority w:val="99"/>
    <w:semiHidden/>
    <w:rsid w:val="00FA29B2"/>
    <w:rPr>
      <w:kern w:val="0"/>
      <w:sz w:val="16"/>
      <w:szCs w:val="16"/>
    </w:rPr>
  </w:style>
  <w:style w:type="paragraph" w:styleId="E-mailSignature">
    <w:name w:val="E-mail Signature"/>
    <w:basedOn w:val="Normal"/>
    <w:link w:val="E-mailSignatureChar"/>
    <w:uiPriority w:val="99"/>
    <w:semiHidden/>
    <w:unhideWhenUsed/>
    <w:rsid w:val="00FA29B2"/>
    <w:rPr>
      <w:kern w:val="0"/>
    </w:rPr>
  </w:style>
  <w:style w:type="character" w:customStyle="1" w:styleId="E-mailSignatureChar">
    <w:name w:val="E-mail Signature Char"/>
    <w:basedOn w:val="DefaultParagraphFont"/>
    <w:link w:val="E-mailSignature"/>
    <w:uiPriority w:val="99"/>
    <w:semiHidden/>
    <w:rsid w:val="00FA29B2"/>
    <w:rPr>
      <w:kern w:val="0"/>
    </w:rPr>
  </w:style>
  <w:style w:type="character" w:styleId="Emphasis">
    <w:name w:val="Emphasis"/>
    <w:uiPriority w:val="20"/>
    <w:qFormat/>
    <w:rsid w:val="00FA29B2"/>
    <w:rPr>
      <w:i/>
      <w:iCs/>
    </w:rPr>
  </w:style>
  <w:style w:type="paragraph" w:styleId="EnvelopeAddress">
    <w:name w:val="envelope address"/>
    <w:basedOn w:val="Normal"/>
    <w:uiPriority w:val="99"/>
    <w:semiHidden/>
    <w:unhideWhenUsed/>
    <w:rsid w:val="00FA29B2"/>
    <w:pPr>
      <w:framePr w:w="7920" w:h="1980" w:hRule="exact" w:hSpace="180" w:wrap="auto" w:hAnchor="page" w:xAlign="center" w:yAlign="bottom"/>
      <w:ind w:left="2880"/>
    </w:pPr>
    <w:rPr>
      <w:kern w:val="0"/>
      <w:sz w:val="24"/>
      <w:szCs w:val="24"/>
    </w:rPr>
  </w:style>
  <w:style w:type="paragraph" w:styleId="EnvelopeReturn">
    <w:name w:val="envelope return"/>
    <w:basedOn w:val="Normal"/>
    <w:uiPriority w:val="99"/>
    <w:semiHidden/>
    <w:unhideWhenUsed/>
    <w:rsid w:val="00FA29B2"/>
    <w:rPr>
      <w:kern w:val="0"/>
      <w:sz w:val="20"/>
    </w:rPr>
  </w:style>
  <w:style w:type="character" w:styleId="FollowedHyperlink">
    <w:name w:val="FollowedHyperlink"/>
    <w:uiPriority w:val="99"/>
    <w:semiHidden/>
    <w:unhideWhenUsed/>
    <w:rsid w:val="00FA29B2"/>
    <w:rPr>
      <w:color w:val="800080"/>
      <w:u w:val="single"/>
    </w:rPr>
  </w:style>
  <w:style w:type="character" w:styleId="HTMLAcronym">
    <w:name w:val="HTML Acronym"/>
    <w:uiPriority w:val="99"/>
    <w:semiHidden/>
    <w:unhideWhenUsed/>
    <w:rsid w:val="00FA29B2"/>
  </w:style>
  <w:style w:type="paragraph" w:styleId="HTMLAddress">
    <w:name w:val="HTML Address"/>
    <w:basedOn w:val="Normal"/>
    <w:link w:val="HTMLAddressChar"/>
    <w:uiPriority w:val="99"/>
    <w:semiHidden/>
    <w:unhideWhenUsed/>
    <w:rsid w:val="00FA29B2"/>
    <w:rPr>
      <w:i/>
      <w:iCs/>
      <w:kern w:val="0"/>
    </w:rPr>
  </w:style>
  <w:style w:type="character" w:customStyle="1" w:styleId="HTMLAddressChar">
    <w:name w:val="HTML Address Char"/>
    <w:basedOn w:val="DefaultParagraphFont"/>
    <w:link w:val="HTMLAddress"/>
    <w:uiPriority w:val="99"/>
    <w:semiHidden/>
    <w:rsid w:val="00FA29B2"/>
    <w:rPr>
      <w:i/>
      <w:iCs/>
      <w:kern w:val="0"/>
    </w:rPr>
  </w:style>
  <w:style w:type="character" w:styleId="HTMLCite">
    <w:name w:val="HTML Cite"/>
    <w:uiPriority w:val="99"/>
    <w:semiHidden/>
    <w:unhideWhenUsed/>
    <w:rsid w:val="00FA29B2"/>
    <w:rPr>
      <w:i/>
      <w:iCs/>
    </w:rPr>
  </w:style>
  <w:style w:type="character" w:styleId="HTMLCode">
    <w:name w:val="HTML Code"/>
    <w:uiPriority w:val="99"/>
    <w:semiHidden/>
    <w:unhideWhenUsed/>
    <w:rsid w:val="00FA29B2"/>
    <w:rPr>
      <w:rFonts w:ascii="Arial" w:hAnsi="Arial" w:cs="Arial"/>
      <w:sz w:val="20"/>
      <w:szCs w:val="20"/>
    </w:rPr>
  </w:style>
  <w:style w:type="character" w:styleId="HTMLDefinition">
    <w:name w:val="HTML Definition"/>
    <w:uiPriority w:val="99"/>
    <w:semiHidden/>
    <w:unhideWhenUsed/>
    <w:rsid w:val="00FA29B2"/>
    <w:rPr>
      <w:i/>
      <w:iCs/>
    </w:rPr>
  </w:style>
  <w:style w:type="character" w:styleId="HTMLKeyboard">
    <w:name w:val="HTML Keyboard"/>
    <w:uiPriority w:val="99"/>
    <w:semiHidden/>
    <w:unhideWhenUsed/>
    <w:rsid w:val="00FA29B2"/>
    <w:rPr>
      <w:rFonts w:ascii="Arial" w:hAnsi="Arial" w:cs="Arial"/>
      <w:sz w:val="20"/>
      <w:szCs w:val="20"/>
    </w:rPr>
  </w:style>
  <w:style w:type="paragraph" w:styleId="HTMLPreformatted">
    <w:name w:val="HTML Preformatted"/>
    <w:basedOn w:val="Normal"/>
    <w:link w:val="HTMLPreformattedChar"/>
    <w:uiPriority w:val="99"/>
    <w:semiHidden/>
    <w:unhideWhenUsed/>
    <w:rsid w:val="00FA29B2"/>
    <w:rPr>
      <w:kern w:val="0"/>
      <w:sz w:val="20"/>
    </w:rPr>
  </w:style>
  <w:style w:type="character" w:customStyle="1" w:styleId="HTMLPreformattedChar">
    <w:name w:val="HTML Preformatted Char"/>
    <w:basedOn w:val="DefaultParagraphFont"/>
    <w:link w:val="HTMLPreformatted"/>
    <w:uiPriority w:val="99"/>
    <w:semiHidden/>
    <w:rsid w:val="00FA29B2"/>
    <w:rPr>
      <w:kern w:val="0"/>
      <w:sz w:val="20"/>
    </w:rPr>
  </w:style>
  <w:style w:type="character" w:styleId="HTMLSample">
    <w:name w:val="HTML Sample"/>
    <w:uiPriority w:val="99"/>
    <w:semiHidden/>
    <w:unhideWhenUsed/>
    <w:rsid w:val="00FA29B2"/>
    <w:rPr>
      <w:rFonts w:ascii="Arial" w:hAnsi="Arial" w:cs="Arial"/>
    </w:rPr>
  </w:style>
  <w:style w:type="character" w:styleId="HTMLTypewriter">
    <w:name w:val="HTML Typewriter"/>
    <w:uiPriority w:val="99"/>
    <w:semiHidden/>
    <w:unhideWhenUsed/>
    <w:rsid w:val="00FA29B2"/>
    <w:rPr>
      <w:rFonts w:ascii="Arial" w:hAnsi="Arial" w:cs="Arial"/>
      <w:sz w:val="20"/>
      <w:szCs w:val="20"/>
    </w:rPr>
  </w:style>
  <w:style w:type="character" w:styleId="HTMLVariable">
    <w:name w:val="HTML Variable"/>
    <w:uiPriority w:val="99"/>
    <w:semiHidden/>
    <w:unhideWhenUsed/>
    <w:rsid w:val="00FA29B2"/>
    <w:rPr>
      <w:i/>
      <w:iCs/>
    </w:rPr>
  </w:style>
  <w:style w:type="paragraph" w:styleId="Index1">
    <w:name w:val="index 1"/>
    <w:basedOn w:val="Normal"/>
    <w:next w:val="Normal"/>
    <w:autoRedefine/>
    <w:uiPriority w:val="99"/>
    <w:semiHidden/>
    <w:unhideWhenUsed/>
    <w:rsid w:val="00FA29B2"/>
    <w:pPr>
      <w:ind w:left="230" w:hanging="230"/>
    </w:pPr>
    <w:rPr>
      <w:kern w:val="0"/>
    </w:rPr>
  </w:style>
  <w:style w:type="paragraph" w:styleId="Index2">
    <w:name w:val="index 2"/>
    <w:basedOn w:val="Normal"/>
    <w:next w:val="Normal"/>
    <w:autoRedefine/>
    <w:uiPriority w:val="99"/>
    <w:semiHidden/>
    <w:unhideWhenUsed/>
    <w:rsid w:val="00FA29B2"/>
    <w:pPr>
      <w:ind w:left="460" w:hanging="230"/>
    </w:pPr>
    <w:rPr>
      <w:kern w:val="0"/>
    </w:rPr>
  </w:style>
  <w:style w:type="paragraph" w:styleId="Index3">
    <w:name w:val="index 3"/>
    <w:basedOn w:val="Normal"/>
    <w:next w:val="Normal"/>
    <w:autoRedefine/>
    <w:uiPriority w:val="99"/>
    <w:semiHidden/>
    <w:unhideWhenUsed/>
    <w:rsid w:val="00FA29B2"/>
    <w:pPr>
      <w:ind w:left="690" w:hanging="230"/>
    </w:pPr>
    <w:rPr>
      <w:kern w:val="0"/>
    </w:rPr>
  </w:style>
  <w:style w:type="paragraph" w:styleId="Index4">
    <w:name w:val="index 4"/>
    <w:basedOn w:val="Normal"/>
    <w:next w:val="Normal"/>
    <w:autoRedefine/>
    <w:uiPriority w:val="99"/>
    <w:semiHidden/>
    <w:unhideWhenUsed/>
    <w:rsid w:val="00FA29B2"/>
    <w:pPr>
      <w:ind w:left="920" w:hanging="230"/>
    </w:pPr>
    <w:rPr>
      <w:kern w:val="0"/>
    </w:rPr>
  </w:style>
  <w:style w:type="paragraph" w:styleId="Index5">
    <w:name w:val="index 5"/>
    <w:basedOn w:val="Normal"/>
    <w:next w:val="Normal"/>
    <w:autoRedefine/>
    <w:uiPriority w:val="99"/>
    <w:semiHidden/>
    <w:unhideWhenUsed/>
    <w:rsid w:val="00FA29B2"/>
    <w:pPr>
      <w:ind w:left="1150" w:hanging="230"/>
    </w:pPr>
    <w:rPr>
      <w:kern w:val="0"/>
    </w:rPr>
  </w:style>
  <w:style w:type="paragraph" w:styleId="Index6">
    <w:name w:val="index 6"/>
    <w:basedOn w:val="Normal"/>
    <w:next w:val="Normal"/>
    <w:autoRedefine/>
    <w:uiPriority w:val="99"/>
    <w:semiHidden/>
    <w:unhideWhenUsed/>
    <w:rsid w:val="00FA29B2"/>
    <w:pPr>
      <w:ind w:left="1380" w:hanging="230"/>
    </w:pPr>
    <w:rPr>
      <w:kern w:val="0"/>
    </w:rPr>
  </w:style>
  <w:style w:type="paragraph" w:styleId="Index7">
    <w:name w:val="index 7"/>
    <w:basedOn w:val="Normal"/>
    <w:next w:val="Normal"/>
    <w:autoRedefine/>
    <w:uiPriority w:val="99"/>
    <w:semiHidden/>
    <w:unhideWhenUsed/>
    <w:rsid w:val="00FA29B2"/>
    <w:pPr>
      <w:ind w:left="1610" w:hanging="230"/>
    </w:pPr>
    <w:rPr>
      <w:kern w:val="0"/>
    </w:rPr>
  </w:style>
  <w:style w:type="paragraph" w:styleId="Index8">
    <w:name w:val="index 8"/>
    <w:basedOn w:val="Normal"/>
    <w:next w:val="Normal"/>
    <w:autoRedefine/>
    <w:uiPriority w:val="99"/>
    <w:semiHidden/>
    <w:unhideWhenUsed/>
    <w:rsid w:val="00FA29B2"/>
    <w:pPr>
      <w:ind w:left="1840" w:hanging="230"/>
    </w:pPr>
    <w:rPr>
      <w:kern w:val="0"/>
    </w:rPr>
  </w:style>
  <w:style w:type="paragraph" w:styleId="Index9">
    <w:name w:val="index 9"/>
    <w:basedOn w:val="Normal"/>
    <w:next w:val="Normal"/>
    <w:autoRedefine/>
    <w:uiPriority w:val="99"/>
    <w:semiHidden/>
    <w:unhideWhenUsed/>
    <w:rsid w:val="00FA29B2"/>
    <w:pPr>
      <w:ind w:left="2070" w:hanging="230"/>
    </w:pPr>
    <w:rPr>
      <w:kern w:val="0"/>
    </w:rPr>
  </w:style>
  <w:style w:type="paragraph" w:styleId="IndexHeading">
    <w:name w:val="index heading"/>
    <w:basedOn w:val="Normal"/>
    <w:next w:val="Index1"/>
    <w:uiPriority w:val="99"/>
    <w:semiHidden/>
    <w:unhideWhenUsed/>
    <w:rsid w:val="00FA29B2"/>
    <w:rPr>
      <w:b/>
      <w:bCs/>
      <w:kern w:val="0"/>
    </w:rPr>
  </w:style>
  <w:style w:type="table" w:styleId="LightGrid">
    <w:name w:val="Light Grid"/>
    <w:basedOn w:val="TableNormal"/>
    <w:uiPriority w:val="62"/>
    <w:rsid w:val="00FA29B2"/>
    <w:rPr>
      <w:kern w:val="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FA29B2"/>
    <w:rPr>
      <w:kern w:val="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FA29B2"/>
    <w:rPr>
      <w:kern w:val="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FA29B2"/>
    <w:rPr>
      <w:kern w:val="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FA29B2"/>
    <w:rPr>
      <w:kern w:val="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FA29B2"/>
    <w:rPr>
      <w:kern w:val="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FA29B2"/>
    <w:rPr>
      <w:kern w:val="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DengXian" w:eastAsia="Times New Roman" w:hAnsi="DengXi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DengXian" w:eastAsia="Times New Roman" w:hAnsi="DengXi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FA29B2"/>
    <w:rPr>
      <w:kern w:val="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FA29B2"/>
    <w:rPr>
      <w:kern w:val="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FA29B2"/>
    <w:rPr>
      <w:kern w:val="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FA29B2"/>
    <w:rPr>
      <w:kern w:val="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FA29B2"/>
    <w:rPr>
      <w:kern w:val="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FA29B2"/>
    <w:rPr>
      <w:kern w:val="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FA29B2"/>
    <w:rPr>
      <w:kern w:val="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FA29B2"/>
    <w:rPr>
      <w:color w:val="000000"/>
      <w:kern w:val="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FA29B2"/>
    <w:rPr>
      <w:color w:val="365F91"/>
      <w:kern w:val="0"/>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FA29B2"/>
    <w:rPr>
      <w:color w:val="943634"/>
      <w:kern w:val="0"/>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FA29B2"/>
    <w:rPr>
      <w:color w:val="76923C"/>
      <w:kern w:val="0"/>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FA29B2"/>
    <w:rPr>
      <w:color w:val="5F497A"/>
      <w:kern w:val="0"/>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FA29B2"/>
    <w:rPr>
      <w:color w:val="31849B"/>
      <w:kern w:val="0"/>
      <w:sz w:val="20"/>
      <w:szCs w:val="20"/>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FA29B2"/>
    <w:rPr>
      <w:color w:val="E36C0A"/>
      <w:kern w:val="0"/>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uiPriority w:val="99"/>
    <w:semiHidden/>
    <w:unhideWhenUsed/>
    <w:rsid w:val="00FA29B2"/>
  </w:style>
  <w:style w:type="paragraph" w:styleId="List">
    <w:name w:val="List"/>
    <w:basedOn w:val="Normal"/>
    <w:uiPriority w:val="99"/>
    <w:semiHidden/>
    <w:unhideWhenUsed/>
    <w:rsid w:val="00FA29B2"/>
    <w:pPr>
      <w:ind w:left="360" w:hanging="360"/>
      <w:contextualSpacing/>
    </w:pPr>
    <w:rPr>
      <w:kern w:val="0"/>
    </w:rPr>
  </w:style>
  <w:style w:type="paragraph" w:styleId="List2">
    <w:name w:val="List 2"/>
    <w:basedOn w:val="Normal"/>
    <w:uiPriority w:val="99"/>
    <w:semiHidden/>
    <w:unhideWhenUsed/>
    <w:rsid w:val="00FA29B2"/>
    <w:pPr>
      <w:ind w:left="720" w:hanging="360"/>
      <w:contextualSpacing/>
    </w:pPr>
    <w:rPr>
      <w:kern w:val="0"/>
    </w:rPr>
  </w:style>
  <w:style w:type="paragraph" w:styleId="List3">
    <w:name w:val="List 3"/>
    <w:basedOn w:val="Normal"/>
    <w:uiPriority w:val="99"/>
    <w:semiHidden/>
    <w:unhideWhenUsed/>
    <w:rsid w:val="00FA29B2"/>
    <w:pPr>
      <w:ind w:left="1080" w:hanging="360"/>
      <w:contextualSpacing/>
    </w:pPr>
    <w:rPr>
      <w:kern w:val="0"/>
    </w:rPr>
  </w:style>
  <w:style w:type="paragraph" w:styleId="List4">
    <w:name w:val="List 4"/>
    <w:basedOn w:val="Normal"/>
    <w:uiPriority w:val="99"/>
    <w:semiHidden/>
    <w:unhideWhenUsed/>
    <w:rsid w:val="00FA29B2"/>
    <w:pPr>
      <w:ind w:left="1440" w:hanging="360"/>
      <w:contextualSpacing/>
    </w:pPr>
    <w:rPr>
      <w:kern w:val="0"/>
    </w:rPr>
  </w:style>
  <w:style w:type="paragraph" w:styleId="List5">
    <w:name w:val="List 5"/>
    <w:basedOn w:val="Normal"/>
    <w:uiPriority w:val="99"/>
    <w:semiHidden/>
    <w:unhideWhenUsed/>
    <w:rsid w:val="00FA29B2"/>
    <w:pPr>
      <w:ind w:left="1800" w:hanging="360"/>
      <w:contextualSpacing/>
    </w:pPr>
    <w:rPr>
      <w:kern w:val="0"/>
    </w:rPr>
  </w:style>
  <w:style w:type="paragraph" w:styleId="ListBullet">
    <w:name w:val="List Bullet"/>
    <w:basedOn w:val="Normal"/>
    <w:uiPriority w:val="99"/>
    <w:semiHidden/>
    <w:unhideWhenUsed/>
    <w:rsid w:val="00FA29B2"/>
    <w:pPr>
      <w:numPr>
        <w:numId w:val="33"/>
      </w:numPr>
      <w:tabs>
        <w:tab w:val="clear" w:pos="360"/>
      </w:tabs>
      <w:ind w:left="0" w:firstLine="0"/>
      <w:contextualSpacing/>
    </w:pPr>
    <w:rPr>
      <w:kern w:val="0"/>
    </w:rPr>
  </w:style>
  <w:style w:type="paragraph" w:styleId="ListBullet2">
    <w:name w:val="List Bullet 2"/>
    <w:basedOn w:val="Normal"/>
    <w:uiPriority w:val="99"/>
    <w:semiHidden/>
    <w:unhideWhenUsed/>
    <w:rsid w:val="00FA29B2"/>
    <w:pPr>
      <w:numPr>
        <w:numId w:val="34"/>
      </w:numPr>
      <w:tabs>
        <w:tab w:val="clear" w:pos="643"/>
        <w:tab w:val="num" w:pos="360"/>
      </w:tabs>
      <w:ind w:left="0" w:firstLine="0"/>
      <w:contextualSpacing/>
    </w:pPr>
    <w:rPr>
      <w:kern w:val="0"/>
    </w:rPr>
  </w:style>
  <w:style w:type="paragraph" w:styleId="ListBullet3">
    <w:name w:val="List Bullet 3"/>
    <w:basedOn w:val="Normal"/>
    <w:uiPriority w:val="99"/>
    <w:semiHidden/>
    <w:unhideWhenUsed/>
    <w:rsid w:val="00FA29B2"/>
    <w:pPr>
      <w:numPr>
        <w:numId w:val="35"/>
      </w:numPr>
      <w:tabs>
        <w:tab w:val="clear" w:pos="926"/>
        <w:tab w:val="num" w:pos="360"/>
      </w:tabs>
      <w:ind w:left="0" w:firstLine="0"/>
      <w:contextualSpacing/>
    </w:pPr>
    <w:rPr>
      <w:kern w:val="0"/>
    </w:rPr>
  </w:style>
  <w:style w:type="paragraph" w:styleId="ListBullet4">
    <w:name w:val="List Bullet 4"/>
    <w:basedOn w:val="Normal"/>
    <w:uiPriority w:val="99"/>
    <w:semiHidden/>
    <w:unhideWhenUsed/>
    <w:rsid w:val="00FA29B2"/>
    <w:pPr>
      <w:numPr>
        <w:numId w:val="36"/>
      </w:numPr>
      <w:tabs>
        <w:tab w:val="clear" w:pos="1209"/>
        <w:tab w:val="num" w:pos="360"/>
        <w:tab w:val="num" w:pos="850"/>
      </w:tabs>
      <w:ind w:left="0" w:firstLine="0"/>
      <w:contextualSpacing/>
    </w:pPr>
    <w:rPr>
      <w:kern w:val="0"/>
    </w:rPr>
  </w:style>
  <w:style w:type="paragraph" w:styleId="ListBullet5">
    <w:name w:val="List Bullet 5"/>
    <w:basedOn w:val="Normal"/>
    <w:uiPriority w:val="99"/>
    <w:semiHidden/>
    <w:unhideWhenUsed/>
    <w:rsid w:val="00FA29B2"/>
    <w:pPr>
      <w:numPr>
        <w:numId w:val="37"/>
      </w:numPr>
      <w:tabs>
        <w:tab w:val="clear" w:pos="1492"/>
        <w:tab w:val="num" w:pos="360"/>
      </w:tabs>
      <w:ind w:left="0" w:firstLine="0"/>
      <w:contextualSpacing/>
    </w:pPr>
    <w:rPr>
      <w:kern w:val="0"/>
    </w:rPr>
  </w:style>
  <w:style w:type="paragraph" w:styleId="ListContinue">
    <w:name w:val="List Continue"/>
    <w:basedOn w:val="Normal"/>
    <w:uiPriority w:val="99"/>
    <w:semiHidden/>
    <w:unhideWhenUsed/>
    <w:rsid w:val="00FA29B2"/>
    <w:pPr>
      <w:spacing w:after="120"/>
      <w:ind w:left="360"/>
      <w:contextualSpacing/>
    </w:pPr>
    <w:rPr>
      <w:kern w:val="0"/>
    </w:rPr>
  </w:style>
  <w:style w:type="paragraph" w:styleId="ListContinue2">
    <w:name w:val="List Continue 2"/>
    <w:basedOn w:val="Normal"/>
    <w:uiPriority w:val="99"/>
    <w:semiHidden/>
    <w:unhideWhenUsed/>
    <w:rsid w:val="00FA29B2"/>
    <w:pPr>
      <w:spacing w:after="120"/>
      <w:ind w:left="720"/>
      <w:contextualSpacing/>
    </w:pPr>
    <w:rPr>
      <w:kern w:val="0"/>
    </w:rPr>
  </w:style>
  <w:style w:type="paragraph" w:styleId="ListContinue3">
    <w:name w:val="List Continue 3"/>
    <w:basedOn w:val="Normal"/>
    <w:uiPriority w:val="99"/>
    <w:semiHidden/>
    <w:unhideWhenUsed/>
    <w:rsid w:val="00FA29B2"/>
    <w:pPr>
      <w:spacing w:after="120"/>
      <w:ind w:left="1080"/>
      <w:contextualSpacing/>
    </w:pPr>
    <w:rPr>
      <w:kern w:val="0"/>
    </w:rPr>
  </w:style>
  <w:style w:type="paragraph" w:styleId="ListContinue4">
    <w:name w:val="List Continue 4"/>
    <w:basedOn w:val="Normal"/>
    <w:uiPriority w:val="99"/>
    <w:semiHidden/>
    <w:unhideWhenUsed/>
    <w:rsid w:val="00FA29B2"/>
    <w:pPr>
      <w:spacing w:after="120"/>
      <w:ind w:left="1440"/>
      <w:contextualSpacing/>
    </w:pPr>
    <w:rPr>
      <w:kern w:val="0"/>
    </w:rPr>
  </w:style>
  <w:style w:type="paragraph" w:styleId="ListContinue5">
    <w:name w:val="List Continue 5"/>
    <w:basedOn w:val="Normal"/>
    <w:uiPriority w:val="99"/>
    <w:semiHidden/>
    <w:unhideWhenUsed/>
    <w:rsid w:val="00FA29B2"/>
    <w:pPr>
      <w:spacing w:after="120"/>
      <w:ind w:left="1800"/>
      <w:contextualSpacing/>
    </w:pPr>
    <w:rPr>
      <w:kern w:val="0"/>
    </w:rPr>
  </w:style>
  <w:style w:type="paragraph" w:styleId="ListNumber">
    <w:name w:val="List Number"/>
    <w:basedOn w:val="Normal"/>
    <w:uiPriority w:val="99"/>
    <w:semiHidden/>
    <w:unhideWhenUsed/>
    <w:rsid w:val="00FA29B2"/>
    <w:pPr>
      <w:numPr>
        <w:numId w:val="38"/>
      </w:numPr>
      <w:tabs>
        <w:tab w:val="clear" w:pos="360"/>
      </w:tabs>
      <w:ind w:left="0" w:firstLine="0"/>
      <w:contextualSpacing/>
    </w:pPr>
    <w:rPr>
      <w:kern w:val="0"/>
    </w:rPr>
  </w:style>
  <w:style w:type="paragraph" w:styleId="ListNumber2">
    <w:name w:val="List Number 2"/>
    <w:basedOn w:val="Normal"/>
    <w:uiPriority w:val="99"/>
    <w:semiHidden/>
    <w:unhideWhenUsed/>
    <w:rsid w:val="00FA29B2"/>
    <w:pPr>
      <w:numPr>
        <w:numId w:val="39"/>
      </w:numPr>
      <w:tabs>
        <w:tab w:val="clear" w:pos="643"/>
        <w:tab w:val="num" w:pos="360"/>
      </w:tabs>
      <w:ind w:left="0" w:firstLine="0"/>
      <w:contextualSpacing/>
    </w:pPr>
    <w:rPr>
      <w:kern w:val="0"/>
    </w:rPr>
  </w:style>
  <w:style w:type="paragraph" w:styleId="ListNumber3">
    <w:name w:val="List Number 3"/>
    <w:basedOn w:val="Normal"/>
    <w:uiPriority w:val="99"/>
    <w:semiHidden/>
    <w:unhideWhenUsed/>
    <w:rsid w:val="00FA29B2"/>
    <w:pPr>
      <w:numPr>
        <w:numId w:val="40"/>
      </w:numPr>
      <w:tabs>
        <w:tab w:val="clear" w:pos="926"/>
        <w:tab w:val="num" w:pos="360"/>
      </w:tabs>
      <w:ind w:left="0" w:firstLine="0"/>
      <w:contextualSpacing/>
    </w:pPr>
    <w:rPr>
      <w:kern w:val="0"/>
    </w:rPr>
  </w:style>
  <w:style w:type="paragraph" w:styleId="ListNumber4">
    <w:name w:val="List Number 4"/>
    <w:basedOn w:val="Normal"/>
    <w:uiPriority w:val="99"/>
    <w:semiHidden/>
    <w:unhideWhenUsed/>
    <w:rsid w:val="00FA29B2"/>
    <w:pPr>
      <w:numPr>
        <w:numId w:val="41"/>
      </w:numPr>
      <w:tabs>
        <w:tab w:val="clear" w:pos="1209"/>
        <w:tab w:val="num" w:pos="360"/>
      </w:tabs>
      <w:ind w:left="0" w:firstLine="0"/>
      <w:contextualSpacing/>
    </w:pPr>
    <w:rPr>
      <w:kern w:val="0"/>
    </w:rPr>
  </w:style>
  <w:style w:type="paragraph" w:styleId="ListNumber5">
    <w:name w:val="List Number 5"/>
    <w:basedOn w:val="Normal"/>
    <w:uiPriority w:val="99"/>
    <w:semiHidden/>
    <w:unhideWhenUsed/>
    <w:rsid w:val="00FA29B2"/>
    <w:pPr>
      <w:numPr>
        <w:numId w:val="42"/>
      </w:numPr>
      <w:tabs>
        <w:tab w:val="clear" w:pos="1492"/>
        <w:tab w:val="num" w:pos="360"/>
        <w:tab w:val="num" w:pos="720"/>
      </w:tabs>
      <w:ind w:left="0" w:firstLine="0"/>
      <w:contextualSpacing/>
    </w:pPr>
    <w:rPr>
      <w:kern w:val="0"/>
    </w:rPr>
  </w:style>
  <w:style w:type="paragraph" w:styleId="MacroText">
    <w:name w:val="macro"/>
    <w:link w:val="MacroTextChar"/>
    <w:uiPriority w:val="99"/>
    <w:semiHidden/>
    <w:unhideWhenUsed/>
    <w:rsid w:val="00FA29B2"/>
    <w:pPr>
      <w:widowControl w:val="0"/>
      <w:tabs>
        <w:tab w:val="left" w:pos="480"/>
        <w:tab w:val="left" w:pos="960"/>
        <w:tab w:val="left" w:pos="1440"/>
        <w:tab w:val="left" w:pos="1920"/>
        <w:tab w:val="left" w:pos="2400"/>
        <w:tab w:val="left" w:pos="2880"/>
        <w:tab w:val="left" w:pos="3360"/>
        <w:tab w:val="left" w:pos="3840"/>
        <w:tab w:val="left" w:pos="4320"/>
      </w:tabs>
      <w:spacing w:line="216" w:lineRule="auto"/>
    </w:pPr>
    <w:rPr>
      <w:rFonts w:ascii="Arial" w:hAnsi="Arial" w:cs="Arial"/>
      <w:kern w:val="0"/>
    </w:rPr>
  </w:style>
  <w:style w:type="character" w:customStyle="1" w:styleId="MacroTextChar">
    <w:name w:val="Macro Text Char"/>
    <w:basedOn w:val="DefaultParagraphFont"/>
    <w:link w:val="MacroText"/>
    <w:uiPriority w:val="99"/>
    <w:semiHidden/>
    <w:rsid w:val="00FA29B2"/>
    <w:rPr>
      <w:rFonts w:ascii="Arial" w:hAnsi="Arial" w:cs="Arial"/>
      <w:kern w:val="0"/>
    </w:rPr>
  </w:style>
  <w:style w:type="table" w:styleId="MediumGrid1">
    <w:name w:val="Medium Grid 1"/>
    <w:basedOn w:val="TableNormal"/>
    <w:uiPriority w:val="67"/>
    <w:rsid w:val="00FA29B2"/>
    <w:rPr>
      <w:kern w:val="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FA29B2"/>
    <w:rPr>
      <w:kern w:val="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FA29B2"/>
    <w:rPr>
      <w:kern w:val="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FA29B2"/>
    <w:rPr>
      <w:kern w:val="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FA29B2"/>
    <w:rPr>
      <w:kern w:val="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FA29B2"/>
    <w:rPr>
      <w:kern w:val="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FA29B2"/>
    <w:rPr>
      <w:kern w:val="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FA29B2"/>
    <w:rPr>
      <w:color w:val="000000"/>
      <w:kern w:val="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FA29B2"/>
    <w:rPr>
      <w:color w:val="000000"/>
      <w:kern w:val="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FA29B2"/>
    <w:rPr>
      <w:color w:val="000000"/>
      <w:kern w:val="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FA29B2"/>
    <w:rPr>
      <w:color w:val="000000"/>
      <w:kern w:val="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FA29B2"/>
    <w:rPr>
      <w:color w:val="000000"/>
      <w:kern w:val="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FA29B2"/>
    <w:rPr>
      <w:color w:val="000000"/>
      <w:kern w:val="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FA29B2"/>
    <w:rPr>
      <w:color w:val="000000"/>
      <w:kern w:val="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FA29B2"/>
    <w:rPr>
      <w:kern w:val="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FA29B2"/>
    <w:rPr>
      <w:kern w:val="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FA29B2"/>
    <w:rPr>
      <w:kern w:val="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FA29B2"/>
    <w:rPr>
      <w:kern w:val="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FA29B2"/>
    <w:rPr>
      <w:kern w:val="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FA29B2"/>
    <w:rPr>
      <w:kern w:val="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FA29B2"/>
    <w:rPr>
      <w:kern w:val="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FA29B2"/>
    <w:rPr>
      <w:color w:val="000000"/>
      <w:kern w:val="0"/>
      <w:sz w:val="20"/>
      <w:szCs w:val="2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FA29B2"/>
    <w:rPr>
      <w:color w:val="000000"/>
      <w:kern w:val="0"/>
      <w:sz w:val="20"/>
      <w:szCs w:val="2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FA29B2"/>
    <w:rPr>
      <w:color w:val="000000"/>
      <w:kern w:val="0"/>
      <w:sz w:val="20"/>
      <w:szCs w:val="20"/>
    </w:rPr>
    <w:tblPr>
      <w:tblStyleRowBandSize w:val="1"/>
      <w:tblStyleColBandSize w:val="1"/>
      <w:tblBorders>
        <w:top w:val="single" w:sz="8" w:space="0" w:color="C0504D"/>
        <w:bottom w:val="single" w:sz="8" w:space="0" w:color="C0504D"/>
      </w:tblBorders>
    </w:tblPr>
    <w:tblStylePr w:type="firstRow">
      <w:rPr>
        <w:rFonts w:ascii="DengXian" w:eastAsia="Times New Roman" w:hAnsi="DengXi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FA29B2"/>
    <w:rPr>
      <w:color w:val="000000"/>
      <w:kern w:val="0"/>
      <w:sz w:val="20"/>
      <w:szCs w:val="2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FA29B2"/>
    <w:rPr>
      <w:color w:val="000000"/>
      <w:kern w:val="0"/>
      <w:sz w:val="20"/>
      <w:szCs w:val="20"/>
    </w:rPr>
    <w:tblPr>
      <w:tblStyleRowBandSize w:val="1"/>
      <w:tblStyleColBandSize w:val="1"/>
      <w:tblBorders>
        <w:top w:val="single" w:sz="8" w:space="0" w:color="8064A2"/>
        <w:bottom w:val="single" w:sz="8" w:space="0" w:color="8064A2"/>
      </w:tblBorders>
    </w:tblPr>
    <w:tblStylePr w:type="firstRow">
      <w:rPr>
        <w:rFonts w:ascii="DengXian" w:eastAsia="Times New Roman" w:hAnsi="DengXi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FA29B2"/>
    <w:rPr>
      <w:color w:val="000000"/>
      <w:kern w:val="0"/>
      <w:sz w:val="20"/>
      <w:szCs w:val="2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FA29B2"/>
    <w:rPr>
      <w:color w:val="000000"/>
      <w:kern w:val="0"/>
      <w:sz w:val="20"/>
      <w:szCs w:val="20"/>
    </w:rPr>
    <w:tblPr>
      <w:tblStyleRowBandSize w:val="1"/>
      <w:tblStyleColBandSize w:val="1"/>
      <w:tblBorders>
        <w:top w:val="single" w:sz="8" w:space="0" w:color="F79646"/>
        <w:bottom w:val="single" w:sz="8" w:space="0" w:color="F79646"/>
      </w:tblBorders>
    </w:tblPr>
    <w:tblStylePr w:type="firstRow">
      <w:rPr>
        <w:rFonts w:ascii="DengXian" w:eastAsia="Times New Roman" w:hAnsi="DengXia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FA29B2"/>
    <w:rPr>
      <w:color w:val="000000"/>
      <w:kern w:val="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FA29B2"/>
    <w:rPr>
      <w:color w:val="000000"/>
      <w:kern w:val="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FA29B2"/>
    <w:rPr>
      <w:color w:val="000000"/>
      <w:kern w:val="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FA29B2"/>
    <w:rPr>
      <w:color w:val="000000"/>
      <w:kern w:val="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FA29B2"/>
    <w:rPr>
      <w:color w:val="000000"/>
      <w:kern w:val="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FA29B2"/>
    <w:rPr>
      <w:color w:val="000000"/>
      <w:kern w:val="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FA29B2"/>
    <w:rPr>
      <w:color w:val="000000"/>
      <w:kern w:val="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FA29B2"/>
    <w:rPr>
      <w:kern w:val="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A29B2"/>
    <w:rPr>
      <w:kern w:val="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FA29B2"/>
    <w:rPr>
      <w:kern w:val="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A29B2"/>
    <w:rPr>
      <w:kern w:val="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A29B2"/>
    <w:rPr>
      <w:kern w:val="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A29B2"/>
    <w:rPr>
      <w:kern w:val="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FA29B2"/>
    <w:rPr>
      <w:kern w:val="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FA29B2"/>
    <w:rPr>
      <w:kern w:val="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FA29B2"/>
    <w:rPr>
      <w:kern w:val="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FA29B2"/>
    <w:rPr>
      <w:kern w:val="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A29B2"/>
    <w:rPr>
      <w:kern w:val="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FA29B2"/>
    <w:rPr>
      <w:kern w:val="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FA29B2"/>
    <w:rPr>
      <w:kern w:val="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A29B2"/>
    <w:rPr>
      <w:kern w:val="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A29B2"/>
    <w:pPr>
      <w:pBdr>
        <w:top w:val="single" w:sz="6" w:space="1" w:color="auto"/>
        <w:left w:val="single" w:sz="6" w:space="1" w:color="auto"/>
        <w:bottom w:val="single" w:sz="6" w:space="1" w:color="auto"/>
        <w:right w:val="single" w:sz="6" w:space="1" w:color="auto"/>
      </w:pBdr>
      <w:shd w:val="pct20" w:color="auto" w:fill="auto"/>
      <w:ind w:left="1080" w:hanging="1080"/>
    </w:pPr>
    <w:rPr>
      <w:kern w:val="0"/>
      <w:sz w:val="24"/>
      <w:szCs w:val="24"/>
    </w:rPr>
  </w:style>
  <w:style w:type="character" w:customStyle="1" w:styleId="MessageHeaderChar">
    <w:name w:val="Message Header Char"/>
    <w:basedOn w:val="DefaultParagraphFont"/>
    <w:link w:val="MessageHeader"/>
    <w:uiPriority w:val="99"/>
    <w:semiHidden/>
    <w:rsid w:val="00FA29B2"/>
    <w:rPr>
      <w:kern w:val="0"/>
      <w:sz w:val="24"/>
      <w:szCs w:val="24"/>
      <w:shd w:val="pct20" w:color="auto" w:fill="auto"/>
    </w:rPr>
  </w:style>
  <w:style w:type="paragraph" w:styleId="NoSpacing">
    <w:name w:val="No Spacing"/>
    <w:uiPriority w:val="1"/>
    <w:qFormat/>
    <w:rsid w:val="00FA29B2"/>
    <w:pPr>
      <w:widowControl w:val="0"/>
    </w:pPr>
    <w:rPr>
      <w:rFonts w:ascii="Arial" w:hAnsi="Arial" w:cs="Arial"/>
      <w:kern w:val="0"/>
      <w:sz w:val="23"/>
    </w:rPr>
  </w:style>
  <w:style w:type="paragraph" w:styleId="NormalIndent">
    <w:name w:val="Normal Indent"/>
    <w:basedOn w:val="Normal"/>
    <w:uiPriority w:val="99"/>
    <w:semiHidden/>
    <w:unhideWhenUsed/>
    <w:rsid w:val="00FA29B2"/>
    <w:pPr>
      <w:ind w:left="720"/>
    </w:pPr>
    <w:rPr>
      <w:kern w:val="0"/>
    </w:rPr>
  </w:style>
  <w:style w:type="paragraph" w:styleId="NoteHeading">
    <w:name w:val="Note Heading"/>
    <w:basedOn w:val="Normal"/>
    <w:next w:val="Normal"/>
    <w:link w:val="NoteHeadingChar"/>
    <w:uiPriority w:val="99"/>
    <w:semiHidden/>
    <w:unhideWhenUsed/>
    <w:rsid w:val="00FA29B2"/>
    <w:rPr>
      <w:kern w:val="0"/>
    </w:rPr>
  </w:style>
  <w:style w:type="character" w:customStyle="1" w:styleId="NoteHeadingChar">
    <w:name w:val="Note Heading Char"/>
    <w:basedOn w:val="DefaultParagraphFont"/>
    <w:link w:val="NoteHeading"/>
    <w:uiPriority w:val="99"/>
    <w:semiHidden/>
    <w:rsid w:val="00FA29B2"/>
    <w:rPr>
      <w:kern w:val="0"/>
    </w:rPr>
  </w:style>
  <w:style w:type="paragraph" w:styleId="PlainText">
    <w:name w:val="Plain Text"/>
    <w:basedOn w:val="Normal"/>
    <w:link w:val="PlainTextChar"/>
    <w:uiPriority w:val="99"/>
    <w:semiHidden/>
    <w:unhideWhenUsed/>
    <w:rsid w:val="00FA29B2"/>
    <w:rPr>
      <w:kern w:val="0"/>
      <w:sz w:val="20"/>
    </w:rPr>
  </w:style>
  <w:style w:type="character" w:customStyle="1" w:styleId="PlainTextChar">
    <w:name w:val="Plain Text Char"/>
    <w:basedOn w:val="DefaultParagraphFont"/>
    <w:link w:val="PlainText"/>
    <w:uiPriority w:val="99"/>
    <w:semiHidden/>
    <w:rsid w:val="00FA29B2"/>
    <w:rPr>
      <w:kern w:val="0"/>
      <w:sz w:val="20"/>
    </w:rPr>
  </w:style>
  <w:style w:type="paragraph" w:styleId="Salutation">
    <w:name w:val="Salutation"/>
    <w:basedOn w:val="Normal"/>
    <w:next w:val="Normal"/>
    <w:link w:val="SalutationChar"/>
    <w:uiPriority w:val="99"/>
    <w:semiHidden/>
    <w:unhideWhenUsed/>
    <w:rsid w:val="00FA29B2"/>
    <w:rPr>
      <w:kern w:val="0"/>
    </w:rPr>
  </w:style>
  <w:style w:type="character" w:customStyle="1" w:styleId="SalutationChar">
    <w:name w:val="Salutation Char"/>
    <w:basedOn w:val="DefaultParagraphFont"/>
    <w:link w:val="Salutation"/>
    <w:uiPriority w:val="99"/>
    <w:semiHidden/>
    <w:rsid w:val="00FA29B2"/>
    <w:rPr>
      <w:kern w:val="0"/>
    </w:rPr>
  </w:style>
  <w:style w:type="paragraph" w:styleId="Signature">
    <w:name w:val="Signature"/>
    <w:basedOn w:val="Normal"/>
    <w:link w:val="SignatureChar"/>
    <w:uiPriority w:val="99"/>
    <w:semiHidden/>
    <w:unhideWhenUsed/>
    <w:rsid w:val="00FA29B2"/>
    <w:pPr>
      <w:ind w:left="4320"/>
    </w:pPr>
    <w:rPr>
      <w:kern w:val="0"/>
    </w:rPr>
  </w:style>
  <w:style w:type="character" w:customStyle="1" w:styleId="SignatureChar">
    <w:name w:val="Signature Char"/>
    <w:basedOn w:val="DefaultParagraphFont"/>
    <w:link w:val="Signature"/>
    <w:uiPriority w:val="99"/>
    <w:semiHidden/>
    <w:rsid w:val="00FA29B2"/>
    <w:rPr>
      <w:kern w:val="0"/>
    </w:rPr>
  </w:style>
  <w:style w:type="character" w:styleId="Strong">
    <w:name w:val="Strong"/>
    <w:uiPriority w:val="22"/>
    <w:qFormat/>
    <w:rsid w:val="00FA29B2"/>
    <w:rPr>
      <w:b/>
      <w:bCs/>
    </w:rPr>
  </w:style>
  <w:style w:type="character" w:styleId="SubtleEmphasis">
    <w:name w:val="Subtle Emphasis"/>
    <w:uiPriority w:val="19"/>
    <w:qFormat/>
    <w:rsid w:val="00FA29B2"/>
    <w:rPr>
      <w:i/>
      <w:iCs/>
      <w:color w:val="808080"/>
    </w:rPr>
  </w:style>
  <w:style w:type="character" w:styleId="SubtleReference">
    <w:name w:val="Subtle Reference"/>
    <w:uiPriority w:val="31"/>
    <w:qFormat/>
    <w:rsid w:val="00FA29B2"/>
    <w:rPr>
      <w:smallCaps/>
      <w:color w:val="C0504D"/>
      <w:u w:val="single"/>
    </w:rPr>
  </w:style>
  <w:style w:type="table" w:styleId="Table3Deffects1">
    <w:name w:val="Table 3D effects 1"/>
    <w:basedOn w:val="TableNormal"/>
    <w:uiPriority w:val="99"/>
    <w:semiHidden/>
    <w:unhideWhenUsed/>
    <w:rsid w:val="00FA29B2"/>
    <w:pPr>
      <w:widowControl w:val="0"/>
      <w:spacing w:line="216" w:lineRule="auto"/>
    </w:pPr>
    <w:rPr>
      <w:kern w:val="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A29B2"/>
    <w:pPr>
      <w:widowControl w:val="0"/>
      <w:spacing w:line="216" w:lineRule="auto"/>
    </w:pPr>
    <w:rPr>
      <w:kern w:val="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A29B2"/>
    <w:pPr>
      <w:widowControl w:val="0"/>
      <w:spacing w:line="216" w:lineRule="auto"/>
    </w:pPr>
    <w:rPr>
      <w:kern w:val="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A29B2"/>
    <w:pPr>
      <w:widowControl w:val="0"/>
      <w:spacing w:line="216" w:lineRule="auto"/>
    </w:pPr>
    <w:rPr>
      <w:kern w:val="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A29B2"/>
    <w:pPr>
      <w:widowControl w:val="0"/>
      <w:spacing w:line="216" w:lineRule="auto"/>
    </w:pPr>
    <w:rPr>
      <w:kern w:val="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A29B2"/>
    <w:pPr>
      <w:widowControl w:val="0"/>
      <w:spacing w:line="216" w:lineRule="auto"/>
    </w:pPr>
    <w:rPr>
      <w:color w:val="000080"/>
      <w:kern w:val="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A29B2"/>
    <w:pPr>
      <w:widowControl w:val="0"/>
      <w:spacing w:line="216" w:lineRule="auto"/>
    </w:pPr>
    <w:rPr>
      <w:kern w:val="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A29B2"/>
    <w:pPr>
      <w:widowControl w:val="0"/>
      <w:spacing w:line="216" w:lineRule="auto"/>
    </w:pPr>
    <w:rPr>
      <w:color w:val="FFFFFF"/>
      <w:kern w:val="0"/>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A29B2"/>
    <w:pPr>
      <w:widowControl w:val="0"/>
      <w:spacing w:line="216" w:lineRule="auto"/>
    </w:pPr>
    <w:rPr>
      <w:kern w:val="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A29B2"/>
    <w:pPr>
      <w:widowControl w:val="0"/>
      <w:spacing w:line="216" w:lineRule="auto"/>
    </w:pPr>
    <w:rPr>
      <w:kern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A29B2"/>
    <w:pPr>
      <w:widowControl w:val="0"/>
      <w:spacing w:line="216" w:lineRule="auto"/>
    </w:pPr>
    <w:rPr>
      <w:b/>
      <w:bCs/>
      <w:kern w:val="0"/>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A29B2"/>
    <w:pPr>
      <w:widowControl w:val="0"/>
      <w:spacing w:line="216" w:lineRule="auto"/>
    </w:pPr>
    <w:rPr>
      <w:b/>
      <w:bCs/>
      <w:kern w:val="0"/>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A29B2"/>
    <w:pPr>
      <w:widowControl w:val="0"/>
      <w:spacing w:line="216" w:lineRule="auto"/>
    </w:pPr>
    <w:rPr>
      <w:b/>
      <w:bCs/>
      <w:kern w:val="0"/>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A29B2"/>
    <w:pPr>
      <w:widowControl w:val="0"/>
      <w:spacing w:line="216" w:lineRule="auto"/>
    </w:pPr>
    <w:rPr>
      <w:kern w:val="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A29B2"/>
    <w:pPr>
      <w:widowControl w:val="0"/>
      <w:spacing w:line="216" w:lineRule="auto"/>
    </w:pPr>
    <w:rPr>
      <w:kern w:val="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A29B2"/>
    <w:pPr>
      <w:widowControl w:val="0"/>
      <w:spacing w:line="216" w:lineRule="auto"/>
    </w:pPr>
    <w:rPr>
      <w:kern w:val="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A29B2"/>
    <w:pPr>
      <w:widowControl w:val="0"/>
      <w:spacing w:line="216" w:lineRule="auto"/>
    </w:pPr>
    <w:rPr>
      <w:kern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FA29B2"/>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FA29B2"/>
    <w:pPr>
      <w:widowControl w:val="0"/>
      <w:spacing w:line="216" w:lineRule="auto"/>
    </w:pPr>
    <w:rPr>
      <w:kern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A29B2"/>
    <w:pPr>
      <w:widowControl w:val="0"/>
      <w:spacing w:line="216" w:lineRule="auto"/>
    </w:pPr>
    <w:rPr>
      <w:kern w:val="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A29B2"/>
    <w:pPr>
      <w:widowControl w:val="0"/>
      <w:spacing w:line="216" w:lineRule="auto"/>
    </w:pPr>
    <w:rPr>
      <w:kern w:val="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A29B2"/>
    <w:pPr>
      <w:widowControl w:val="0"/>
      <w:spacing w:line="216" w:lineRule="auto"/>
    </w:pPr>
    <w:rPr>
      <w:kern w:val="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A29B2"/>
    <w:pPr>
      <w:widowControl w:val="0"/>
      <w:spacing w:line="216" w:lineRule="auto"/>
    </w:pPr>
    <w:rPr>
      <w:kern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A29B2"/>
    <w:pPr>
      <w:widowControl w:val="0"/>
      <w:spacing w:line="216" w:lineRule="auto"/>
    </w:pPr>
    <w:rPr>
      <w:kern w:val="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A29B2"/>
    <w:pPr>
      <w:widowControl w:val="0"/>
      <w:spacing w:line="216" w:lineRule="auto"/>
    </w:pPr>
    <w:rPr>
      <w:b/>
      <w:bCs/>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A29B2"/>
    <w:pPr>
      <w:widowControl w:val="0"/>
      <w:spacing w:line="216" w:lineRule="auto"/>
    </w:pPr>
    <w:rPr>
      <w:kern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A29B2"/>
    <w:pPr>
      <w:widowControl w:val="0"/>
      <w:spacing w:line="216" w:lineRule="auto"/>
    </w:pPr>
    <w:rPr>
      <w:kern w:val="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A29B2"/>
    <w:pPr>
      <w:widowControl w:val="0"/>
      <w:spacing w:line="216" w:lineRule="auto"/>
    </w:pPr>
    <w:rPr>
      <w:kern w:val="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A29B2"/>
    <w:pPr>
      <w:widowControl w:val="0"/>
      <w:spacing w:line="216" w:lineRule="auto"/>
    </w:pPr>
    <w:rPr>
      <w:kern w:val="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A29B2"/>
    <w:pPr>
      <w:widowControl w:val="0"/>
      <w:spacing w:line="216" w:lineRule="auto"/>
    </w:pPr>
    <w:rPr>
      <w:kern w:val="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A29B2"/>
    <w:pPr>
      <w:widowControl w:val="0"/>
      <w:spacing w:line="216" w:lineRule="auto"/>
    </w:pPr>
    <w:rPr>
      <w:kern w:val="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A29B2"/>
    <w:pPr>
      <w:widowControl w:val="0"/>
      <w:spacing w:line="216" w:lineRule="auto"/>
    </w:pPr>
    <w:rPr>
      <w:kern w:val="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A29B2"/>
    <w:pPr>
      <w:widowControl w:val="0"/>
      <w:spacing w:line="216" w:lineRule="auto"/>
    </w:pPr>
    <w:rPr>
      <w:kern w:val="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A29B2"/>
    <w:pPr>
      <w:widowControl w:val="0"/>
      <w:spacing w:line="216" w:lineRule="auto"/>
    </w:pPr>
    <w:rPr>
      <w:kern w:val="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A29B2"/>
    <w:pPr>
      <w:ind w:left="230" w:hanging="230"/>
    </w:pPr>
    <w:rPr>
      <w:kern w:val="0"/>
    </w:rPr>
  </w:style>
  <w:style w:type="paragraph" w:styleId="TableofFigures">
    <w:name w:val="table of figures"/>
    <w:basedOn w:val="Normal"/>
    <w:next w:val="Normal"/>
    <w:uiPriority w:val="99"/>
    <w:semiHidden/>
    <w:unhideWhenUsed/>
    <w:rsid w:val="00FA29B2"/>
    <w:rPr>
      <w:kern w:val="0"/>
    </w:rPr>
  </w:style>
  <w:style w:type="table" w:styleId="TableProfessional">
    <w:name w:val="Table Professional"/>
    <w:basedOn w:val="TableNormal"/>
    <w:uiPriority w:val="99"/>
    <w:semiHidden/>
    <w:unhideWhenUsed/>
    <w:rsid w:val="00FA29B2"/>
    <w:pPr>
      <w:widowControl w:val="0"/>
      <w:spacing w:line="216" w:lineRule="auto"/>
    </w:pPr>
    <w:rPr>
      <w:kern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A29B2"/>
    <w:pPr>
      <w:widowControl w:val="0"/>
      <w:spacing w:line="216" w:lineRule="auto"/>
    </w:pPr>
    <w:rPr>
      <w:kern w:val="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A29B2"/>
    <w:pPr>
      <w:widowControl w:val="0"/>
      <w:spacing w:line="216" w:lineRule="auto"/>
    </w:pPr>
    <w:rPr>
      <w:kern w:val="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A29B2"/>
    <w:pPr>
      <w:widowControl w:val="0"/>
      <w:spacing w:line="216" w:lineRule="auto"/>
    </w:pPr>
    <w:rPr>
      <w:kern w:val="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A29B2"/>
    <w:pPr>
      <w:widowControl w:val="0"/>
      <w:spacing w:line="216" w:lineRule="auto"/>
    </w:pPr>
    <w:rPr>
      <w:kern w:val="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A29B2"/>
    <w:pPr>
      <w:widowControl w:val="0"/>
      <w:spacing w:line="216" w:lineRule="auto"/>
    </w:pPr>
    <w:rPr>
      <w:kern w:val="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A29B2"/>
    <w:pPr>
      <w:widowControl w:val="0"/>
      <w:spacing w:line="216"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A29B2"/>
    <w:pPr>
      <w:widowControl w:val="0"/>
      <w:spacing w:line="216" w:lineRule="auto"/>
    </w:pPr>
    <w:rPr>
      <w:kern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A29B2"/>
    <w:pPr>
      <w:widowControl w:val="0"/>
      <w:spacing w:line="216" w:lineRule="auto"/>
    </w:pPr>
    <w:rPr>
      <w:kern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A29B2"/>
    <w:pPr>
      <w:widowControl w:val="0"/>
      <w:spacing w:line="216" w:lineRule="auto"/>
    </w:pPr>
    <w:rPr>
      <w:kern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A29B2"/>
    <w:pPr>
      <w:spacing w:before="120"/>
    </w:pPr>
    <w:rPr>
      <w:b/>
      <w:bCs/>
      <w:kern w:val="0"/>
      <w:sz w:val="24"/>
      <w:szCs w:val="24"/>
    </w:rPr>
  </w:style>
  <w:style w:type="paragraph" w:styleId="TOCHeading">
    <w:name w:val="TOC Heading"/>
    <w:basedOn w:val="Heading1"/>
    <w:next w:val="Normal"/>
    <w:uiPriority w:val="39"/>
    <w:semiHidden/>
    <w:unhideWhenUsed/>
    <w:qFormat/>
    <w:rsid w:val="00FA29B2"/>
    <w:pPr>
      <w:keepLines w:val="0"/>
      <w:widowControl w:val="0"/>
      <w:spacing w:before="240" w:after="60" w:line="216" w:lineRule="auto"/>
      <w:outlineLvl w:val="9"/>
    </w:pPr>
    <w:rPr>
      <w:rFonts w:asciiTheme="minorHAnsi" w:eastAsiaTheme="minorHAnsi" w:hAnsiTheme="minorHAnsi" w:cstheme="minorBidi"/>
      <w:b/>
      <w:bCs/>
      <w:color w:val="auto"/>
      <w:kern w:val="32"/>
      <w:sz w:val="32"/>
      <w:szCs w:val="32"/>
    </w:rPr>
  </w:style>
  <w:style w:type="paragraph" w:customStyle="1" w:styleId="EntACP">
    <w:name w:val="EntACP"/>
    <w:basedOn w:val="Normal"/>
    <w:rsid w:val="00FA29B2"/>
    <w:pPr>
      <w:spacing w:line="360" w:lineRule="auto"/>
      <w:jc w:val="center"/>
    </w:pPr>
    <w:rPr>
      <w:b/>
      <w:bCs/>
      <w:kern w:val="0"/>
      <w:sz w:val="28"/>
      <w:szCs w:val="28"/>
    </w:rPr>
  </w:style>
  <w:style w:type="paragraph" w:customStyle="1" w:styleId="EntASSOC">
    <w:name w:val="EntASSOC"/>
    <w:basedOn w:val="Normal"/>
    <w:rsid w:val="00FA29B2"/>
    <w:pPr>
      <w:jc w:val="center"/>
    </w:pPr>
    <w:rPr>
      <w:b/>
      <w:bCs/>
      <w:kern w:val="0"/>
    </w:rPr>
  </w:style>
  <w:style w:type="paragraph" w:customStyle="1" w:styleId="EntEU">
    <w:name w:val="EntEU"/>
    <w:basedOn w:val="Normal"/>
    <w:rsid w:val="00FA29B2"/>
    <w:pPr>
      <w:spacing w:before="240" w:after="240"/>
      <w:jc w:val="center"/>
    </w:pPr>
    <w:rPr>
      <w:b/>
      <w:bCs/>
      <w:kern w:val="0"/>
      <w:sz w:val="36"/>
      <w:szCs w:val="36"/>
    </w:rPr>
  </w:style>
  <w:style w:type="paragraph" w:customStyle="1" w:styleId="EntInstitACP">
    <w:name w:val="EntInstitACP"/>
    <w:basedOn w:val="Normal"/>
    <w:rsid w:val="00FA29B2"/>
    <w:pPr>
      <w:jc w:val="center"/>
    </w:pPr>
    <w:rPr>
      <w:b/>
      <w:bCs/>
      <w:kern w:val="0"/>
    </w:rPr>
  </w:style>
  <w:style w:type="paragraph" w:customStyle="1" w:styleId="EntReferNew">
    <w:name w:val="EntReferNew"/>
    <w:basedOn w:val="EntRefer"/>
    <w:rsid w:val="00FA29B2"/>
    <w:pPr>
      <w:spacing w:after="160" w:line="259" w:lineRule="auto"/>
      <w:jc w:val="center"/>
    </w:pPr>
    <w:rPr>
      <w:rFonts w:asciiTheme="minorHAnsi" w:hAnsiTheme="minorHAnsi" w:cstheme="minorBidi"/>
      <w:bCs/>
      <w:sz w:val="22"/>
    </w:rPr>
  </w:style>
  <w:style w:type="paragraph" w:customStyle="1" w:styleId="Pagedecouverture">
    <w:name w:val="Page de couverture"/>
    <w:basedOn w:val="Normal"/>
    <w:next w:val="Normal"/>
    <w:rsid w:val="00FA29B2"/>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FA29B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A29B2"/>
    <w:rPr>
      <w:rFonts w:ascii="Times New Roman" w:hAnsi="Times New Roman" w:cs="Times New Roman"/>
      <w:sz w:val="24"/>
    </w:rPr>
  </w:style>
  <w:style w:type="paragraph" w:customStyle="1" w:styleId="FooterSensitivity">
    <w:name w:val="Footer Sensitivity"/>
    <w:basedOn w:val="Normal"/>
    <w:link w:val="FooterSensitivityChar"/>
    <w:rsid w:val="00FA29B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A29B2"/>
    <w:rPr>
      <w:rFonts w:ascii="Times New Roman" w:hAnsi="Times New Roman" w:cs="Times New Roman"/>
      <w:b/>
      <w:sz w:val="32"/>
    </w:rPr>
  </w:style>
  <w:style w:type="paragraph" w:customStyle="1" w:styleId="HeaderCoverPage">
    <w:name w:val="Header Cover Page"/>
    <w:basedOn w:val="Normal"/>
    <w:link w:val="HeaderCoverPageChar"/>
    <w:rsid w:val="00FA29B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A29B2"/>
    <w:rPr>
      <w:rFonts w:ascii="Times New Roman" w:hAnsi="Times New Roman" w:cs="Times New Roman"/>
      <w:sz w:val="24"/>
    </w:rPr>
  </w:style>
  <w:style w:type="paragraph" w:customStyle="1" w:styleId="HeaderSensitivity">
    <w:name w:val="Header Sensitivity"/>
    <w:basedOn w:val="Normal"/>
    <w:link w:val="HeaderSensitivityChar"/>
    <w:rsid w:val="00FA29B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A29B2"/>
    <w:rPr>
      <w:rFonts w:ascii="Times New Roman" w:hAnsi="Times New Roman" w:cs="Times New Roman"/>
      <w:b/>
      <w:sz w:val="32"/>
    </w:rPr>
  </w:style>
  <w:style w:type="paragraph" w:customStyle="1" w:styleId="HeaderSensitivityRight">
    <w:name w:val="Header Sensitivity Right"/>
    <w:basedOn w:val="Normal"/>
    <w:link w:val="HeaderSensitivityRightChar"/>
    <w:rsid w:val="00FA29B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A29B2"/>
    <w:rPr>
      <w:rFonts w:ascii="Times New Roman" w:hAnsi="Times New Roman" w:cs="Times New Roman"/>
      <w:sz w:val="28"/>
    </w:rPr>
  </w:style>
  <w:style w:type="character" w:customStyle="1" w:styleId="Mention3">
    <w:name w:val="Mention3"/>
    <w:basedOn w:val="DefaultParagraphFont"/>
    <w:uiPriority w:val="99"/>
    <w:unhideWhenUsed/>
    <w:rsid w:val="00FA29B2"/>
    <w:rPr>
      <w:color w:val="2B579A"/>
      <w:shd w:val="clear" w:color="auto" w:fill="E1DFDD"/>
    </w:rPr>
  </w:style>
  <w:style w:type="paragraph" w:customStyle="1" w:styleId="Disclaimer">
    <w:name w:val="Disclaimer"/>
    <w:basedOn w:val="Normal"/>
    <w:rsid w:val="00FA29B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rPr>
  </w:style>
  <w:style w:type="paragraph" w:customStyle="1" w:styleId="SecurityMarking">
    <w:name w:val="SecurityMarking"/>
    <w:basedOn w:val="Normal"/>
    <w:rsid w:val="00FA29B2"/>
    <w:pPr>
      <w:spacing w:after="0" w:line="276" w:lineRule="auto"/>
      <w:ind w:left="5103"/>
    </w:pPr>
    <w:rPr>
      <w:rFonts w:ascii="Times New Roman" w:hAnsi="Times New Roman" w:cs="Times New Roman"/>
      <w:kern w:val="0"/>
      <w:sz w:val="28"/>
    </w:rPr>
  </w:style>
  <w:style w:type="paragraph" w:customStyle="1" w:styleId="DateMarking">
    <w:name w:val="DateMarking"/>
    <w:basedOn w:val="Normal"/>
    <w:rsid w:val="00FA29B2"/>
    <w:pPr>
      <w:spacing w:after="0" w:line="276" w:lineRule="auto"/>
      <w:ind w:left="5103"/>
    </w:pPr>
    <w:rPr>
      <w:rFonts w:ascii="Times New Roman" w:hAnsi="Times New Roman" w:cs="Times New Roman"/>
      <w:i/>
      <w:kern w:val="0"/>
      <w:sz w:val="28"/>
    </w:rPr>
  </w:style>
  <w:style w:type="paragraph" w:customStyle="1" w:styleId="ReleasableTo">
    <w:name w:val="ReleasableTo"/>
    <w:basedOn w:val="Normal"/>
    <w:rsid w:val="00FA29B2"/>
    <w:pPr>
      <w:spacing w:after="0" w:line="276" w:lineRule="auto"/>
      <w:ind w:left="5103"/>
    </w:pPr>
    <w:rPr>
      <w:rFonts w:ascii="Times New Roman" w:hAnsi="Times New Roman" w:cs="Times New Roman"/>
      <w:i/>
      <w:kern w:val="0"/>
      <w:sz w:val="28"/>
    </w:rPr>
  </w:style>
  <w:style w:type="paragraph" w:customStyle="1" w:styleId="Languesfaisantfoi">
    <w:name w:val="Langues faisant foi"/>
    <w:basedOn w:val="Normal"/>
    <w:next w:val="Normal"/>
    <w:rsid w:val="00FA29B2"/>
    <w:pPr>
      <w:spacing w:before="360" w:after="240" w:line="240" w:lineRule="auto"/>
      <w:jc w:val="center"/>
    </w:pPr>
    <w:rPr>
      <w:rFonts w:ascii="Times New Roman" w:hAnsi="Times New Roman" w:cs="Times New Roman"/>
      <w:kern w:val="0"/>
      <w:sz w:val="24"/>
    </w:rPr>
  </w:style>
  <w:style w:type="paragraph" w:customStyle="1" w:styleId="LanguesfaisantfoiPagedecouverture">
    <w:name w:val="Langues faisant foi (Page de couverture)"/>
    <w:basedOn w:val="Normal"/>
    <w:next w:val="Normal"/>
    <w:rsid w:val="00FA29B2"/>
    <w:pPr>
      <w:spacing w:before="360" w:after="240" w:line="240" w:lineRule="auto"/>
      <w:jc w:val="center"/>
    </w:pPr>
    <w:rPr>
      <w:rFonts w:ascii="Times New Roman" w:hAnsi="Times New Roman" w:cs="Times New Roman"/>
      <w:kern w:val="0"/>
      <w:sz w:val="24"/>
    </w:rPr>
  </w:style>
  <w:style w:type="paragraph" w:customStyle="1" w:styleId="IntrtEEE">
    <w:name w:val="Intérêt EEE"/>
    <w:basedOn w:val="Languesfaisantfoi"/>
    <w:next w:val="Normal"/>
    <w:rsid w:val="00FA29B2"/>
    <w:pPr>
      <w:spacing w:after="0"/>
    </w:pPr>
  </w:style>
  <w:style w:type="paragraph" w:customStyle="1" w:styleId="IntrtEEEPagedecouverture">
    <w:name w:val="Intérêt EEE (Page de couverture)"/>
    <w:basedOn w:val="IntrtEEE"/>
    <w:next w:val="Normal"/>
    <w:rsid w:val="00FA29B2"/>
  </w:style>
  <w:style w:type="character" w:customStyle="1" w:styleId="Mention">
    <w:name w:val="Mention"/>
    <w:basedOn w:val="DefaultParagraphFont"/>
    <w:uiPriority w:val="99"/>
    <w:unhideWhenUsed/>
    <w:rsid w:val="00FA29B2"/>
    <w:rPr>
      <w:color w:val="2B579A"/>
      <w:shd w:val="clear" w:color="auto" w:fill="E1DFDD"/>
    </w:rPr>
  </w:style>
  <w:style w:type="paragraph" w:customStyle="1" w:styleId="P68B1DB1-TechnicalBlock1">
    <w:name w:val="P68B1DB1-TechnicalBlock1"/>
    <w:basedOn w:val="TechnicalBlock"/>
    <w:rPr>
      <w:rFonts w:eastAsia="Calibri"/>
      <w:b/>
      <w:szCs w:val="24"/>
    </w:rPr>
  </w:style>
  <w:style w:type="paragraph" w:customStyle="1" w:styleId="P68B1DB1-Normal24">
    <w:name w:val="P68B1DB1-Normal24"/>
    <w:basedOn w:val="Normal"/>
    <w:rPr>
      <w:rFonts w:ascii="Times New Roman" w:eastAsia="Calibri" w:hAnsi="Times New Roman" w:cs="Times New Roman"/>
      <w:b/>
      <w:sz w:val="24"/>
      <w:szCs w:val="24"/>
    </w:rPr>
  </w:style>
  <w:style w:type="paragraph" w:customStyle="1" w:styleId="P68B1DB1-Normal32">
    <w:name w:val="P68B1DB1-Normal32"/>
    <w:basedOn w:val="Normal"/>
    <w:rPr>
      <w:rFonts w:ascii="Times New Roman" w:eastAsia="Calibri" w:hAnsi="Times New Roman" w:cs="Times New Roman"/>
      <w:b/>
      <w:smallCaps/>
      <w:sz w:val="24"/>
      <w:szCs w:val="24"/>
    </w:rPr>
  </w:style>
  <w:style w:type="paragraph" w:customStyle="1" w:styleId="P68B1DB1-Normal33">
    <w:name w:val="P68B1DB1-Normal33"/>
    <w:basedOn w:val="Normal"/>
    <w:rPr>
      <w:rFonts w:ascii="Times New Roman" w:eastAsia="Calibri" w:hAnsi="Times New Roman" w:cs="Times New Roman"/>
      <w:sz w:val="24"/>
      <w:szCs w:val="24"/>
    </w:rPr>
  </w:style>
  <w:style w:type="paragraph" w:customStyle="1" w:styleId="P68B1DB1-Normal34">
    <w:name w:val="P68B1DB1-Normal34"/>
    <w:basedOn w:val="Normal"/>
    <w:rPr>
      <w:sz w:val="24"/>
      <w:szCs w:val="24"/>
    </w:rPr>
  </w:style>
  <w:style w:type="paragraph" w:customStyle="1" w:styleId="P68B1DB1-Normal42">
    <w:name w:val="P68B1DB1-Normal42"/>
    <w:basedOn w:val="Normal"/>
    <w:rPr>
      <w:rFonts w:ascii="Times New Roman" w:eastAsia="Calibri" w:hAnsi="Times New Roman" w:cs="Times New Roman"/>
      <w:sz w:val="24"/>
      <w:szCs w:val="24"/>
      <w:u w:val="single"/>
    </w:rPr>
  </w:style>
  <w:style w:type="paragraph" w:customStyle="1" w:styleId="P68B1DB1-ListParagraph43">
    <w:name w:val="P68B1DB1-ListParagraph43"/>
    <w:basedOn w:val="ListParagraph"/>
    <w:rPr>
      <w:rFonts w:ascii="Times New Roman" w:eastAsia="Calibri" w:hAnsi="Times New Roman" w:cs="Times New Roman"/>
      <w:sz w:val="24"/>
      <w:szCs w:val="24"/>
    </w:rPr>
  </w:style>
  <w:style w:type="paragraph" w:customStyle="1" w:styleId="P68B1DB1-Normal46">
    <w:name w:val="P68B1DB1-Normal46"/>
    <w:basedOn w:val="Normal"/>
    <w:rPr>
      <w:rFonts w:ascii="Times New Roman" w:hAnsi="Times New Roman" w:cs="Times New Roman"/>
      <w:sz w:val="24"/>
      <w:szCs w:val="24"/>
    </w:rPr>
  </w:style>
  <w:style w:type="paragraph" w:customStyle="1" w:styleId="P68B1DB1-Normal57">
    <w:name w:val="P68B1DB1-Normal57"/>
    <w:basedOn w:val="Normal"/>
    <w:rPr>
      <w:rFonts w:ascii="Times New Roman" w:eastAsia="SimSun" w:hAnsi="Times New Roman" w:cs="Times New Roman"/>
      <w:b/>
      <w:sz w:val="24"/>
      <w:szCs w:val="24"/>
      <w:u w:val="single"/>
    </w:rPr>
  </w:style>
  <w:style w:type="paragraph" w:customStyle="1" w:styleId="P68B1DB1-Normal58">
    <w:name w:val="P68B1DB1-Normal58"/>
    <w:basedOn w:val="Normal"/>
    <w:rPr>
      <w:rFonts w:ascii="Times New Roman" w:eastAsia="Times New Roman" w:hAnsi="Times New Roman" w:cs="Times New Roman"/>
      <w:b/>
      <w:sz w:val="20"/>
      <w:szCs w:val="20"/>
    </w:rPr>
  </w:style>
  <w:style w:type="paragraph" w:customStyle="1" w:styleId="P68B1DB1-Normal59">
    <w:name w:val="P68B1DB1-Normal59"/>
    <w:basedOn w:val="Normal"/>
    <w:rPr>
      <w:sz w:val="20"/>
      <w:szCs w:val="20"/>
    </w:rPr>
  </w:style>
  <w:style w:type="paragraph" w:customStyle="1" w:styleId="P68B1DB1-Normal66">
    <w:name w:val="P68B1DB1-Normal66"/>
    <w:basedOn w:val="Normal"/>
    <w:rPr>
      <w:rFonts w:ascii="Times New Roman" w:eastAsia="Calibri" w:hAnsi="Times New Roman" w:cs="Times New Roman"/>
      <w:color w:val="000000"/>
      <w:sz w:val="20"/>
      <w:szCs w:val="20"/>
    </w:rPr>
  </w:style>
  <w:style w:type="paragraph" w:customStyle="1" w:styleId="P68B1DB1-Normal70">
    <w:name w:val="P68B1DB1-Normal70"/>
    <w:basedOn w:val="Normal"/>
    <w:rPr>
      <w:rFonts w:ascii="Times New Roman" w:eastAsia="Calibri" w:hAnsi="Times New Roman" w:cs="Times New Roman"/>
      <w:sz w:val="20"/>
      <w:szCs w:val="20"/>
    </w:rPr>
  </w:style>
  <w:style w:type="paragraph" w:customStyle="1" w:styleId="P68B1DB1-Normal76">
    <w:name w:val="P68B1DB1-Normal76"/>
    <w:basedOn w:val="Normal"/>
    <w:rPr>
      <w:rFonts w:ascii="Times New Roman" w:eastAsia="Times New Roman" w:hAnsi="Times New Roman" w:cs="Times New Roman"/>
      <w:sz w:val="20"/>
      <w:szCs w:val="20"/>
    </w:rPr>
  </w:style>
  <w:style w:type="paragraph" w:customStyle="1" w:styleId="P68B1DB1-ListParagraph77">
    <w:name w:val="P68B1DB1-ListParagraph77"/>
    <w:basedOn w:val="ListParagraph"/>
    <w:rPr>
      <w:rFonts w:ascii="Times New Roman" w:eastAsia="Times New Roman" w:hAnsi="Times New Roman" w:cs="Times New Roman"/>
      <w:sz w:val="20"/>
      <w:szCs w:val="20"/>
    </w:rPr>
  </w:style>
  <w:style w:type="paragraph" w:customStyle="1" w:styleId="P68B1DB1-ListParagraph78">
    <w:name w:val="P68B1DB1-ListParagraph78"/>
    <w:basedOn w:val="ListParagraph"/>
    <w:rPr>
      <w:rFonts w:ascii="Times New Roman" w:eastAsia="Calibri" w:hAnsi="Times New Roman" w:cs="Times New Roman"/>
      <w:color w:val="000000"/>
      <w:sz w:val="20"/>
      <w:szCs w:val="20"/>
    </w:rPr>
  </w:style>
  <w:style w:type="paragraph" w:customStyle="1" w:styleId="P68B1DB1-ListParagraph79">
    <w:name w:val="P68B1DB1-ListParagraph79"/>
    <w:basedOn w:val="ListParagraph"/>
    <w:rPr>
      <w:sz w:val="20"/>
      <w:szCs w:val="20"/>
    </w:rPr>
  </w:style>
  <w:style w:type="paragraph" w:customStyle="1" w:styleId="P68B1DB1-Normal80">
    <w:name w:val="P68B1DB1-Normal80"/>
    <w:basedOn w:val="Normal"/>
    <w:rPr>
      <w:sz w:val="24"/>
      <w:szCs w:val="24"/>
      <w:u w:val="single"/>
    </w:rPr>
  </w:style>
  <w:style w:type="paragraph" w:customStyle="1" w:styleId="P68B1DB1-Normal81">
    <w:name w:val="P68B1DB1-Normal81"/>
    <w:basedOn w:val="Normal"/>
    <w:rPr>
      <w:rFonts w:ascii="Times New Roman" w:hAnsi="Times New Roman" w:cs="Times New Roman"/>
      <w:sz w:val="24"/>
      <w:szCs w:val="24"/>
      <w:u w:val="single"/>
    </w:rPr>
  </w:style>
  <w:style w:type="paragraph" w:customStyle="1" w:styleId="P68B1DB1-Normal82">
    <w:name w:val="P68B1DB1-Normal82"/>
    <w:basedOn w:val="Normal"/>
    <w:rPr>
      <w:rFonts w:ascii="Times New Roman" w:eastAsia="Times New Roman" w:hAnsi="Times New Roman" w:cs="Times New Roman"/>
      <w:sz w:val="24"/>
      <w:szCs w:val="24"/>
      <w:u w:val="single"/>
    </w:rPr>
  </w:style>
  <w:style w:type="paragraph" w:customStyle="1" w:styleId="P68B1DB1-Normal83">
    <w:name w:val="P68B1DB1-Normal83"/>
    <w:basedOn w:val="Normal"/>
    <w:rPr>
      <w:rFonts w:ascii="Times New Roman" w:eastAsia="Times New Roman" w:hAnsi="Times New Roman" w:cs="Times New Roman"/>
      <w:sz w:val="24"/>
      <w:szCs w:val="24"/>
    </w:rPr>
  </w:style>
  <w:style w:type="paragraph" w:customStyle="1" w:styleId="P68B1DB1-Normal84">
    <w:name w:val="P68B1DB1-Normal84"/>
    <w:basedOn w:val="Normal"/>
    <w:rPr>
      <w:rFonts w:ascii="Times New Roman" w:eastAsia="Aptos" w:hAnsi="Times New Roman" w:cs="Times New Roman"/>
      <w:sz w:val="24"/>
      <w:szCs w:val="24"/>
      <w14:ligatures w14:val="none"/>
    </w:rPr>
  </w:style>
  <w:style w:type="paragraph" w:customStyle="1" w:styleId="P68B1DB1-Normal85">
    <w:name w:val="P68B1DB1-Normal85"/>
    <w:basedOn w:val="Normal"/>
    <w:rPr>
      <w:rFonts w:ascii="Times New Roman" w:eastAsiaTheme="majorEastAsia" w:hAnsi="Times New Roman" w:cs="Times New Roman"/>
      <w:sz w:val="24"/>
      <w:szCs w:val="24"/>
    </w:rPr>
  </w:style>
  <w:style w:type="paragraph" w:customStyle="1" w:styleId="P68B1DB1-Normal86">
    <w:name w:val="P68B1DB1-Normal86"/>
    <w:basedOn w:val="Normal"/>
    <w:rPr>
      <w:rFonts w:ascii="Times New Roman" w:eastAsiaTheme="majorEastAsia" w:hAnsi="Times New Roman" w:cs="Times New Roman"/>
      <w:sz w:val="24"/>
      <w:szCs w:val="24"/>
      <w14:ligatures w14:val="none"/>
    </w:rPr>
  </w:style>
  <w:style w:type="paragraph" w:customStyle="1" w:styleId="P68B1DB1-Normal87">
    <w:name w:val="P68B1DB1-Normal87"/>
    <w:basedOn w:val="Normal"/>
    <w:rPr>
      <w:rFonts w:ascii="Times New Roman" w:eastAsia="Times New Roman" w:hAnsi="Times New Roman" w:cs="Times New Roman"/>
      <w:b/>
      <w:color w:val="000000" w:themeColor="text1"/>
      <w:sz w:val="20"/>
      <w:szCs w:val="20"/>
    </w:rPr>
  </w:style>
  <w:style w:type="paragraph" w:customStyle="1" w:styleId="P68B1DB1-paragraph88">
    <w:name w:val="P68B1DB1-paragraph88"/>
    <w:basedOn w:val="paragraph"/>
    <w:rPr>
      <w:rFonts w:eastAsia="Calibri"/>
      <w:sz w:val="20"/>
    </w:rPr>
  </w:style>
  <w:style w:type="paragraph" w:customStyle="1" w:styleId="P68B1DB1-Normal89">
    <w:name w:val="P68B1DB1-Normal89"/>
    <w:basedOn w:val="Normal"/>
    <w:rPr>
      <w:rFonts w:ascii="Times New Roman" w:hAnsi="Times New Roman" w:cs="Times New Roman"/>
      <w:sz w:val="20"/>
      <w:szCs w:val="20"/>
    </w:rPr>
  </w:style>
  <w:style w:type="paragraph" w:customStyle="1" w:styleId="P68B1DB1-ListParagraph90">
    <w:name w:val="P68B1DB1-ListParagraph90"/>
    <w:basedOn w:val="ListParagraph"/>
    <w:rPr>
      <w:rFonts w:ascii="Times New Roman" w:hAnsi="Times New Roman" w:cs="Times New Roman"/>
      <w:sz w:val="20"/>
      <w:szCs w:val="20"/>
    </w:rPr>
  </w:style>
  <w:style w:type="paragraph" w:customStyle="1" w:styleId="P68B1DB1-Normal91">
    <w:name w:val="P68B1DB1-Normal91"/>
    <w:basedOn w:val="Normal"/>
    <w:rPr>
      <w:rFonts w:ascii="Times New Roman" w:eastAsia="Calibri" w:hAnsi="Times New Roman" w:cs="Times New Roman"/>
      <w:b/>
      <w:smallCaps/>
      <w:sz w:val="24"/>
      <w:szCs w:val="28"/>
    </w:rPr>
  </w:style>
  <w:style w:type="paragraph" w:customStyle="1" w:styleId="P68B1DB1-Normal92">
    <w:name w:val="P68B1DB1-Normal92"/>
    <w:basedOn w:val="Normal"/>
    <w:rPr>
      <w:rFonts w:ascii="Times New Roman" w:eastAsia="SimSun" w:hAnsi="Times New Roman" w:cs="Times New Roman"/>
      <w:b/>
      <w:sz w:val="24"/>
      <w:szCs w:val="28"/>
      <w:u w:val="single"/>
    </w:rPr>
  </w:style>
  <w:style w:type="paragraph" w:customStyle="1" w:styleId="P68B1DB1-Normal93">
    <w:name w:val="P68B1DB1-Normal93"/>
    <w:basedOn w:val="Normal"/>
    <w:rPr>
      <w:rFonts w:ascii="Times New Roman" w:eastAsia="Calibri" w:hAnsi="Times New Roman" w:cs="Times New Roman"/>
      <w:sz w:val="24"/>
      <w:szCs w:val="28"/>
      <w:u w:val="single"/>
    </w:rPr>
  </w:style>
  <w:style w:type="paragraph" w:customStyle="1" w:styleId="P68B1DB1-Normal94">
    <w:name w:val="P68B1DB1-Normal94"/>
    <w:basedOn w:val="Normal"/>
    <w:rPr>
      <w:rFonts w:ascii="Times New Roman" w:eastAsia="Calibri" w:hAnsi="Times New Roman" w:cs="Times New Roman"/>
      <w:sz w:val="24"/>
      <w:szCs w:val="28"/>
    </w:rPr>
  </w:style>
  <w:style w:type="paragraph" w:customStyle="1" w:styleId="P68B1DB1-Normal95">
    <w:name w:val="P68B1DB1-Normal95"/>
    <w:basedOn w:val="Normal"/>
    <w:rPr>
      <w:rFonts w:ascii="Times New Roman" w:eastAsia="Calibri" w:hAnsi="Times New Roman" w:cs="Times New Roman"/>
      <w:sz w:val="24"/>
    </w:rPr>
  </w:style>
  <w:style w:type="paragraph" w:customStyle="1" w:styleId="P68B1DB1-Normal96">
    <w:name w:val="P68B1DB1-Normal96"/>
    <w:basedOn w:val="Normal"/>
    <w:rPr>
      <w:rFonts w:ascii="Times New Roman" w:eastAsia="SimSun" w:hAnsi="Times New Roman" w:cs="Times New Roman"/>
      <w:sz w:val="24"/>
      <w:szCs w:val="24"/>
      <w:u w:val="single"/>
    </w:rPr>
  </w:style>
  <w:style w:type="paragraph" w:customStyle="1" w:styleId="P68B1DB1-Normal97">
    <w:name w:val="P68B1DB1-Normal97"/>
    <w:basedOn w:val="Normal"/>
    <w:rPr>
      <w:sz w:val="24"/>
    </w:rPr>
  </w:style>
  <w:style w:type="paragraph" w:customStyle="1" w:styleId="P68B1DB1-Normal98">
    <w:name w:val="P68B1DB1-Normal98"/>
    <w:basedOn w:val="Normal"/>
    <w:rPr>
      <w:rFonts w:ascii="Times New Roman" w:eastAsia="SimSun" w:hAnsi="Times New Roman" w:cs="Times New Roman"/>
      <w:sz w:val="24"/>
      <w:u w:val="single"/>
    </w:rPr>
  </w:style>
  <w:style w:type="paragraph" w:customStyle="1" w:styleId="P68B1DB1-paragraph99">
    <w:name w:val="P68B1DB1-paragraph99"/>
    <w:basedOn w:val="paragraph"/>
    <w:rPr>
      <w:rFonts w:eastAsia="SimSun"/>
      <w:u w:val="single"/>
    </w:rPr>
  </w:style>
  <w:style w:type="paragraph" w:customStyle="1" w:styleId="P68B1DB1-Normal100">
    <w:name w:val="P68B1DB1-Normal100"/>
    <w:basedOn w:val="Normal"/>
    <w:rPr>
      <w:rFonts w:ascii="Times New Roman" w:eastAsia="Calibri" w:hAnsi="Times New Roman" w:cs="Times New Roman"/>
      <w:sz w:val="20"/>
      <w:szCs w:val="20"/>
      <w:shd w:val="clear" w:color="auto" w:fill="E6E6E6"/>
    </w:rPr>
  </w:style>
  <w:style w:type="paragraph" w:customStyle="1" w:styleId="P68B1DB1-ListParagraph101">
    <w:name w:val="P68B1DB1-ListParagraph101"/>
    <w:basedOn w:val="ListParagraph"/>
    <w:rPr>
      <w:rFonts w:ascii="Times New Roman" w:hAnsi="Times New Roman" w:cs="Times New Roman"/>
      <w:sz w:val="24"/>
      <w:szCs w:val="24"/>
    </w:rPr>
  </w:style>
  <w:style w:type="paragraph" w:customStyle="1" w:styleId="P68B1DB1-Normal102">
    <w:name w:val="P68B1DB1-Normal102"/>
    <w:basedOn w:val="Normal"/>
    <w:rPr>
      <w:rFonts w:ascii="Times New Roman" w:hAnsi="Times New Roman" w:cs="Times New Roman"/>
      <w:color w:val="000000"/>
      <w:sz w:val="20"/>
      <w:szCs w:val="20"/>
    </w:rPr>
  </w:style>
  <w:style w:type="paragraph" w:customStyle="1" w:styleId="P68B1DB1-Normal103">
    <w:name w:val="P68B1DB1-Normal103"/>
    <w:basedOn w:val="Normal"/>
    <w:rPr>
      <w:rFonts w:ascii="Times New Roman" w:eastAsia="Calibri" w:hAnsi="Times New Roman" w:cs="Times New Roman"/>
      <w:b/>
      <w:smallCaps/>
      <w:color w:val="000000" w:themeColor="text1"/>
      <w:sz w:val="24"/>
      <w:szCs w:val="28"/>
    </w:rPr>
  </w:style>
  <w:style w:type="paragraph" w:customStyle="1" w:styleId="P68B1DB1-Normal104">
    <w:name w:val="P68B1DB1-Normal104"/>
    <w:basedOn w:val="Normal"/>
    <w:rPr>
      <w:rFonts w:ascii="Times New Roman" w:eastAsia="Calibri" w:hAnsi="Times New Roman" w:cs="Times New Roman"/>
      <w:color w:val="000000" w:themeColor="text1"/>
      <w:sz w:val="24"/>
      <w:szCs w:val="24"/>
    </w:rPr>
  </w:style>
  <w:style w:type="paragraph" w:customStyle="1" w:styleId="P68B1DB1-Normal105">
    <w:name w:val="P68B1DB1-Normal105"/>
    <w:basedOn w:val="Normal"/>
    <w:rPr>
      <w:rFonts w:ascii="Times New Roman" w:eastAsia="Calibri" w:hAnsi="Times New Roman" w:cs="Times New Roman"/>
      <w:color w:val="000000" w:themeColor="text1"/>
      <w:sz w:val="24"/>
      <w:szCs w:val="28"/>
    </w:rPr>
  </w:style>
  <w:style w:type="paragraph" w:customStyle="1" w:styleId="P68B1DB1-Normal106">
    <w:name w:val="P68B1DB1-Normal106"/>
    <w:basedOn w:val="Normal"/>
    <w:rPr>
      <w:sz w:val="24"/>
      <w:u w:val="single"/>
    </w:rPr>
  </w:style>
  <w:style w:type="paragraph" w:customStyle="1" w:styleId="P68B1DB1-Normal107">
    <w:name w:val="P68B1DB1-Normal107"/>
    <w:basedOn w:val="Normal"/>
    <w:rPr>
      <w:rFonts w:ascii="Times New Roman" w:eastAsia="Calibri" w:hAnsi="Times New Roman" w:cs="Times New Roman"/>
      <w:color w:val="000000" w:themeColor="text1"/>
      <w:sz w:val="24"/>
      <w:szCs w:val="28"/>
      <w:u w:val="single"/>
    </w:rPr>
  </w:style>
  <w:style w:type="paragraph" w:customStyle="1" w:styleId="P68B1DB1-Normal108">
    <w:name w:val="P68B1DB1-Normal108"/>
    <w:basedOn w:val="Normal"/>
    <w:rPr>
      <w:rFonts w:ascii="Times New Roman" w:eastAsia="Calibri" w:hAnsi="Times New Roman" w:cs="Times New Roman"/>
      <w:b/>
      <w:color w:val="000000" w:themeColor="text1"/>
      <w:sz w:val="24"/>
      <w:szCs w:val="28"/>
      <w:u w:val="single"/>
    </w:rPr>
  </w:style>
  <w:style w:type="paragraph" w:customStyle="1" w:styleId="P68B1DB1-Normal109">
    <w:name w:val="P68B1DB1-Normal109"/>
    <w:basedOn w:val="Normal"/>
    <w:rPr>
      <w:rFonts w:ascii="Times New Roman" w:eastAsia="Calibri" w:hAnsi="Times New Roman" w:cs="Times New Roman"/>
      <w:b/>
      <w:color w:val="000000" w:themeColor="text1"/>
      <w:sz w:val="20"/>
      <w:szCs w:val="20"/>
    </w:rPr>
  </w:style>
  <w:style w:type="paragraph" w:customStyle="1" w:styleId="P68B1DB1-Normal110">
    <w:name w:val="P68B1DB1-Normal110"/>
    <w:basedOn w:val="Normal"/>
    <w:rPr>
      <w:rFonts w:ascii="Times New Roman" w:eastAsia="Calibri" w:hAnsi="Times New Roman" w:cs="Times New Roman"/>
      <w:color w:val="000000" w:themeColor="text1"/>
      <w:sz w:val="20"/>
      <w:szCs w:val="20"/>
      <w:u w:val="single"/>
    </w:rPr>
  </w:style>
  <w:style w:type="paragraph" w:customStyle="1" w:styleId="P68B1DB1-Normal111">
    <w:name w:val="P68B1DB1-Normal111"/>
    <w:basedOn w:val="Normal"/>
    <w:rPr>
      <w:rFonts w:ascii="Times New Roman" w:hAnsi="Times New Roman" w:cs="Times New Roman"/>
      <w:b/>
      <w:smallCaps/>
      <w:sz w:val="24"/>
      <w:szCs w:val="24"/>
    </w:rPr>
  </w:style>
  <w:style w:type="paragraph" w:customStyle="1" w:styleId="P68B1DB1-Text1112">
    <w:name w:val="P68B1DB1-Text1112"/>
    <w:basedOn w:val="Text1"/>
    <w:rPr>
      <w:szCs w:val="24"/>
    </w:rPr>
  </w:style>
  <w:style w:type="paragraph" w:customStyle="1" w:styleId="P68B1DB1-Normal113">
    <w:name w:val="P68B1DB1-Normal113"/>
    <w:basedOn w:val="Normal"/>
    <w:rPr>
      <w:rFonts w:ascii="Times New Roman" w:eastAsiaTheme="minorEastAsia" w:hAnsi="Times New Roman" w:cs="Times New Roman"/>
      <w:b/>
      <w:sz w:val="24"/>
      <w:szCs w:val="24"/>
      <w:u w:val="single"/>
    </w:rPr>
  </w:style>
  <w:style w:type="paragraph" w:customStyle="1" w:styleId="P68B1DB1-Text1114">
    <w:name w:val="P68B1DB1-Text1114"/>
    <w:basedOn w:val="Text1"/>
    <w:rPr>
      <w:szCs w:val="24"/>
      <w:u w:val="single"/>
    </w:rPr>
  </w:style>
  <w:style w:type="paragraph" w:customStyle="1" w:styleId="P68B1DB1-Bodytext20115">
    <w:name w:val="P68B1DB1-Bodytext20115"/>
    <w:basedOn w:val="Bodytext20"/>
    <w:rPr>
      <w:rFonts w:ascii="Times New Roman" w:hAnsi="Times New Roman" w:cs="Times New Roman"/>
      <w:sz w:val="24"/>
      <w:szCs w:val="24"/>
    </w:rPr>
  </w:style>
  <w:style w:type="paragraph" w:customStyle="1" w:styleId="P68B1DB1-Normal116">
    <w:name w:val="P68B1DB1-Normal116"/>
    <w:basedOn w:val="Normal"/>
    <w:rPr>
      <w:rFonts w:ascii="Times New Roman" w:hAnsi="Times New Roman" w:cs="Times New Roman"/>
      <w:sz w:val="24"/>
      <w:szCs w:val="24"/>
      <w:shd w:val="clear" w:color="auto" w:fill="FFFFFF"/>
    </w:rPr>
  </w:style>
  <w:style w:type="paragraph" w:customStyle="1" w:styleId="P68B1DB1-Normal117">
    <w:name w:val="P68B1DB1-Normal117"/>
    <w:basedOn w:val="Normal"/>
    <w:rPr>
      <w:rFonts w:ascii="Times New Roman" w:eastAsia="Calibri" w:hAnsi="Times New Roman" w:cs="Times New Roman"/>
      <w:b/>
      <w:smallCaps/>
      <w:szCs w:val="24"/>
    </w:rPr>
  </w:style>
  <w:style w:type="paragraph" w:customStyle="1" w:styleId="P68B1DB1-Normal118">
    <w:name w:val="P68B1DB1-Normal118"/>
    <w:basedOn w:val="Normal"/>
    <w:rPr>
      <w:rFonts w:ascii="Times New Roman" w:eastAsia="Cambria Math" w:hAnsi="Times New Roman" w:cs="Times New Roman"/>
      <w:sz w:val="24"/>
      <w:szCs w:val="24"/>
    </w:rPr>
  </w:style>
  <w:style w:type="paragraph" w:customStyle="1" w:styleId="P68B1DB1-Normal119">
    <w:name w:val="P68B1DB1-Normal119"/>
    <w:basedOn w:val="Normal"/>
    <w:rPr>
      <w:rFonts w:ascii="Times New Roman" w:eastAsia="SimSun" w:hAnsi="Times New Roman" w:cs="Times New Roman"/>
      <w:sz w:val="24"/>
      <w:szCs w:val="24"/>
    </w:rPr>
  </w:style>
  <w:style w:type="paragraph" w:customStyle="1" w:styleId="P68B1DB1-Normal120">
    <w:name w:val="P68B1DB1-Normal120"/>
    <w:basedOn w:val="Normal"/>
    <w:rPr>
      <w:b/>
      <w:smallCaps/>
      <w:szCs w:val="24"/>
    </w:rPr>
  </w:style>
  <w:style w:type="paragraph" w:customStyle="1" w:styleId="P68B1DB1-Normal121">
    <w:name w:val="P68B1DB1-Normal121"/>
    <w:basedOn w:val="Normal"/>
    <w:rPr>
      <w:rFonts w:ascii="Times New Roman" w:eastAsiaTheme="minorEastAsia" w:hAnsi="Times New Roman" w:cs="Times New Roman"/>
      <w:b/>
      <w:szCs w:val="24"/>
      <w:u w:val="single"/>
    </w:rPr>
  </w:style>
  <w:style w:type="paragraph" w:customStyle="1" w:styleId="P68B1DB1-CommentText122">
    <w:name w:val="P68B1DB1-CommentText122"/>
    <w:basedOn w:val="CommentText"/>
    <w:rPr>
      <w:color w:val="000000"/>
    </w:rPr>
  </w:style>
  <w:style w:type="paragraph" w:customStyle="1" w:styleId="P68B1DB1-Normal123">
    <w:name w:val="P68B1DB1-Normal123"/>
    <w:basedOn w:val="Normal"/>
    <w:rPr>
      <w:rFonts w:ascii="Times New Roman" w:eastAsiaTheme="minorEastAsia" w:hAnsi="Times New Roman" w:cs="Times New Roman"/>
      <w:color w:val="000000" w:themeColor="text1"/>
      <w:sz w:val="20"/>
      <w:szCs w:val="20"/>
    </w:rPr>
  </w:style>
  <w:style w:type="paragraph" w:customStyle="1" w:styleId="P68B1DB1-Normal124">
    <w:name w:val="P68B1DB1-Normal124"/>
    <w:basedOn w:val="Normal"/>
    <w:rPr>
      <w:rFonts w:ascii="Times New Roman" w:hAnsi="Times New Roman" w:cs="Times New Roman"/>
      <w:sz w:val="24"/>
      <w:szCs w:val="28"/>
    </w:rPr>
  </w:style>
  <w:style w:type="paragraph" w:customStyle="1" w:styleId="P68B1DB1-Normal125">
    <w:name w:val="P68B1DB1-Normal125"/>
    <w:basedOn w:val="Normal"/>
    <w:rPr>
      <w:rFonts w:ascii="Times New Roman" w:eastAsia="Times New Roman" w:hAnsi="Times New Roman" w:cs="Times New Roman"/>
      <w:sz w:val="24"/>
      <w:szCs w:val="28"/>
    </w:rPr>
  </w:style>
  <w:style w:type="paragraph" w:customStyle="1" w:styleId="P68B1DB1-Normal126">
    <w:name w:val="P68B1DB1-Normal126"/>
    <w:basedOn w:val="Normal"/>
    <w:rPr>
      <w:rFonts w:ascii="Times New Roman" w:eastAsia="SimSun" w:hAnsi="Times New Roman" w:cs="Times New Roman"/>
      <w:sz w:val="24"/>
      <w:szCs w:val="28"/>
    </w:rPr>
  </w:style>
  <w:style w:type="paragraph" w:customStyle="1" w:styleId="P68B1DB1-Normal127">
    <w:name w:val="P68B1DB1-Normal127"/>
    <w:basedOn w:val="Normal"/>
    <w:rPr>
      <w:rFonts w:ascii="Times New Roman" w:eastAsia="Times New Roman" w:hAnsi="Times New Roman" w:cs="Times New Roman"/>
      <w:sz w:val="24"/>
      <w:szCs w:val="28"/>
      <w:u w:val="single"/>
    </w:rPr>
  </w:style>
  <w:style w:type="paragraph" w:customStyle="1" w:styleId="P68B1DB1-Normal128">
    <w:name w:val="P68B1DB1-Normal128"/>
    <w:basedOn w:val="Normal"/>
    <w:rPr>
      <w:rFonts w:ascii="Times New Roman" w:eastAsiaTheme="minorEastAsia" w:hAnsi="Times New Roman" w:cs="Times New Roman"/>
      <w:sz w:val="24"/>
      <w:szCs w:val="24"/>
      <w:u w:val="single"/>
    </w:rPr>
  </w:style>
  <w:style w:type="paragraph" w:customStyle="1" w:styleId="P68B1DB1-Normal129">
    <w:name w:val="P68B1DB1-Normal129"/>
    <w:basedOn w:val="Normal"/>
    <w:rPr>
      <w:rFonts w:ascii="Times New Roman" w:eastAsiaTheme="minorEastAsia" w:hAnsi="Times New Roman" w:cs="Times New Roman"/>
      <w:sz w:val="24"/>
      <w:szCs w:val="24"/>
    </w:rPr>
  </w:style>
  <w:style w:type="paragraph" w:customStyle="1" w:styleId="P68B1DB1-Normal130">
    <w:name w:val="P68B1DB1-Normal130"/>
    <w:basedOn w:val="Normal"/>
    <w:rPr>
      <w:rFonts w:eastAsia="Calibri"/>
      <w:b/>
      <w:smallCaps/>
      <w:sz w:val="20"/>
      <w:szCs w:val="20"/>
    </w:rPr>
  </w:style>
  <w:style w:type="paragraph" w:customStyle="1" w:styleId="P68B1DB1-Normal131">
    <w:name w:val="P68B1DB1-Normal131"/>
    <w:basedOn w:val="Normal"/>
    <w:rPr>
      <w:b/>
      <w:smallCaps/>
      <w:sz w:val="24"/>
    </w:rPr>
  </w:style>
  <w:style w:type="paragraph" w:customStyle="1" w:styleId="P68B1DB1-Normal132">
    <w:name w:val="P68B1DB1-Normal132"/>
    <w:basedOn w:val="Normal"/>
    <w:rPr>
      <w:rFonts w:ascii="Times New Roman" w:eastAsia="Calibri" w:hAnsi="Times New Roman" w:cs="Times New Roman"/>
      <w:sz w:val="24"/>
      <w:szCs w:val="24"/>
      <w:shd w:val="clear" w:color="auto" w:fill="FFFFFF"/>
    </w:rPr>
  </w:style>
  <w:style w:type="paragraph" w:customStyle="1" w:styleId="P68B1DB1-Normal133">
    <w:name w:val="P68B1DB1-Normal133"/>
    <w:basedOn w:val="Normal"/>
    <w:rPr>
      <w:rFonts w:ascii="Times New Roman" w:eastAsia="Calibri" w:hAnsi="Times New Roman" w:cs="Times New Roman"/>
      <w:sz w:val="24"/>
      <w:szCs w:val="24"/>
      <w:bdr w:val="none" w:sz="0" w:space="0" w:color="auto" w:frame="1"/>
    </w:rPr>
  </w:style>
  <w:style w:type="paragraph" w:customStyle="1" w:styleId="P68B1DB1-Normal134">
    <w:name w:val="P68B1DB1-Normal134"/>
    <w:basedOn w:val="Normal"/>
    <w:rPr>
      <w:rFonts w:eastAsia="Times New Roman"/>
      <w:szCs w:val="24"/>
    </w:rPr>
  </w:style>
  <w:style w:type="paragraph" w:customStyle="1" w:styleId="P68B1DB1-Normal135">
    <w:name w:val="P68B1DB1-Normal135"/>
    <w:basedOn w:val="Normal"/>
    <w:rPr>
      <w:rFonts w:ascii="Times New Roman" w:eastAsia="Times New Roman" w:hAnsi="Times New Roman" w:cs="Times New Roman"/>
      <w:color w:val="006100"/>
      <w:sz w:val="20"/>
      <w:szCs w:val="20"/>
    </w:rPr>
  </w:style>
  <w:style w:type="paragraph" w:customStyle="1" w:styleId="P68B1DB1-Normal136">
    <w:name w:val="P68B1DB1-Normal136"/>
    <w:basedOn w:val="Normal"/>
    <w:rPr>
      <w:rFonts w:ascii="Times New Roman" w:eastAsia="Calibri" w:hAnsi="Times New Roman" w:cs="Times New Roman"/>
      <w:b/>
      <w:szCs w:val="24"/>
    </w:rPr>
  </w:style>
  <w:style w:type="paragraph" w:customStyle="1" w:styleId="P68B1DB1-paragraph137">
    <w:name w:val="P68B1DB1-paragraph137"/>
    <w:basedOn w:val="paragraph"/>
    <w:rPr>
      <w:szCs w:val="24"/>
      <w:u w:val="single"/>
    </w:rPr>
  </w:style>
  <w:style w:type="paragraph" w:customStyle="1" w:styleId="P68B1DB1-paragraph138">
    <w:name w:val="P68B1DB1-paragraph138"/>
    <w:basedOn w:val="paragraph"/>
    <w:rPr>
      <w:szCs w:val="24"/>
    </w:rPr>
  </w:style>
  <w:style w:type="paragraph" w:customStyle="1" w:styleId="P68B1DB1-Normal139">
    <w:name w:val="P68B1DB1-Normal139"/>
    <w:basedOn w:val="Normal"/>
    <w:rPr>
      <w:rFonts w:ascii="Times New Roman" w:eastAsia="Times New Roman" w:hAnsi="Times New Roman" w:cs="Times New Roman"/>
      <w:color w:val="000000" w:themeColor="text1"/>
      <w:kern w:val="0"/>
      <w:sz w:val="24"/>
      <w:szCs w:val="20"/>
    </w:rPr>
  </w:style>
  <w:style w:type="paragraph" w:customStyle="1" w:styleId="P68B1DB1-Normal140">
    <w:name w:val="P68B1DB1-Normal140"/>
    <w:basedOn w:val="Normal"/>
    <w:rPr>
      <w:rFonts w:ascii="Times New Roman" w:eastAsia="Times New Roman" w:hAnsi="Times New Roman" w:cs="Times New Roman"/>
      <w:b/>
      <w:sz w:val="24"/>
      <w:szCs w:val="28"/>
    </w:rPr>
  </w:style>
  <w:style w:type="paragraph" w:customStyle="1" w:styleId="P68B1DB1-Normal141">
    <w:name w:val="P68B1DB1-Normal141"/>
    <w:basedOn w:val="Normal"/>
    <w:rPr>
      <w:rFonts w:ascii="Times New Roman" w:hAnsi="Times New Roman" w:cs="Times New Roman"/>
      <w:color w:val="000000"/>
      <w:sz w:val="20"/>
      <w:szCs w:val="20"/>
      <w:u w:val="single"/>
    </w:rPr>
  </w:style>
  <w:style w:type="paragraph" w:customStyle="1" w:styleId="P68B1DB1-Normal142">
    <w:name w:val="P68B1DB1-Normal142"/>
    <w:basedOn w:val="Normal"/>
    <w:rPr>
      <w:rFonts w:ascii="Times New Roman" w:eastAsia="Times New Roman" w:hAnsi="Times New Roman" w:cs="Times New Roman"/>
      <w:szCs w:val="24"/>
    </w:rPr>
  </w:style>
  <w:style w:type="paragraph" w:customStyle="1" w:styleId="P68B1DB1-Normal143">
    <w:name w:val="P68B1DB1-Normal143"/>
    <w:basedOn w:val="Normal"/>
    <w:rPr>
      <w:rFonts w:ascii="Times New Roman" w:eastAsia="Times New Roman" w:hAnsi="Times New Roman" w:cs="Times New Roman"/>
      <w:b/>
      <w:szCs w:val="24"/>
      <w:u w:val="double"/>
    </w:rPr>
  </w:style>
  <w:style w:type="paragraph" w:customStyle="1" w:styleId="P68B1DB1-Normal144">
    <w:name w:val="P68B1DB1-Normal144"/>
    <w:basedOn w:val="Normal"/>
    <w:rPr>
      <w:rFonts w:ascii="Times New Roman" w:eastAsia="Times New Roman" w:hAnsi="Times New Roman" w:cs="Times New Roman"/>
    </w:rPr>
  </w:style>
  <w:style w:type="paragraph" w:customStyle="1" w:styleId="P68B1DB1-Normal145">
    <w:name w:val="P68B1DB1-Normal145"/>
    <w:basedOn w:val="Normal"/>
    <w:rPr>
      <w:rFonts w:ascii="Times New Roman" w:eastAsia="Times New Roman" w:hAnsi="Times New Roman" w:cs="Times New Roman"/>
      <w:sz w:val="20"/>
      <w:szCs w:val="20"/>
      <w:u w:val="single"/>
    </w:rPr>
  </w:style>
  <w:style w:type="paragraph" w:customStyle="1" w:styleId="P68B1DB1-ListParagraph146">
    <w:name w:val="P68B1DB1-ListParagraph146"/>
    <w:basedOn w:val="ListParagraph"/>
    <w:rPr>
      <w:rFonts w:ascii="Times New Roman" w:eastAsia="Times New Roman" w:hAnsi="Times New Roman" w:cs="Times New Roman"/>
      <w:sz w:val="24"/>
      <w:szCs w:val="24"/>
    </w:rPr>
  </w:style>
  <w:style w:type="paragraph" w:customStyle="1" w:styleId="P68B1DB1-Normal147">
    <w:name w:val="P68B1DB1-Normal147"/>
    <w:basedOn w:val="Normal"/>
    <w:rPr>
      <w:rFonts w:eastAsia="Times New Roman"/>
      <w:i/>
      <w:color w:val="4F81BD"/>
      <w:szCs w:val="24"/>
    </w:rPr>
  </w:style>
  <w:style w:type="paragraph" w:customStyle="1" w:styleId="P68B1DB1-Normal148">
    <w:name w:val="P68B1DB1-Normal148"/>
    <w:basedOn w:val="Normal"/>
    <w:rPr>
      <w:rFonts w:ascii="Times New Roman" w:eastAsia="Times New Roman" w:hAnsi="Times New Roman" w:cs="Times New Roman"/>
      <w:kern w:val="0"/>
      <w:sz w:val="20"/>
      <w:szCs w:val="20"/>
      <w14:ligatures w14:val="none"/>
    </w:rPr>
  </w:style>
  <w:style w:type="paragraph" w:customStyle="1" w:styleId="P68B1DB1-Normal149">
    <w:name w:val="P68B1DB1-Normal149"/>
    <w:basedOn w:val="Normal"/>
    <w:rPr>
      <w:rFonts w:ascii="Times New Roman" w:eastAsia="Calibri" w:hAnsi="Times New Roman" w:cs="Times New Roman"/>
      <w:color w:val="000000"/>
      <w:kern w:val="0"/>
      <w:sz w:val="20"/>
      <w:szCs w:val="20"/>
      <w14:ligatures w14:val="none"/>
    </w:rPr>
  </w:style>
  <w:style w:type="paragraph" w:customStyle="1" w:styleId="P68B1DB1-Normal150">
    <w:name w:val="P68B1DB1-Normal150"/>
    <w:basedOn w:val="Normal"/>
    <w:rPr>
      <w:rFonts w:ascii="Times New Roman" w:eastAsia="Calibri" w:hAnsi="Times New Roman" w:cs="Times New Roman"/>
      <w:kern w:val="0"/>
      <w:sz w:val="20"/>
      <w:szCs w:val="20"/>
      <w14:ligatures w14:val="none"/>
    </w:rPr>
  </w:style>
  <w:style w:type="paragraph" w:customStyle="1" w:styleId="P68B1DB1-Normal151">
    <w:name w:val="P68B1DB1-Normal151"/>
    <w:basedOn w:val="Normal"/>
    <w:rPr>
      <w:rFonts w:ascii="Times New Roman" w:eastAsia="Times New Roman" w:hAnsi="Times New Roman" w:cs="Times New Roman"/>
      <w:kern w:val="0"/>
      <w:sz w:val="20"/>
      <w:szCs w:val="20"/>
      <w:u w:val="single"/>
      <w14:ligatures w14:val="none"/>
    </w:rPr>
  </w:style>
  <w:style w:type="paragraph" w:customStyle="1" w:styleId="P68B1DB1-Normal152">
    <w:name w:val="P68B1DB1-Normal152"/>
    <w:basedOn w:val="Normal"/>
    <w:rPr>
      <w:rFonts w:ascii="Times New Roman" w:eastAsia="Times New Roman" w:hAnsi="Times New Roman" w:cs="Times New Roman"/>
      <w:color w:val="0061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17" Type="http://schemas.openxmlformats.org/officeDocument/2006/relationships/header" Target="header55.xml"/><Relationship Id="rId299" Type="http://schemas.openxmlformats.org/officeDocument/2006/relationships/footer" Target="footer145.xml"/><Relationship Id="rId21" Type="http://schemas.openxmlformats.org/officeDocument/2006/relationships/header" Target="header7.xml"/><Relationship Id="rId63" Type="http://schemas.openxmlformats.org/officeDocument/2006/relationships/header" Target="header28.xml"/><Relationship Id="rId159" Type="http://schemas.openxmlformats.org/officeDocument/2006/relationships/header" Target="header76.xml"/><Relationship Id="rId324" Type="http://schemas.openxmlformats.org/officeDocument/2006/relationships/footer" Target="footer158.xml"/><Relationship Id="rId366" Type="http://schemas.openxmlformats.org/officeDocument/2006/relationships/footer" Target="footer179.xml"/><Relationship Id="rId170" Type="http://schemas.openxmlformats.org/officeDocument/2006/relationships/footer" Target="footer81.xml"/><Relationship Id="rId226" Type="http://schemas.openxmlformats.org/officeDocument/2006/relationships/header" Target="header110.xml"/><Relationship Id="rId433" Type="http://schemas.openxmlformats.org/officeDocument/2006/relationships/header" Target="header213.xml"/><Relationship Id="rId268" Type="http://schemas.openxmlformats.org/officeDocument/2006/relationships/header" Target="header131.xml"/><Relationship Id="rId32" Type="http://schemas.openxmlformats.org/officeDocument/2006/relationships/footer" Target="footer12.xml"/><Relationship Id="rId74" Type="http://schemas.openxmlformats.org/officeDocument/2006/relationships/footer" Target="footer33.xml"/><Relationship Id="rId128" Type="http://schemas.openxmlformats.org/officeDocument/2006/relationships/footer" Target="footer60.xml"/><Relationship Id="rId335" Type="http://schemas.openxmlformats.org/officeDocument/2006/relationships/footer" Target="footer163.xml"/><Relationship Id="rId377" Type="http://schemas.openxmlformats.org/officeDocument/2006/relationships/footer" Target="footer184.xml"/><Relationship Id="rId5" Type="http://schemas.openxmlformats.org/officeDocument/2006/relationships/webSettings" Target="webSettings.xml"/><Relationship Id="rId181" Type="http://schemas.openxmlformats.org/officeDocument/2006/relationships/header" Target="header87.xml"/><Relationship Id="rId237" Type="http://schemas.openxmlformats.org/officeDocument/2006/relationships/header" Target="header115.xml"/><Relationship Id="rId402" Type="http://schemas.openxmlformats.org/officeDocument/2006/relationships/footer" Target="footer197.xml"/><Relationship Id="rId279" Type="http://schemas.openxmlformats.org/officeDocument/2006/relationships/header" Target="header136.xml"/><Relationship Id="rId444" Type="http://schemas.openxmlformats.org/officeDocument/2006/relationships/footer" Target="footer218.xml"/><Relationship Id="rId43" Type="http://schemas.openxmlformats.org/officeDocument/2006/relationships/header" Target="header18.xml"/><Relationship Id="rId139" Type="http://schemas.openxmlformats.org/officeDocument/2006/relationships/header" Target="header66.xml"/><Relationship Id="rId290" Type="http://schemas.openxmlformats.org/officeDocument/2006/relationships/footer" Target="footer141.xml"/><Relationship Id="rId304" Type="http://schemas.openxmlformats.org/officeDocument/2006/relationships/header" Target="header149.xml"/><Relationship Id="rId346" Type="http://schemas.openxmlformats.org/officeDocument/2006/relationships/header" Target="header170.xml"/><Relationship Id="rId388" Type="http://schemas.openxmlformats.org/officeDocument/2006/relationships/header" Target="header191.xml"/><Relationship Id="rId85" Type="http://schemas.openxmlformats.org/officeDocument/2006/relationships/header" Target="header39.xml"/><Relationship Id="rId150" Type="http://schemas.openxmlformats.org/officeDocument/2006/relationships/footer" Target="footer71.xml"/><Relationship Id="rId192" Type="http://schemas.openxmlformats.org/officeDocument/2006/relationships/footer" Target="footer92.xml"/><Relationship Id="rId206" Type="http://schemas.openxmlformats.org/officeDocument/2006/relationships/footer" Target="footer99.xml"/><Relationship Id="rId413" Type="http://schemas.openxmlformats.org/officeDocument/2006/relationships/footer" Target="footer202.xml"/><Relationship Id="rId248" Type="http://schemas.openxmlformats.org/officeDocument/2006/relationships/footer" Target="footer120.xml"/><Relationship Id="rId455" Type="http://schemas.openxmlformats.org/officeDocument/2006/relationships/footer" Target="footer223.xml"/><Relationship Id="rId12" Type="http://schemas.openxmlformats.org/officeDocument/2006/relationships/footer" Target="footer2.xml"/><Relationship Id="rId108" Type="http://schemas.openxmlformats.org/officeDocument/2006/relationships/footer" Target="footer50.xml"/><Relationship Id="rId315" Type="http://schemas.openxmlformats.org/officeDocument/2006/relationships/header" Target="header154.xml"/><Relationship Id="rId357" Type="http://schemas.openxmlformats.org/officeDocument/2006/relationships/header" Target="header175.xml"/><Relationship Id="rId54" Type="http://schemas.openxmlformats.org/officeDocument/2006/relationships/footer" Target="footer23.xml"/><Relationship Id="rId96" Type="http://schemas.openxmlformats.org/officeDocument/2006/relationships/footer" Target="footer44.xml"/><Relationship Id="rId161" Type="http://schemas.openxmlformats.org/officeDocument/2006/relationships/footer" Target="footer76.xml"/><Relationship Id="rId217" Type="http://schemas.openxmlformats.org/officeDocument/2006/relationships/header" Target="header105.xml"/><Relationship Id="rId399" Type="http://schemas.openxmlformats.org/officeDocument/2006/relationships/header" Target="header196.xml"/><Relationship Id="rId259" Type="http://schemas.openxmlformats.org/officeDocument/2006/relationships/header" Target="header126.xml"/><Relationship Id="rId424" Type="http://schemas.openxmlformats.org/officeDocument/2006/relationships/header" Target="header209.xml"/><Relationship Id="rId466" Type="http://schemas.openxmlformats.org/officeDocument/2006/relationships/header" Target="header230.xml"/><Relationship Id="rId23" Type="http://schemas.openxmlformats.org/officeDocument/2006/relationships/footer" Target="footer7.xml"/><Relationship Id="rId119" Type="http://schemas.openxmlformats.org/officeDocument/2006/relationships/footer" Target="footer55.xml"/><Relationship Id="rId270" Type="http://schemas.openxmlformats.org/officeDocument/2006/relationships/footer" Target="footer131.xml"/><Relationship Id="rId326" Type="http://schemas.openxmlformats.org/officeDocument/2006/relationships/footer" Target="footer159.xml"/><Relationship Id="rId65" Type="http://schemas.openxmlformats.org/officeDocument/2006/relationships/footer" Target="footer28.xml"/><Relationship Id="rId130" Type="http://schemas.openxmlformats.org/officeDocument/2006/relationships/header" Target="header62.xml"/><Relationship Id="rId368" Type="http://schemas.openxmlformats.org/officeDocument/2006/relationships/footer" Target="footer180.xml"/><Relationship Id="rId172" Type="http://schemas.openxmlformats.org/officeDocument/2006/relationships/header" Target="header83.xml"/><Relationship Id="rId193" Type="http://schemas.openxmlformats.org/officeDocument/2006/relationships/header" Target="header93.xml"/><Relationship Id="rId207" Type="http://schemas.openxmlformats.org/officeDocument/2006/relationships/header" Target="header100.xml"/><Relationship Id="rId228" Type="http://schemas.openxmlformats.org/officeDocument/2006/relationships/footer" Target="footer110.xml"/><Relationship Id="rId249" Type="http://schemas.openxmlformats.org/officeDocument/2006/relationships/header" Target="header121.xml"/><Relationship Id="rId414" Type="http://schemas.openxmlformats.org/officeDocument/2006/relationships/footer" Target="footer203.xml"/><Relationship Id="rId435" Type="http://schemas.openxmlformats.org/officeDocument/2006/relationships/header" Target="header214.xml"/><Relationship Id="rId456" Type="http://schemas.openxmlformats.org/officeDocument/2006/relationships/footer" Target="footer224.xml"/><Relationship Id="rId13" Type="http://schemas.openxmlformats.org/officeDocument/2006/relationships/header" Target="header3.xml"/><Relationship Id="rId109" Type="http://schemas.openxmlformats.org/officeDocument/2006/relationships/header" Target="header51.xml"/><Relationship Id="rId260" Type="http://schemas.openxmlformats.org/officeDocument/2006/relationships/footer" Target="footer126.xml"/><Relationship Id="rId281" Type="http://schemas.openxmlformats.org/officeDocument/2006/relationships/footer" Target="footer136.xml"/><Relationship Id="rId316" Type="http://schemas.openxmlformats.org/officeDocument/2006/relationships/header" Target="header155.xml"/><Relationship Id="rId337" Type="http://schemas.openxmlformats.org/officeDocument/2006/relationships/header" Target="header165.xml"/><Relationship Id="rId34" Type="http://schemas.openxmlformats.org/officeDocument/2006/relationships/header" Target="header14.xml"/><Relationship Id="rId55" Type="http://schemas.openxmlformats.org/officeDocument/2006/relationships/header" Target="header24.xml"/><Relationship Id="rId76" Type="http://schemas.openxmlformats.org/officeDocument/2006/relationships/header" Target="header35.xml"/><Relationship Id="rId97" Type="http://schemas.openxmlformats.org/officeDocument/2006/relationships/header" Target="header45.xml"/><Relationship Id="rId120" Type="http://schemas.openxmlformats.org/officeDocument/2006/relationships/footer" Target="footer56.xml"/><Relationship Id="rId141" Type="http://schemas.openxmlformats.org/officeDocument/2006/relationships/header" Target="header67.xml"/><Relationship Id="rId358" Type="http://schemas.openxmlformats.org/officeDocument/2006/relationships/header" Target="header176.xml"/><Relationship Id="rId379" Type="http://schemas.openxmlformats.org/officeDocument/2006/relationships/header" Target="header186.xml"/><Relationship Id="rId7" Type="http://schemas.openxmlformats.org/officeDocument/2006/relationships/endnotes" Target="endnotes.xml"/><Relationship Id="rId162" Type="http://schemas.openxmlformats.org/officeDocument/2006/relationships/footer" Target="footer77.xml"/><Relationship Id="rId183" Type="http://schemas.openxmlformats.org/officeDocument/2006/relationships/header" Target="header88.xml"/><Relationship Id="rId218" Type="http://schemas.openxmlformats.org/officeDocument/2006/relationships/footer" Target="footer105.xml"/><Relationship Id="rId239" Type="http://schemas.openxmlformats.org/officeDocument/2006/relationships/footer" Target="footer115.xml"/><Relationship Id="rId390" Type="http://schemas.openxmlformats.org/officeDocument/2006/relationships/footer" Target="footer191.xml"/><Relationship Id="rId404" Type="http://schemas.openxmlformats.org/officeDocument/2006/relationships/footer" Target="footer198.xml"/><Relationship Id="rId425" Type="http://schemas.openxmlformats.org/officeDocument/2006/relationships/footer" Target="footer208.xml"/><Relationship Id="rId446" Type="http://schemas.openxmlformats.org/officeDocument/2006/relationships/footer" Target="footer219.xml"/><Relationship Id="rId467" Type="http://schemas.openxmlformats.org/officeDocument/2006/relationships/footer" Target="footer229.xml"/><Relationship Id="rId250" Type="http://schemas.openxmlformats.org/officeDocument/2006/relationships/header" Target="header122.xml"/><Relationship Id="rId271" Type="http://schemas.openxmlformats.org/officeDocument/2006/relationships/header" Target="header132.xml"/><Relationship Id="rId292" Type="http://schemas.openxmlformats.org/officeDocument/2006/relationships/header" Target="header143.xml"/><Relationship Id="rId306" Type="http://schemas.openxmlformats.org/officeDocument/2006/relationships/footer" Target="footer149.xml"/><Relationship Id="rId24" Type="http://schemas.openxmlformats.org/officeDocument/2006/relationships/footer" Target="footer8.xml"/><Relationship Id="rId45" Type="http://schemas.openxmlformats.org/officeDocument/2006/relationships/header" Target="header19.xml"/><Relationship Id="rId66" Type="http://schemas.openxmlformats.org/officeDocument/2006/relationships/footer" Target="footer29.xml"/><Relationship Id="rId87" Type="http://schemas.openxmlformats.org/officeDocument/2006/relationships/header" Target="header40.xml"/><Relationship Id="rId110" Type="http://schemas.openxmlformats.org/officeDocument/2006/relationships/footer" Target="footer51.xml"/><Relationship Id="rId131" Type="http://schemas.openxmlformats.org/officeDocument/2006/relationships/footer" Target="footer61.xml"/><Relationship Id="rId327" Type="http://schemas.openxmlformats.org/officeDocument/2006/relationships/header" Target="header160.xml"/><Relationship Id="rId348" Type="http://schemas.openxmlformats.org/officeDocument/2006/relationships/footer" Target="footer170.xml"/><Relationship Id="rId369" Type="http://schemas.openxmlformats.org/officeDocument/2006/relationships/header" Target="header181.xml"/><Relationship Id="rId152" Type="http://schemas.openxmlformats.org/officeDocument/2006/relationships/footer" Target="footer72.xml"/><Relationship Id="rId173" Type="http://schemas.openxmlformats.org/officeDocument/2006/relationships/footer" Target="footer82.xml"/><Relationship Id="rId194" Type="http://schemas.openxmlformats.org/officeDocument/2006/relationships/footer" Target="footer93.xml"/><Relationship Id="rId208" Type="http://schemas.openxmlformats.org/officeDocument/2006/relationships/header" Target="header101.xml"/><Relationship Id="rId229" Type="http://schemas.openxmlformats.org/officeDocument/2006/relationships/header" Target="header111.xml"/><Relationship Id="rId380" Type="http://schemas.openxmlformats.org/officeDocument/2006/relationships/footer" Target="footer186.xml"/><Relationship Id="rId415" Type="http://schemas.openxmlformats.org/officeDocument/2006/relationships/header" Target="header204.xml"/><Relationship Id="rId436" Type="http://schemas.openxmlformats.org/officeDocument/2006/relationships/header" Target="header215.xml"/><Relationship Id="rId457" Type="http://schemas.openxmlformats.org/officeDocument/2006/relationships/header" Target="header225.xml"/><Relationship Id="rId240" Type="http://schemas.openxmlformats.org/officeDocument/2006/relationships/footer" Target="footer116.xml"/><Relationship Id="rId261" Type="http://schemas.openxmlformats.org/officeDocument/2006/relationships/header" Target="header127.xml"/><Relationship Id="rId14" Type="http://schemas.openxmlformats.org/officeDocument/2006/relationships/footer" Target="footer3.xml"/><Relationship Id="rId35" Type="http://schemas.openxmlformats.org/officeDocument/2006/relationships/footer" Target="footer13.xml"/><Relationship Id="rId56" Type="http://schemas.openxmlformats.org/officeDocument/2006/relationships/footer" Target="footer24.xml"/><Relationship Id="rId77" Type="http://schemas.openxmlformats.org/officeDocument/2006/relationships/footer" Target="footer34.xml"/><Relationship Id="rId100" Type="http://schemas.openxmlformats.org/officeDocument/2006/relationships/header" Target="header47.xml"/><Relationship Id="rId282" Type="http://schemas.openxmlformats.org/officeDocument/2006/relationships/footer" Target="footer137.xml"/><Relationship Id="rId317" Type="http://schemas.openxmlformats.org/officeDocument/2006/relationships/footer" Target="footer154.xml"/><Relationship Id="rId338" Type="http://schemas.openxmlformats.org/officeDocument/2006/relationships/footer" Target="footer165.xml"/><Relationship Id="rId359" Type="http://schemas.openxmlformats.org/officeDocument/2006/relationships/footer" Target="footer175.xml"/><Relationship Id="rId8" Type="http://schemas.openxmlformats.org/officeDocument/2006/relationships/image" Target="media/image1.emf"/><Relationship Id="rId98" Type="http://schemas.openxmlformats.org/officeDocument/2006/relationships/footer" Target="footer45.xml"/><Relationship Id="rId121" Type="http://schemas.openxmlformats.org/officeDocument/2006/relationships/header" Target="header57.xml"/><Relationship Id="rId142" Type="http://schemas.openxmlformats.org/officeDocument/2006/relationships/header" Target="header68.xml"/><Relationship Id="rId163" Type="http://schemas.openxmlformats.org/officeDocument/2006/relationships/header" Target="header78.xml"/><Relationship Id="rId184" Type="http://schemas.openxmlformats.org/officeDocument/2006/relationships/header" Target="header89.xml"/><Relationship Id="rId219" Type="http://schemas.openxmlformats.org/officeDocument/2006/relationships/header" Target="header106.xml"/><Relationship Id="rId370" Type="http://schemas.openxmlformats.org/officeDocument/2006/relationships/header" Target="header182.xml"/><Relationship Id="rId391" Type="http://schemas.openxmlformats.org/officeDocument/2006/relationships/header" Target="header192.xml"/><Relationship Id="rId405" Type="http://schemas.openxmlformats.org/officeDocument/2006/relationships/header" Target="header199.xml"/><Relationship Id="rId426" Type="http://schemas.openxmlformats.org/officeDocument/2006/relationships/footer" Target="footer209.xml"/><Relationship Id="rId447" Type="http://schemas.openxmlformats.org/officeDocument/2006/relationships/header" Target="header220.xml"/><Relationship Id="rId230" Type="http://schemas.openxmlformats.org/officeDocument/2006/relationships/footer" Target="footer111.xml"/><Relationship Id="rId251" Type="http://schemas.openxmlformats.org/officeDocument/2006/relationships/footer" Target="footer121.xml"/><Relationship Id="rId468" Type="http://schemas.openxmlformats.org/officeDocument/2006/relationships/footer" Target="footer230.xml"/><Relationship Id="rId25" Type="http://schemas.openxmlformats.org/officeDocument/2006/relationships/header" Target="header9.xml"/><Relationship Id="rId46" Type="http://schemas.openxmlformats.org/officeDocument/2006/relationships/header" Target="header20.xml"/><Relationship Id="rId67" Type="http://schemas.openxmlformats.org/officeDocument/2006/relationships/header" Target="header30.xml"/><Relationship Id="rId272" Type="http://schemas.openxmlformats.org/officeDocument/2006/relationships/footer" Target="footer132.xml"/><Relationship Id="rId293" Type="http://schemas.openxmlformats.org/officeDocument/2006/relationships/footer" Target="footer142.xml"/><Relationship Id="rId307" Type="http://schemas.openxmlformats.org/officeDocument/2006/relationships/header" Target="header150.xml"/><Relationship Id="rId328" Type="http://schemas.openxmlformats.org/officeDocument/2006/relationships/header" Target="header161.xml"/><Relationship Id="rId349" Type="http://schemas.openxmlformats.org/officeDocument/2006/relationships/header" Target="header171.xml"/><Relationship Id="rId88" Type="http://schemas.openxmlformats.org/officeDocument/2006/relationships/header" Target="header41.xml"/><Relationship Id="rId111" Type="http://schemas.openxmlformats.org/officeDocument/2006/relationships/header" Target="header52.xml"/><Relationship Id="rId132" Type="http://schemas.openxmlformats.org/officeDocument/2006/relationships/footer" Target="footer62.xml"/><Relationship Id="rId153" Type="http://schemas.openxmlformats.org/officeDocument/2006/relationships/header" Target="header73.xml"/><Relationship Id="rId174" Type="http://schemas.openxmlformats.org/officeDocument/2006/relationships/footer" Target="footer83.xml"/><Relationship Id="rId195" Type="http://schemas.openxmlformats.org/officeDocument/2006/relationships/header" Target="header94.xml"/><Relationship Id="rId209" Type="http://schemas.openxmlformats.org/officeDocument/2006/relationships/footer" Target="footer100.xml"/><Relationship Id="rId360" Type="http://schemas.openxmlformats.org/officeDocument/2006/relationships/footer" Target="footer176.xml"/><Relationship Id="rId381" Type="http://schemas.openxmlformats.org/officeDocument/2006/relationships/header" Target="header187.xml"/><Relationship Id="rId416" Type="http://schemas.openxmlformats.org/officeDocument/2006/relationships/footer" Target="footer204.xml"/><Relationship Id="rId220" Type="http://schemas.openxmlformats.org/officeDocument/2006/relationships/header" Target="header107.xml"/><Relationship Id="rId241" Type="http://schemas.openxmlformats.org/officeDocument/2006/relationships/header" Target="header117.xml"/><Relationship Id="rId437" Type="http://schemas.openxmlformats.org/officeDocument/2006/relationships/footer" Target="footer214.xml"/><Relationship Id="rId458" Type="http://schemas.openxmlformats.org/officeDocument/2006/relationships/footer" Target="footer225.xml"/><Relationship Id="rId15" Type="http://schemas.openxmlformats.org/officeDocument/2006/relationships/header" Target="header4.xml"/><Relationship Id="rId36" Type="http://schemas.openxmlformats.org/officeDocument/2006/relationships/footer" Target="footer14.xml"/><Relationship Id="rId57" Type="http://schemas.openxmlformats.org/officeDocument/2006/relationships/header" Target="header25.xml"/><Relationship Id="rId262" Type="http://schemas.openxmlformats.org/officeDocument/2006/relationships/header" Target="header128.xml"/><Relationship Id="rId283" Type="http://schemas.openxmlformats.org/officeDocument/2006/relationships/header" Target="header138.xml"/><Relationship Id="rId318" Type="http://schemas.openxmlformats.org/officeDocument/2006/relationships/footer" Target="footer155.xml"/><Relationship Id="rId339" Type="http://schemas.openxmlformats.org/officeDocument/2006/relationships/header" Target="header166.xml"/><Relationship Id="rId78" Type="http://schemas.openxmlformats.org/officeDocument/2006/relationships/footer" Target="footer35.xml"/><Relationship Id="rId99" Type="http://schemas.openxmlformats.org/officeDocument/2006/relationships/header" Target="header46.xml"/><Relationship Id="rId101" Type="http://schemas.openxmlformats.org/officeDocument/2006/relationships/footer" Target="footer46.xml"/><Relationship Id="rId122" Type="http://schemas.openxmlformats.org/officeDocument/2006/relationships/footer" Target="footer57.xml"/><Relationship Id="rId143" Type="http://schemas.openxmlformats.org/officeDocument/2006/relationships/footer" Target="footer67.xml"/><Relationship Id="rId164" Type="http://schemas.openxmlformats.org/officeDocument/2006/relationships/footer" Target="footer78.xml"/><Relationship Id="rId185" Type="http://schemas.openxmlformats.org/officeDocument/2006/relationships/footer" Target="footer88.xml"/><Relationship Id="rId350" Type="http://schemas.openxmlformats.org/officeDocument/2006/relationships/footer" Target="footer171.xml"/><Relationship Id="rId371" Type="http://schemas.openxmlformats.org/officeDocument/2006/relationships/footer" Target="footer181.xml"/><Relationship Id="rId406" Type="http://schemas.openxmlformats.org/officeDocument/2006/relationships/header" Target="header200.xml"/><Relationship Id="rId9" Type="http://schemas.openxmlformats.org/officeDocument/2006/relationships/header" Target="header1.xml"/><Relationship Id="rId210" Type="http://schemas.openxmlformats.org/officeDocument/2006/relationships/footer" Target="footer101.xml"/><Relationship Id="rId392" Type="http://schemas.openxmlformats.org/officeDocument/2006/relationships/footer" Target="footer192.xml"/><Relationship Id="rId427" Type="http://schemas.openxmlformats.org/officeDocument/2006/relationships/header" Target="header210.xml"/><Relationship Id="rId448" Type="http://schemas.openxmlformats.org/officeDocument/2006/relationships/header" Target="header221.xml"/><Relationship Id="rId469" Type="http://schemas.openxmlformats.org/officeDocument/2006/relationships/header" Target="header231.xml"/><Relationship Id="rId26" Type="http://schemas.openxmlformats.org/officeDocument/2006/relationships/footer" Target="footer9.xml"/><Relationship Id="rId231" Type="http://schemas.openxmlformats.org/officeDocument/2006/relationships/header" Target="header112.xml"/><Relationship Id="rId252" Type="http://schemas.openxmlformats.org/officeDocument/2006/relationships/footer" Target="footer122.xml"/><Relationship Id="rId273" Type="http://schemas.openxmlformats.org/officeDocument/2006/relationships/header" Target="header133.xml"/><Relationship Id="rId294" Type="http://schemas.openxmlformats.org/officeDocument/2006/relationships/footer" Target="footer143.xml"/><Relationship Id="rId308" Type="http://schemas.openxmlformats.org/officeDocument/2006/relationships/footer" Target="footer150.xml"/><Relationship Id="rId329" Type="http://schemas.openxmlformats.org/officeDocument/2006/relationships/footer" Target="footer160.xml"/><Relationship Id="rId47" Type="http://schemas.openxmlformats.org/officeDocument/2006/relationships/footer" Target="footer19.xml"/><Relationship Id="rId68" Type="http://schemas.openxmlformats.org/officeDocument/2006/relationships/footer" Target="footer30.xml"/><Relationship Id="rId89" Type="http://schemas.openxmlformats.org/officeDocument/2006/relationships/footer" Target="footer40.xml"/><Relationship Id="rId112" Type="http://schemas.openxmlformats.org/officeDocument/2006/relationships/header" Target="header53.xml"/><Relationship Id="rId133" Type="http://schemas.openxmlformats.org/officeDocument/2006/relationships/header" Target="header63.xml"/><Relationship Id="rId154" Type="http://schemas.openxmlformats.org/officeDocument/2006/relationships/header" Target="header74.xml"/><Relationship Id="rId175" Type="http://schemas.openxmlformats.org/officeDocument/2006/relationships/header" Target="header84.xml"/><Relationship Id="rId340" Type="http://schemas.openxmlformats.org/officeDocument/2006/relationships/header" Target="header167.xml"/><Relationship Id="rId361" Type="http://schemas.openxmlformats.org/officeDocument/2006/relationships/header" Target="header177.xml"/><Relationship Id="rId196" Type="http://schemas.openxmlformats.org/officeDocument/2006/relationships/header" Target="header95.xml"/><Relationship Id="rId200" Type="http://schemas.openxmlformats.org/officeDocument/2006/relationships/footer" Target="footer96.xml"/><Relationship Id="rId382" Type="http://schemas.openxmlformats.org/officeDocument/2006/relationships/header" Target="header188.xml"/><Relationship Id="rId417" Type="http://schemas.openxmlformats.org/officeDocument/2006/relationships/header" Target="header205.xml"/><Relationship Id="rId438" Type="http://schemas.openxmlformats.org/officeDocument/2006/relationships/footer" Target="footer215.xml"/><Relationship Id="rId459" Type="http://schemas.openxmlformats.org/officeDocument/2006/relationships/header" Target="header226.xml"/><Relationship Id="rId16" Type="http://schemas.openxmlformats.org/officeDocument/2006/relationships/header" Target="header5.xml"/><Relationship Id="rId221" Type="http://schemas.openxmlformats.org/officeDocument/2006/relationships/footer" Target="footer106.xml"/><Relationship Id="rId242" Type="http://schemas.openxmlformats.org/officeDocument/2006/relationships/footer" Target="footer117.xml"/><Relationship Id="rId263" Type="http://schemas.openxmlformats.org/officeDocument/2006/relationships/footer" Target="footer127.xml"/><Relationship Id="rId284" Type="http://schemas.openxmlformats.org/officeDocument/2006/relationships/footer" Target="footer138.xml"/><Relationship Id="rId319" Type="http://schemas.openxmlformats.org/officeDocument/2006/relationships/header" Target="header156.xml"/><Relationship Id="rId470" Type="http://schemas.openxmlformats.org/officeDocument/2006/relationships/footer" Target="footer231.xml"/><Relationship Id="rId37" Type="http://schemas.openxmlformats.org/officeDocument/2006/relationships/header" Target="header15.xml"/><Relationship Id="rId58" Type="http://schemas.openxmlformats.org/officeDocument/2006/relationships/header" Target="header26.xml"/><Relationship Id="rId79" Type="http://schemas.openxmlformats.org/officeDocument/2006/relationships/header" Target="header36.xml"/><Relationship Id="rId102" Type="http://schemas.openxmlformats.org/officeDocument/2006/relationships/footer" Target="footer47.xml"/><Relationship Id="rId123" Type="http://schemas.openxmlformats.org/officeDocument/2006/relationships/header" Target="header58.xml"/><Relationship Id="rId144" Type="http://schemas.openxmlformats.org/officeDocument/2006/relationships/footer" Target="footer68.xml"/><Relationship Id="rId330" Type="http://schemas.openxmlformats.org/officeDocument/2006/relationships/footer" Target="footer161.xml"/><Relationship Id="rId90" Type="http://schemas.openxmlformats.org/officeDocument/2006/relationships/footer" Target="footer41.xml"/><Relationship Id="rId165" Type="http://schemas.openxmlformats.org/officeDocument/2006/relationships/header" Target="header79.xml"/><Relationship Id="rId186" Type="http://schemas.openxmlformats.org/officeDocument/2006/relationships/footer" Target="footer89.xml"/><Relationship Id="rId351" Type="http://schemas.openxmlformats.org/officeDocument/2006/relationships/header" Target="header172.xml"/><Relationship Id="rId372" Type="http://schemas.openxmlformats.org/officeDocument/2006/relationships/footer" Target="footer182.xml"/><Relationship Id="rId393" Type="http://schemas.openxmlformats.org/officeDocument/2006/relationships/header" Target="header193.xml"/><Relationship Id="rId407" Type="http://schemas.openxmlformats.org/officeDocument/2006/relationships/footer" Target="footer199.xml"/><Relationship Id="rId428" Type="http://schemas.openxmlformats.org/officeDocument/2006/relationships/footer" Target="footer210.xml"/><Relationship Id="rId449" Type="http://schemas.openxmlformats.org/officeDocument/2006/relationships/footer" Target="footer220.xml"/><Relationship Id="rId211" Type="http://schemas.openxmlformats.org/officeDocument/2006/relationships/header" Target="header102.xml"/><Relationship Id="rId232" Type="http://schemas.openxmlformats.org/officeDocument/2006/relationships/header" Target="header113.xml"/><Relationship Id="rId253" Type="http://schemas.openxmlformats.org/officeDocument/2006/relationships/header" Target="header123.xml"/><Relationship Id="rId274" Type="http://schemas.openxmlformats.org/officeDocument/2006/relationships/header" Target="header134.xml"/><Relationship Id="rId295" Type="http://schemas.openxmlformats.org/officeDocument/2006/relationships/header" Target="header144.xml"/><Relationship Id="rId309" Type="http://schemas.openxmlformats.org/officeDocument/2006/relationships/header" Target="header151.xml"/><Relationship Id="rId460" Type="http://schemas.openxmlformats.org/officeDocument/2006/relationships/header" Target="header227.xml"/><Relationship Id="rId27" Type="http://schemas.openxmlformats.org/officeDocument/2006/relationships/header" Target="header10.xml"/><Relationship Id="rId48" Type="http://schemas.openxmlformats.org/officeDocument/2006/relationships/footer" Target="footer20.xml"/><Relationship Id="rId69" Type="http://schemas.openxmlformats.org/officeDocument/2006/relationships/header" Target="header31.xml"/><Relationship Id="rId113" Type="http://schemas.openxmlformats.org/officeDocument/2006/relationships/footer" Target="footer52.xml"/><Relationship Id="rId134" Type="http://schemas.openxmlformats.org/officeDocument/2006/relationships/footer" Target="footer63.xml"/><Relationship Id="rId320" Type="http://schemas.openxmlformats.org/officeDocument/2006/relationships/footer" Target="footer156.xml"/><Relationship Id="rId80" Type="http://schemas.openxmlformats.org/officeDocument/2006/relationships/footer" Target="footer36.xml"/><Relationship Id="rId155" Type="http://schemas.openxmlformats.org/officeDocument/2006/relationships/footer" Target="footer73.xml"/><Relationship Id="rId176" Type="http://schemas.openxmlformats.org/officeDocument/2006/relationships/footer" Target="footer84.xml"/><Relationship Id="rId197" Type="http://schemas.openxmlformats.org/officeDocument/2006/relationships/footer" Target="footer94.xml"/><Relationship Id="rId341" Type="http://schemas.openxmlformats.org/officeDocument/2006/relationships/footer" Target="footer166.xml"/><Relationship Id="rId362" Type="http://schemas.openxmlformats.org/officeDocument/2006/relationships/footer" Target="footer177.xml"/><Relationship Id="rId383" Type="http://schemas.openxmlformats.org/officeDocument/2006/relationships/footer" Target="footer187.xml"/><Relationship Id="rId418" Type="http://schemas.openxmlformats.org/officeDocument/2006/relationships/header" Target="header206.xml"/><Relationship Id="rId439" Type="http://schemas.openxmlformats.org/officeDocument/2006/relationships/header" Target="header216.xml"/><Relationship Id="rId201" Type="http://schemas.openxmlformats.org/officeDocument/2006/relationships/header" Target="header97.xml"/><Relationship Id="rId222" Type="http://schemas.openxmlformats.org/officeDocument/2006/relationships/footer" Target="footer107.xml"/><Relationship Id="rId243" Type="http://schemas.openxmlformats.org/officeDocument/2006/relationships/header" Target="header118.xml"/><Relationship Id="rId264" Type="http://schemas.openxmlformats.org/officeDocument/2006/relationships/footer" Target="footer128.xml"/><Relationship Id="rId285" Type="http://schemas.openxmlformats.org/officeDocument/2006/relationships/header" Target="header139.xml"/><Relationship Id="rId450" Type="http://schemas.openxmlformats.org/officeDocument/2006/relationships/footer" Target="footer221.xml"/><Relationship Id="rId471" Type="http://schemas.openxmlformats.org/officeDocument/2006/relationships/fontTable" Target="fontTable.xml"/><Relationship Id="rId17" Type="http://schemas.openxmlformats.org/officeDocument/2006/relationships/footer" Target="footer4.xml"/><Relationship Id="rId38" Type="http://schemas.openxmlformats.org/officeDocument/2006/relationships/footer" Target="footer15.xml"/><Relationship Id="rId59" Type="http://schemas.openxmlformats.org/officeDocument/2006/relationships/footer" Target="footer25.xml"/><Relationship Id="rId103" Type="http://schemas.openxmlformats.org/officeDocument/2006/relationships/header" Target="header48.xml"/><Relationship Id="rId124" Type="http://schemas.openxmlformats.org/officeDocument/2006/relationships/header" Target="header59.xml"/><Relationship Id="rId310" Type="http://schemas.openxmlformats.org/officeDocument/2006/relationships/header" Target="header152.xml"/><Relationship Id="rId70" Type="http://schemas.openxmlformats.org/officeDocument/2006/relationships/header" Target="header32.xml"/><Relationship Id="rId91" Type="http://schemas.openxmlformats.org/officeDocument/2006/relationships/header" Target="header42.xml"/><Relationship Id="rId145" Type="http://schemas.openxmlformats.org/officeDocument/2006/relationships/header" Target="header69.xml"/><Relationship Id="rId166" Type="http://schemas.openxmlformats.org/officeDocument/2006/relationships/header" Target="header80.xml"/><Relationship Id="rId187" Type="http://schemas.openxmlformats.org/officeDocument/2006/relationships/header" Target="header90.xml"/><Relationship Id="rId331" Type="http://schemas.openxmlformats.org/officeDocument/2006/relationships/header" Target="header162.xml"/><Relationship Id="rId352" Type="http://schemas.openxmlformats.org/officeDocument/2006/relationships/header" Target="header173.xml"/><Relationship Id="rId373" Type="http://schemas.openxmlformats.org/officeDocument/2006/relationships/header" Target="header183.xml"/><Relationship Id="rId394" Type="http://schemas.openxmlformats.org/officeDocument/2006/relationships/header" Target="header194.xml"/><Relationship Id="rId408" Type="http://schemas.openxmlformats.org/officeDocument/2006/relationships/footer" Target="footer200.xml"/><Relationship Id="rId429" Type="http://schemas.openxmlformats.org/officeDocument/2006/relationships/header" Target="header211.xml"/><Relationship Id="rId1" Type="http://schemas.openxmlformats.org/officeDocument/2006/relationships/customXml" Target="../customXml/item1.xml"/><Relationship Id="rId212" Type="http://schemas.openxmlformats.org/officeDocument/2006/relationships/footer" Target="footer102.xml"/><Relationship Id="rId233" Type="http://schemas.openxmlformats.org/officeDocument/2006/relationships/footer" Target="footer112.xml"/><Relationship Id="rId254" Type="http://schemas.openxmlformats.org/officeDocument/2006/relationships/footer" Target="footer123.xml"/><Relationship Id="rId440" Type="http://schemas.openxmlformats.org/officeDocument/2006/relationships/footer" Target="footer216.xml"/><Relationship Id="rId28" Type="http://schemas.openxmlformats.org/officeDocument/2006/relationships/header" Target="header11.xml"/><Relationship Id="rId49" Type="http://schemas.openxmlformats.org/officeDocument/2006/relationships/header" Target="header21.xml"/><Relationship Id="rId114" Type="http://schemas.openxmlformats.org/officeDocument/2006/relationships/footer" Target="footer53.xml"/><Relationship Id="rId275" Type="http://schemas.openxmlformats.org/officeDocument/2006/relationships/footer" Target="footer133.xml"/><Relationship Id="rId296" Type="http://schemas.openxmlformats.org/officeDocument/2006/relationships/footer" Target="footer144.xml"/><Relationship Id="rId300" Type="http://schemas.openxmlformats.org/officeDocument/2006/relationships/footer" Target="footer146.xml"/><Relationship Id="rId461" Type="http://schemas.openxmlformats.org/officeDocument/2006/relationships/footer" Target="footer226.xml"/><Relationship Id="rId60" Type="http://schemas.openxmlformats.org/officeDocument/2006/relationships/footer" Target="footer26.xml"/><Relationship Id="rId81" Type="http://schemas.openxmlformats.org/officeDocument/2006/relationships/header" Target="header37.xml"/><Relationship Id="rId135" Type="http://schemas.openxmlformats.org/officeDocument/2006/relationships/header" Target="header64.xml"/><Relationship Id="rId156" Type="http://schemas.openxmlformats.org/officeDocument/2006/relationships/footer" Target="footer74.xml"/><Relationship Id="rId177" Type="http://schemas.openxmlformats.org/officeDocument/2006/relationships/header" Target="header85.xml"/><Relationship Id="rId198" Type="http://schemas.openxmlformats.org/officeDocument/2006/relationships/footer" Target="footer95.xml"/><Relationship Id="rId321" Type="http://schemas.openxmlformats.org/officeDocument/2006/relationships/header" Target="header157.xml"/><Relationship Id="rId342" Type="http://schemas.openxmlformats.org/officeDocument/2006/relationships/footer" Target="footer167.xml"/><Relationship Id="rId363" Type="http://schemas.openxmlformats.org/officeDocument/2006/relationships/header" Target="header178.xml"/><Relationship Id="rId384" Type="http://schemas.openxmlformats.org/officeDocument/2006/relationships/footer" Target="footer188.xml"/><Relationship Id="rId419" Type="http://schemas.openxmlformats.org/officeDocument/2006/relationships/footer" Target="footer205.xml"/><Relationship Id="rId202" Type="http://schemas.openxmlformats.org/officeDocument/2006/relationships/header" Target="header98.xml"/><Relationship Id="rId223" Type="http://schemas.openxmlformats.org/officeDocument/2006/relationships/header" Target="header108.xml"/><Relationship Id="rId244" Type="http://schemas.openxmlformats.org/officeDocument/2006/relationships/header" Target="header119.xml"/><Relationship Id="rId430" Type="http://schemas.openxmlformats.org/officeDocument/2006/relationships/header" Target="header212.xml"/><Relationship Id="rId18" Type="http://schemas.openxmlformats.org/officeDocument/2006/relationships/footer" Target="footer5.xml"/><Relationship Id="rId39" Type="http://schemas.openxmlformats.org/officeDocument/2006/relationships/header" Target="header16.xml"/><Relationship Id="rId265" Type="http://schemas.openxmlformats.org/officeDocument/2006/relationships/header" Target="header129.xml"/><Relationship Id="rId286" Type="http://schemas.openxmlformats.org/officeDocument/2006/relationships/header" Target="header140.xml"/><Relationship Id="rId451" Type="http://schemas.openxmlformats.org/officeDocument/2006/relationships/header" Target="header222.xml"/><Relationship Id="rId472" Type="http://schemas.openxmlformats.org/officeDocument/2006/relationships/theme" Target="theme/theme1.xml"/><Relationship Id="rId50" Type="http://schemas.openxmlformats.org/officeDocument/2006/relationships/footer" Target="footer21.xml"/><Relationship Id="rId104" Type="http://schemas.openxmlformats.org/officeDocument/2006/relationships/footer" Target="footer48.xml"/><Relationship Id="rId125" Type="http://schemas.openxmlformats.org/officeDocument/2006/relationships/footer" Target="footer58.xml"/><Relationship Id="rId146" Type="http://schemas.openxmlformats.org/officeDocument/2006/relationships/footer" Target="footer69.xml"/><Relationship Id="rId167" Type="http://schemas.openxmlformats.org/officeDocument/2006/relationships/footer" Target="footer79.xml"/><Relationship Id="rId188" Type="http://schemas.openxmlformats.org/officeDocument/2006/relationships/footer" Target="footer90.xml"/><Relationship Id="rId311" Type="http://schemas.openxmlformats.org/officeDocument/2006/relationships/footer" Target="footer151.xml"/><Relationship Id="rId332" Type="http://schemas.openxmlformats.org/officeDocument/2006/relationships/footer" Target="footer162.xml"/><Relationship Id="rId353" Type="http://schemas.openxmlformats.org/officeDocument/2006/relationships/footer" Target="footer172.xml"/><Relationship Id="rId374" Type="http://schemas.openxmlformats.org/officeDocument/2006/relationships/footer" Target="footer183.xml"/><Relationship Id="rId395" Type="http://schemas.openxmlformats.org/officeDocument/2006/relationships/footer" Target="footer193.xml"/><Relationship Id="rId409" Type="http://schemas.openxmlformats.org/officeDocument/2006/relationships/header" Target="header201.xml"/><Relationship Id="rId71" Type="http://schemas.openxmlformats.org/officeDocument/2006/relationships/footer" Target="footer31.xml"/><Relationship Id="rId92" Type="http://schemas.openxmlformats.org/officeDocument/2006/relationships/footer" Target="footer42.xml"/><Relationship Id="rId213" Type="http://schemas.openxmlformats.org/officeDocument/2006/relationships/header" Target="header103.xml"/><Relationship Id="rId234" Type="http://schemas.openxmlformats.org/officeDocument/2006/relationships/footer" Target="footer113.xml"/><Relationship Id="rId420" Type="http://schemas.openxmlformats.org/officeDocument/2006/relationships/footer" Target="footer206.xml"/><Relationship Id="rId2" Type="http://schemas.openxmlformats.org/officeDocument/2006/relationships/numbering" Target="numbering.xml"/><Relationship Id="rId29" Type="http://schemas.openxmlformats.org/officeDocument/2006/relationships/footer" Target="footer10.xml"/><Relationship Id="rId255" Type="http://schemas.openxmlformats.org/officeDocument/2006/relationships/header" Target="header124.xml"/><Relationship Id="rId276" Type="http://schemas.openxmlformats.org/officeDocument/2006/relationships/footer" Target="footer134.xml"/><Relationship Id="rId297" Type="http://schemas.openxmlformats.org/officeDocument/2006/relationships/header" Target="header145.xml"/><Relationship Id="rId441" Type="http://schemas.openxmlformats.org/officeDocument/2006/relationships/header" Target="header217.xml"/><Relationship Id="rId462" Type="http://schemas.openxmlformats.org/officeDocument/2006/relationships/footer" Target="footer227.xml"/><Relationship Id="rId40" Type="http://schemas.openxmlformats.org/officeDocument/2006/relationships/header" Target="header17.xml"/><Relationship Id="rId115" Type="http://schemas.openxmlformats.org/officeDocument/2006/relationships/header" Target="header54.xml"/><Relationship Id="rId136" Type="http://schemas.openxmlformats.org/officeDocument/2006/relationships/header" Target="header65.xml"/><Relationship Id="rId157" Type="http://schemas.openxmlformats.org/officeDocument/2006/relationships/header" Target="header75.xml"/><Relationship Id="rId178" Type="http://schemas.openxmlformats.org/officeDocument/2006/relationships/header" Target="header86.xml"/><Relationship Id="rId301" Type="http://schemas.openxmlformats.org/officeDocument/2006/relationships/header" Target="header147.xml"/><Relationship Id="rId322" Type="http://schemas.openxmlformats.org/officeDocument/2006/relationships/header" Target="header158.xml"/><Relationship Id="rId343" Type="http://schemas.openxmlformats.org/officeDocument/2006/relationships/header" Target="header168.xml"/><Relationship Id="rId364" Type="http://schemas.openxmlformats.org/officeDocument/2006/relationships/header" Target="header179.xml"/><Relationship Id="rId61" Type="http://schemas.openxmlformats.org/officeDocument/2006/relationships/header" Target="header27.xml"/><Relationship Id="rId82" Type="http://schemas.openxmlformats.org/officeDocument/2006/relationships/header" Target="header38.xml"/><Relationship Id="rId199" Type="http://schemas.openxmlformats.org/officeDocument/2006/relationships/header" Target="header96.xml"/><Relationship Id="rId203" Type="http://schemas.openxmlformats.org/officeDocument/2006/relationships/footer" Target="footer97.xml"/><Relationship Id="rId385" Type="http://schemas.openxmlformats.org/officeDocument/2006/relationships/header" Target="header189.xml"/><Relationship Id="rId19" Type="http://schemas.openxmlformats.org/officeDocument/2006/relationships/header" Target="header6.xml"/><Relationship Id="rId224" Type="http://schemas.openxmlformats.org/officeDocument/2006/relationships/footer" Target="footer108.xml"/><Relationship Id="rId245" Type="http://schemas.openxmlformats.org/officeDocument/2006/relationships/footer" Target="footer118.xml"/><Relationship Id="rId266" Type="http://schemas.openxmlformats.org/officeDocument/2006/relationships/footer" Target="footer129.xml"/><Relationship Id="rId287" Type="http://schemas.openxmlformats.org/officeDocument/2006/relationships/footer" Target="footer139.xml"/><Relationship Id="rId410" Type="http://schemas.openxmlformats.org/officeDocument/2006/relationships/footer" Target="footer201.xml"/><Relationship Id="rId431" Type="http://schemas.openxmlformats.org/officeDocument/2006/relationships/footer" Target="footer211.xml"/><Relationship Id="rId452" Type="http://schemas.openxmlformats.org/officeDocument/2006/relationships/footer" Target="footer222.xml"/><Relationship Id="rId30" Type="http://schemas.openxmlformats.org/officeDocument/2006/relationships/footer" Target="footer11.xml"/><Relationship Id="rId105" Type="http://schemas.openxmlformats.org/officeDocument/2006/relationships/header" Target="header49.xml"/><Relationship Id="rId126" Type="http://schemas.openxmlformats.org/officeDocument/2006/relationships/footer" Target="footer59.xml"/><Relationship Id="rId147" Type="http://schemas.openxmlformats.org/officeDocument/2006/relationships/header" Target="header70.xml"/><Relationship Id="rId168" Type="http://schemas.openxmlformats.org/officeDocument/2006/relationships/footer" Target="footer80.xml"/><Relationship Id="rId312" Type="http://schemas.openxmlformats.org/officeDocument/2006/relationships/footer" Target="footer152.xml"/><Relationship Id="rId333" Type="http://schemas.openxmlformats.org/officeDocument/2006/relationships/header" Target="header163.xml"/><Relationship Id="rId354" Type="http://schemas.openxmlformats.org/officeDocument/2006/relationships/footer" Target="footer173.xml"/><Relationship Id="rId51" Type="http://schemas.openxmlformats.org/officeDocument/2006/relationships/header" Target="header22.xml"/><Relationship Id="rId72" Type="http://schemas.openxmlformats.org/officeDocument/2006/relationships/footer" Target="footer32.xml"/><Relationship Id="rId93" Type="http://schemas.openxmlformats.org/officeDocument/2006/relationships/header" Target="header43.xml"/><Relationship Id="rId189" Type="http://schemas.openxmlformats.org/officeDocument/2006/relationships/header" Target="header91.xml"/><Relationship Id="rId375" Type="http://schemas.openxmlformats.org/officeDocument/2006/relationships/header" Target="header184.xml"/><Relationship Id="rId396" Type="http://schemas.openxmlformats.org/officeDocument/2006/relationships/footer" Target="footer194.xml"/><Relationship Id="rId3" Type="http://schemas.openxmlformats.org/officeDocument/2006/relationships/styles" Target="styles.xml"/><Relationship Id="rId214" Type="http://schemas.openxmlformats.org/officeDocument/2006/relationships/header" Target="header104.xml"/><Relationship Id="rId235" Type="http://schemas.openxmlformats.org/officeDocument/2006/relationships/header" Target="header114.xml"/><Relationship Id="rId256" Type="http://schemas.openxmlformats.org/officeDocument/2006/relationships/header" Target="header125.xml"/><Relationship Id="rId277" Type="http://schemas.openxmlformats.org/officeDocument/2006/relationships/header" Target="header135.xml"/><Relationship Id="rId298" Type="http://schemas.openxmlformats.org/officeDocument/2006/relationships/header" Target="header146.xml"/><Relationship Id="rId400" Type="http://schemas.openxmlformats.org/officeDocument/2006/relationships/header" Target="header197.xml"/><Relationship Id="rId421" Type="http://schemas.openxmlformats.org/officeDocument/2006/relationships/header" Target="header207.xml"/><Relationship Id="rId442" Type="http://schemas.openxmlformats.org/officeDocument/2006/relationships/header" Target="header218.xml"/><Relationship Id="rId463" Type="http://schemas.openxmlformats.org/officeDocument/2006/relationships/header" Target="header228.xml"/><Relationship Id="rId116" Type="http://schemas.openxmlformats.org/officeDocument/2006/relationships/footer" Target="footer54.xml"/><Relationship Id="rId137" Type="http://schemas.openxmlformats.org/officeDocument/2006/relationships/footer" Target="footer64.xml"/><Relationship Id="rId158" Type="http://schemas.openxmlformats.org/officeDocument/2006/relationships/footer" Target="footer75.xml"/><Relationship Id="rId302" Type="http://schemas.openxmlformats.org/officeDocument/2006/relationships/footer" Target="footer147.xml"/><Relationship Id="rId323" Type="http://schemas.openxmlformats.org/officeDocument/2006/relationships/footer" Target="footer157.xml"/><Relationship Id="rId344" Type="http://schemas.openxmlformats.org/officeDocument/2006/relationships/footer" Target="footer168.xml"/><Relationship Id="rId20" Type="http://schemas.openxmlformats.org/officeDocument/2006/relationships/footer" Target="footer6.xml"/><Relationship Id="rId41" Type="http://schemas.openxmlformats.org/officeDocument/2006/relationships/footer" Target="footer16.xml"/><Relationship Id="rId62" Type="http://schemas.openxmlformats.org/officeDocument/2006/relationships/footer" Target="footer27.xml"/><Relationship Id="rId83" Type="http://schemas.openxmlformats.org/officeDocument/2006/relationships/footer" Target="footer37.xml"/><Relationship Id="rId179" Type="http://schemas.openxmlformats.org/officeDocument/2006/relationships/footer" Target="footer85.xml"/><Relationship Id="rId365" Type="http://schemas.openxmlformats.org/officeDocument/2006/relationships/footer" Target="footer178.xml"/><Relationship Id="rId386" Type="http://schemas.openxmlformats.org/officeDocument/2006/relationships/footer" Target="footer189.xml"/><Relationship Id="rId190" Type="http://schemas.openxmlformats.org/officeDocument/2006/relationships/header" Target="header92.xml"/><Relationship Id="rId204" Type="http://schemas.openxmlformats.org/officeDocument/2006/relationships/footer" Target="footer98.xml"/><Relationship Id="rId225" Type="http://schemas.openxmlformats.org/officeDocument/2006/relationships/header" Target="header109.xml"/><Relationship Id="rId246" Type="http://schemas.openxmlformats.org/officeDocument/2006/relationships/footer" Target="footer119.xml"/><Relationship Id="rId267" Type="http://schemas.openxmlformats.org/officeDocument/2006/relationships/header" Target="header130.xml"/><Relationship Id="rId288" Type="http://schemas.openxmlformats.org/officeDocument/2006/relationships/footer" Target="footer140.xml"/><Relationship Id="rId411" Type="http://schemas.openxmlformats.org/officeDocument/2006/relationships/header" Target="header202.xml"/><Relationship Id="rId432" Type="http://schemas.openxmlformats.org/officeDocument/2006/relationships/footer" Target="footer212.xml"/><Relationship Id="rId453" Type="http://schemas.openxmlformats.org/officeDocument/2006/relationships/header" Target="header223.xml"/><Relationship Id="rId106" Type="http://schemas.openxmlformats.org/officeDocument/2006/relationships/header" Target="header50.xml"/><Relationship Id="rId127" Type="http://schemas.openxmlformats.org/officeDocument/2006/relationships/header" Target="header60.xml"/><Relationship Id="rId313" Type="http://schemas.openxmlformats.org/officeDocument/2006/relationships/header" Target="header153.xml"/><Relationship Id="rId10" Type="http://schemas.openxmlformats.org/officeDocument/2006/relationships/header" Target="header2.xml"/><Relationship Id="rId31" Type="http://schemas.openxmlformats.org/officeDocument/2006/relationships/header" Target="header12.xml"/><Relationship Id="rId52" Type="http://schemas.openxmlformats.org/officeDocument/2006/relationships/header" Target="header23.xml"/><Relationship Id="rId73" Type="http://schemas.openxmlformats.org/officeDocument/2006/relationships/header" Target="header33.xml"/><Relationship Id="rId94" Type="http://schemas.openxmlformats.org/officeDocument/2006/relationships/header" Target="header44.xml"/><Relationship Id="rId148" Type="http://schemas.openxmlformats.org/officeDocument/2006/relationships/header" Target="header71.xml"/><Relationship Id="rId169" Type="http://schemas.openxmlformats.org/officeDocument/2006/relationships/header" Target="header81.xml"/><Relationship Id="rId334" Type="http://schemas.openxmlformats.org/officeDocument/2006/relationships/header" Target="header164.xml"/><Relationship Id="rId355" Type="http://schemas.openxmlformats.org/officeDocument/2006/relationships/header" Target="header174.xml"/><Relationship Id="rId376" Type="http://schemas.openxmlformats.org/officeDocument/2006/relationships/header" Target="header185.xml"/><Relationship Id="rId397" Type="http://schemas.openxmlformats.org/officeDocument/2006/relationships/header" Target="header195.xml"/><Relationship Id="rId4" Type="http://schemas.openxmlformats.org/officeDocument/2006/relationships/settings" Target="settings.xml"/><Relationship Id="rId180" Type="http://schemas.openxmlformats.org/officeDocument/2006/relationships/footer" Target="footer86.xml"/><Relationship Id="rId215" Type="http://schemas.openxmlformats.org/officeDocument/2006/relationships/footer" Target="footer103.xml"/><Relationship Id="rId236" Type="http://schemas.openxmlformats.org/officeDocument/2006/relationships/footer" Target="footer114.xml"/><Relationship Id="rId257" Type="http://schemas.openxmlformats.org/officeDocument/2006/relationships/footer" Target="footer124.xml"/><Relationship Id="rId278" Type="http://schemas.openxmlformats.org/officeDocument/2006/relationships/footer" Target="footer135.xml"/><Relationship Id="rId401" Type="http://schemas.openxmlformats.org/officeDocument/2006/relationships/footer" Target="footer196.xml"/><Relationship Id="rId422" Type="http://schemas.openxmlformats.org/officeDocument/2006/relationships/footer" Target="footer207.xml"/><Relationship Id="rId443" Type="http://schemas.openxmlformats.org/officeDocument/2006/relationships/footer" Target="footer217.xml"/><Relationship Id="rId464" Type="http://schemas.openxmlformats.org/officeDocument/2006/relationships/footer" Target="footer228.xml"/><Relationship Id="rId303" Type="http://schemas.openxmlformats.org/officeDocument/2006/relationships/header" Target="header148.xml"/><Relationship Id="rId42" Type="http://schemas.openxmlformats.org/officeDocument/2006/relationships/footer" Target="footer17.xml"/><Relationship Id="rId84" Type="http://schemas.openxmlformats.org/officeDocument/2006/relationships/footer" Target="footer38.xml"/><Relationship Id="rId138" Type="http://schemas.openxmlformats.org/officeDocument/2006/relationships/footer" Target="footer65.xml"/><Relationship Id="rId345" Type="http://schemas.openxmlformats.org/officeDocument/2006/relationships/header" Target="header169.xml"/><Relationship Id="rId387" Type="http://schemas.openxmlformats.org/officeDocument/2006/relationships/header" Target="header190.xml"/><Relationship Id="rId191" Type="http://schemas.openxmlformats.org/officeDocument/2006/relationships/footer" Target="footer91.xml"/><Relationship Id="rId205" Type="http://schemas.openxmlformats.org/officeDocument/2006/relationships/header" Target="header99.xml"/><Relationship Id="rId247" Type="http://schemas.openxmlformats.org/officeDocument/2006/relationships/header" Target="header120.xml"/><Relationship Id="rId412" Type="http://schemas.openxmlformats.org/officeDocument/2006/relationships/header" Target="header203.xml"/><Relationship Id="rId107" Type="http://schemas.openxmlformats.org/officeDocument/2006/relationships/footer" Target="footer49.xml"/><Relationship Id="rId289" Type="http://schemas.openxmlformats.org/officeDocument/2006/relationships/header" Target="header141.xml"/><Relationship Id="rId454" Type="http://schemas.openxmlformats.org/officeDocument/2006/relationships/header" Target="header224.xml"/><Relationship Id="rId11" Type="http://schemas.openxmlformats.org/officeDocument/2006/relationships/footer" Target="footer1.xml"/><Relationship Id="rId53" Type="http://schemas.openxmlformats.org/officeDocument/2006/relationships/footer" Target="footer22.xml"/><Relationship Id="rId149" Type="http://schemas.openxmlformats.org/officeDocument/2006/relationships/footer" Target="footer70.xml"/><Relationship Id="rId314" Type="http://schemas.openxmlformats.org/officeDocument/2006/relationships/footer" Target="footer153.xml"/><Relationship Id="rId356" Type="http://schemas.openxmlformats.org/officeDocument/2006/relationships/footer" Target="footer174.xml"/><Relationship Id="rId398" Type="http://schemas.openxmlformats.org/officeDocument/2006/relationships/footer" Target="footer195.xml"/><Relationship Id="rId95" Type="http://schemas.openxmlformats.org/officeDocument/2006/relationships/footer" Target="footer43.xml"/><Relationship Id="rId160" Type="http://schemas.openxmlformats.org/officeDocument/2006/relationships/header" Target="header77.xml"/><Relationship Id="rId216" Type="http://schemas.openxmlformats.org/officeDocument/2006/relationships/footer" Target="footer104.xml"/><Relationship Id="rId423" Type="http://schemas.openxmlformats.org/officeDocument/2006/relationships/header" Target="header208.xml"/><Relationship Id="rId258" Type="http://schemas.openxmlformats.org/officeDocument/2006/relationships/footer" Target="footer125.xml"/><Relationship Id="rId465" Type="http://schemas.openxmlformats.org/officeDocument/2006/relationships/header" Target="header229.xml"/><Relationship Id="rId22" Type="http://schemas.openxmlformats.org/officeDocument/2006/relationships/header" Target="header8.xml"/><Relationship Id="rId64" Type="http://schemas.openxmlformats.org/officeDocument/2006/relationships/header" Target="header29.xml"/><Relationship Id="rId118" Type="http://schemas.openxmlformats.org/officeDocument/2006/relationships/header" Target="header56.xml"/><Relationship Id="rId325" Type="http://schemas.openxmlformats.org/officeDocument/2006/relationships/header" Target="header159.xml"/><Relationship Id="rId367" Type="http://schemas.openxmlformats.org/officeDocument/2006/relationships/header" Target="header180.xml"/><Relationship Id="rId171" Type="http://schemas.openxmlformats.org/officeDocument/2006/relationships/header" Target="header82.xml"/><Relationship Id="rId227" Type="http://schemas.openxmlformats.org/officeDocument/2006/relationships/footer" Target="footer109.xml"/><Relationship Id="rId269" Type="http://schemas.openxmlformats.org/officeDocument/2006/relationships/footer" Target="footer130.xml"/><Relationship Id="rId434" Type="http://schemas.openxmlformats.org/officeDocument/2006/relationships/footer" Target="footer213.xml"/><Relationship Id="rId33" Type="http://schemas.openxmlformats.org/officeDocument/2006/relationships/header" Target="header13.xml"/><Relationship Id="rId129" Type="http://schemas.openxmlformats.org/officeDocument/2006/relationships/header" Target="header61.xml"/><Relationship Id="rId280" Type="http://schemas.openxmlformats.org/officeDocument/2006/relationships/header" Target="header137.xml"/><Relationship Id="rId336" Type="http://schemas.openxmlformats.org/officeDocument/2006/relationships/footer" Target="footer164.xml"/><Relationship Id="rId75" Type="http://schemas.openxmlformats.org/officeDocument/2006/relationships/header" Target="header34.xml"/><Relationship Id="rId140" Type="http://schemas.openxmlformats.org/officeDocument/2006/relationships/footer" Target="footer66.xml"/><Relationship Id="rId182" Type="http://schemas.openxmlformats.org/officeDocument/2006/relationships/footer" Target="footer87.xml"/><Relationship Id="rId378" Type="http://schemas.openxmlformats.org/officeDocument/2006/relationships/footer" Target="footer185.xml"/><Relationship Id="rId403" Type="http://schemas.openxmlformats.org/officeDocument/2006/relationships/header" Target="header198.xml"/><Relationship Id="rId6" Type="http://schemas.openxmlformats.org/officeDocument/2006/relationships/footnotes" Target="footnotes.xml"/><Relationship Id="rId238" Type="http://schemas.openxmlformats.org/officeDocument/2006/relationships/header" Target="header116.xml"/><Relationship Id="rId445" Type="http://schemas.openxmlformats.org/officeDocument/2006/relationships/header" Target="header219.xml"/><Relationship Id="rId291" Type="http://schemas.openxmlformats.org/officeDocument/2006/relationships/header" Target="header142.xml"/><Relationship Id="rId305" Type="http://schemas.openxmlformats.org/officeDocument/2006/relationships/footer" Target="footer148.xml"/><Relationship Id="rId347" Type="http://schemas.openxmlformats.org/officeDocument/2006/relationships/footer" Target="footer169.xml"/><Relationship Id="rId44" Type="http://schemas.openxmlformats.org/officeDocument/2006/relationships/footer" Target="footer18.xml"/><Relationship Id="rId86" Type="http://schemas.openxmlformats.org/officeDocument/2006/relationships/footer" Target="footer39.xml"/><Relationship Id="rId151" Type="http://schemas.openxmlformats.org/officeDocument/2006/relationships/header" Target="header72.xml"/><Relationship Id="rId389" Type="http://schemas.openxmlformats.org/officeDocument/2006/relationships/footer" Target="footer19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857C7-D995-444C-A206-4BFE75378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12</Pages>
  <Words>87270</Words>
  <Characters>497442</Characters>
  <Application>Microsoft Office Word</Application>
  <DocSecurity>0</DocSecurity>
  <Lines>4145</Lines>
  <Paragraphs>1167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2026-07-28T08:08:00Z</dcterms:created>
  <dcterms:modified xsi:type="dcterms:W3CDTF">2026-08-07T09:34:00Z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CP-036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First annex">
    <vt:lpwstr>1</vt:lpwstr>
  </property>
  <property fmtid="{D5CDD505-2E9C-101B-9397-08002B2CF9AE}" pid="10" name="Last annex">
    <vt:lpwstr>1</vt:lpwstr>
  </property>
  <property fmtid="{D5CDD505-2E9C-101B-9397-08002B2CF9AE}" pid="11" name="Unique annex">
    <vt:lpwstr>1</vt:lpwstr>
  </property>
  <property fmtid="{D5CDD505-2E9C-101B-9397-08002B2CF9AE}" pid="12" name="MSIP_Label_6bd9ddd1-4d20-43f6-abfa-fc3c07406f94_Enabled">
    <vt:lpwstr>true</vt:lpwstr>
  </property>
  <property fmtid="{D5CDD505-2E9C-101B-9397-08002B2CF9AE}" pid="13" name="MSIP_Label_6bd9ddd1-4d20-43f6-abfa-fc3c07406f94_SetDate">
    <vt:lpwstr>2026-07-16T14:04:48Z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75a9b64e-4c85-4626-9adc-7e59f91b689f</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ies>
</file>